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20" w:space="720"/>
            <w:col w:w="3340" w:space="46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April 22, 2011: 120,789,167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March 31,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tcBorders>
              <w:bottom w:val="single" w:sz="8" w:color="auto"/>
            </w:tcBorders>
            <w:gridSpan w:val="26"/>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6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Page</w:t>
            </w:r>
          </w:p>
        </w:tc>
      </w:tr>
      <w:tr>
        <w:trPr>
          <w:trHeight w:val="169"/>
        </w:trPr>
        <w:tc>
          <w:tcPr>
            <w:tcW w:w="10060" w:type="dxa"/>
            <w:vAlign w:val="bottom"/>
            <w:gridSpan w:val="2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220" w:type="dxa"/>
            <w:vAlign w:val="bottom"/>
            <w:tcBorders>
              <w:top w:val="single" w:sz="8" w:color="0000EE"/>
            </w:tcBorders>
          </w:tcPr>
          <w:p>
            <w:pPr>
              <w:spacing w:after="0"/>
              <w:rPr>
                <w:sz w:val="24"/>
                <w:szCs w:val="24"/>
                <w:color w:val="auto"/>
              </w:rPr>
            </w:pPr>
          </w:p>
        </w:tc>
        <w:tc>
          <w:tcPr>
            <w:tcW w:w="732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BALANCE SHEET — March 31, 2011 and December 31, 2010</w:t>
              </w:r>
            </w:hyperlink>
          </w:p>
        </w:tc>
        <w:tc>
          <w:tcPr>
            <w:tcW w:w="3400" w:type="dxa"/>
            <w:vAlign w:val="bottom"/>
            <w:gridSpan w:val="5"/>
          </w:tcPr>
          <w:p>
            <w:pPr>
              <w:spacing w:after="0"/>
              <w:rPr>
                <w:sz w:val="24"/>
                <w:szCs w:val="24"/>
                <w:color w:val="auto"/>
              </w:rPr>
            </w:pP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3</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months ended March 31, 2011 and 2010</w:t>
              </w:r>
            </w:hyperlink>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4</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 OF CASH FLOWS — Three months ended March 31, 2011 and 2010</w:t>
              </w:r>
            </w:hyperlink>
          </w:p>
        </w:tc>
        <w:tc>
          <w:tcPr>
            <w:tcW w:w="1900" w:type="dxa"/>
            <w:vAlign w:val="bottom"/>
            <w:gridSpan w:val="2"/>
          </w:tcPr>
          <w:p>
            <w:pPr>
              <w:spacing w:after="0"/>
              <w:rPr>
                <w:sz w:val="24"/>
                <w:szCs w:val="24"/>
                <w:color w:val="auto"/>
              </w:rPr>
            </w:pP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5</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8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SHAREHOLDERS’ EQUITY — Three months ended March 31, 2011 and</w:t>
              </w:r>
            </w:hyperlink>
          </w:p>
        </w:tc>
        <w:tc>
          <w:tcPr>
            <w:tcW w:w="120" w:type="dxa"/>
            <w:vAlign w:val="bottom"/>
          </w:tcPr>
          <w:p>
            <w:pPr>
              <w:spacing w:after="0"/>
              <w:rPr>
                <w:sz w:val="24"/>
                <w:szCs w:val="24"/>
                <w:color w:val="auto"/>
              </w:rPr>
            </w:pP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6</w:t>
            </w:r>
          </w:p>
        </w:tc>
      </w:tr>
      <w:tr>
        <w:trPr>
          <w:trHeight w:val="196"/>
        </w:trPr>
        <w:tc>
          <w:tcPr>
            <w:tcW w:w="1180" w:type="dxa"/>
            <w:vAlign w:val="bottom"/>
            <w:gridSpan w:val="6"/>
          </w:tcPr>
          <w:p>
            <w:pPr>
              <w:ind w:left="8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2010</w:t>
              </w:r>
            </w:hyperlink>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NOTES TO FINANCIAL STATEMENTS</w:t>
              </w:r>
            </w:hyperlink>
          </w:p>
        </w:tc>
        <w:tc>
          <w:tcPr>
            <w:tcW w:w="6380" w:type="dxa"/>
            <w:vAlign w:val="bottom"/>
            <w:gridSpan w:val="8"/>
          </w:tcPr>
          <w:p>
            <w:pPr>
              <w:spacing w:after="0"/>
              <w:rPr>
                <w:sz w:val="24"/>
                <w:szCs w:val="24"/>
                <w:color w:val="auto"/>
              </w:rPr>
            </w:pPr>
          </w:p>
        </w:tc>
        <w:tc>
          <w:tcPr>
            <w:tcW w:w="136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7</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2. Management’s Discussion and Analysis of Financial Condition and Results of Operations.</w:t>
              </w:r>
            </w:hyperlink>
          </w:p>
        </w:tc>
        <w:tc>
          <w:tcPr>
            <w:tcW w:w="2580" w:type="dxa"/>
            <w:vAlign w:val="bottom"/>
            <w:gridSpan w:val="4"/>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45</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3. Quantitative and Qualitative Disclosures About Market Risk.</w:t>
              </w:r>
            </w:hyperlink>
          </w:p>
        </w:tc>
        <w:tc>
          <w:tcPr>
            <w:tcW w:w="4680" w:type="dxa"/>
            <w:vAlign w:val="bottom"/>
            <w:gridSpan w:val="6"/>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86</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4. Controls and Procedures.</w:t>
              </w:r>
            </w:hyperlink>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86</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Part II. OTHER INFORMATION</w:t>
              </w:r>
            </w:hyperlink>
          </w:p>
        </w:tc>
        <w:tc>
          <w:tcPr>
            <w:tcW w:w="762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 Legal Proceedings.</w:t>
              </w:r>
            </w:hyperlink>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86</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1A. Risk Factors.</w:t>
              </w:r>
            </w:hyperlink>
          </w:p>
        </w:tc>
        <w:tc>
          <w:tcPr>
            <w:tcW w:w="7720" w:type="dxa"/>
            <w:vAlign w:val="bottom"/>
            <w:gridSpan w:val="15"/>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86</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2. Unregistered Sales of Equity Securities and Use of Proceeds.</w:t>
              </w:r>
            </w:hyperlink>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87</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87</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4. (Removed and Reserved).</w:t>
              </w:r>
            </w:hyperlink>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87</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Borders>
              <w:top w:val="single" w:sz="8" w:color="0000EE"/>
            </w:tcBorders>
            <w:gridSpan w:val="1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5. Other Information.</w:t>
              </w:r>
            </w:hyperlink>
          </w:p>
        </w:tc>
        <w:tc>
          <w:tcPr>
            <w:tcW w:w="7220" w:type="dxa"/>
            <w:vAlign w:val="bottom"/>
            <w:gridSpan w:val="10"/>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87</w:t>
            </w: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7740" w:type="dxa"/>
            <w:vAlign w:val="bottom"/>
            <w:gridSpan w:val="16"/>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88</w:t>
            </w:r>
          </w:p>
        </w:tc>
      </w:tr>
      <w:tr>
        <w:trPr>
          <w:trHeight w:val="412"/>
        </w:trPr>
        <w:tc>
          <w:tcPr>
            <w:tcW w:w="10060" w:type="dxa"/>
            <w:vAlign w:val="bottom"/>
            <w:gridSpan w:val="2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88</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 INDEX</w:t>
              </w:r>
            </w:hyperlink>
          </w:p>
        </w:tc>
        <w:tc>
          <w:tcPr>
            <w:tcW w:w="8720" w:type="dxa"/>
            <w:vAlign w:val="bottom"/>
            <w:gridSpan w:val="19"/>
          </w:tcPr>
          <w:p>
            <w:pPr>
              <w:spacing w:after="0"/>
              <w:rPr>
                <w:sz w:val="24"/>
                <w:szCs w:val="24"/>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89</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6"/>
              </w:rPr>
              <w:t>EX-31.1</w:t>
            </w:r>
          </w:p>
        </w:tc>
        <w:tc>
          <w:tcPr>
            <w:tcW w:w="9400" w:type="dxa"/>
            <w:vAlign w:val="bottom"/>
            <w:gridSpan w:val="23"/>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6"/>
              </w:rPr>
              <w:t>EX-31.2</w:t>
            </w:r>
          </w:p>
        </w:tc>
        <w:tc>
          <w:tcPr>
            <w:tcW w:w="9400" w:type="dxa"/>
            <w:vAlign w:val="bottom"/>
            <w:gridSpan w:val="23"/>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40" w:type="dxa"/>
            <w:vAlign w:val="bottom"/>
          </w:tcPr>
          <w:p>
            <w:pPr>
              <w:jc w:val="right"/>
              <w:ind w:right="511"/>
              <w:spacing w:after="0"/>
              <w:rPr>
                <w:sz w:val="20"/>
                <w:szCs w:val="20"/>
                <w:color w:val="auto"/>
              </w:rPr>
            </w:pPr>
            <w:r>
              <w:rPr>
                <w:rFonts w:ascii="Arial" w:cs="Arial" w:eastAsia="Arial" w:hAnsi="Arial"/>
                <w:sz w:val="14"/>
                <w:szCs w:val="14"/>
                <w:color w:val="auto"/>
              </w:rPr>
              <w:t>March 31,</w:t>
            </w:r>
          </w:p>
        </w:tc>
        <w:tc>
          <w:tcPr>
            <w:tcW w:w="1500" w:type="dxa"/>
            <w:vAlign w:val="bottom"/>
          </w:tcPr>
          <w:p>
            <w:pPr>
              <w:jc w:val="right"/>
              <w:ind w:right="231"/>
              <w:spacing w:after="0"/>
              <w:rPr>
                <w:sz w:val="20"/>
                <w:szCs w:val="20"/>
                <w:color w:val="auto"/>
              </w:rPr>
            </w:pPr>
            <w:r>
              <w:rPr>
                <w:rFonts w:ascii="Arial" w:cs="Arial" w:eastAsia="Arial" w:hAnsi="Arial"/>
                <w:sz w:val="14"/>
                <w:szCs w:val="14"/>
                <w:color w:val="auto"/>
              </w:rPr>
              <w:t>December 31,</w:t>
            </w:r>
          </w:p>
        </w:tc>
      </w:tr>
      <w:tr>
        <w:trPr>
          <w:trHeight w:val="174"/>
        </w:trPr>
        <w:tc>
          <w:tcPr>
            <w:tcW w:w="82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640" w:type="dxa"/>
            <w:vAlign w:val="bottom"/>
          </w:tcPr>
          <w:p>
            <w:pPr>
              <w:jc w:val="right"/>
              <w:ind w:right="671"/>
              <w:spacing w:after="0"/>
              <w:rPr>
                <w:sz w:val="20"/>
                <w:szCs w:val="20"/>
                <w:color w:val="auto"/>
              </w:rPr>
            </w:pPr>
            <w:r>
              <w:rPr>
                <w:rFonts w:ascii="Arial" w:cs="Arial" w:eastAsia="Arial" w:hAnsi="Arial"/>
                <w:sz w:val="14"/>
                <w:szCs w:val="14"/>
                <w:color w:val="auto"/>
              </w:rPr>
              <w:t>2011</w:t>
            </w:r>
          </w:p>
        </w:tc>
        <w:tc>
          <w:tcPr>
            <w:tcW w:w="1500" w:type="dxa"/>
            <w:vAlign w:val="bottom"/>
          </w:tcPr>
          <w:p>
            <w:pPr>
              <w:jc w:val="right"/>
              <w:ind w:right="491"/>
              <w:spacing w:after="0"/>
              <w:rPr>
                <w:sz w:val="20"/>
                <w:szCs w:val="20"/>
                <w:color w:val="auto"/>
              </w:rPr>
            </w:pPr>
            <w:r>
              <w:rPr>
                <w:rFonts w:ascii="Arial" w:cs="Arial" w:eastAsia="Arial" w:hAnsi="Arial"/>
                <w:sz w:val="14"/>
                <w:szCs w:val="14"/>
                <w:color w:val="auto"/>
              </w:rPr>
              <w:t>2010</w:t>
            </w:r>
          </w:p>
        </w:tc>
      </w:tr>
      <w:tr>
        <w:trPr>
          <w:trHeight w:val="216"/>
        </w:trPr>
        <w:tc>
          <w:tcPr>
            <w:tcW w:w="20" w:type="dxa"/>
            <w:vAlign w:val="bottom"/>
          </w:tcPr>
          <w:p>
            <w:pPr>
              <w:spacing w:after="0"/>
              <w:rPr>
                <w:sz w:val="18"/>
                <w:szCs w:val="18"/>
                <w:color w:val="auto"/>
              </w:rPr>
            </w:pPr>
          </w:p>
        </w:tc>
        <w:tc>
          <w:tcPr>
            <w:tcW w:w="8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6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$972,005</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908,755</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100,101</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101,222</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Federal funds sold</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10,300</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413,737</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523,834</w:t>
            </w: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rPr>
              <w:t>Investment securities (includes pledged securities that can be sold or repledged of</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$1,901,174 at March 31, 2011; $1,937,817 at December 31, 2010)</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Available for sale (cost: $4,932,460 at March 31, 2011; $5,494,377 at December 31,</w:t>
            </w:r>
          </w:p>
        </w:tc>
        <w:tc>
          <w:tcPr>
            <w:tcW w:w="16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2010)</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4,854,984</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5,413,492</w:t>
            </w: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780" w:type="dxa"/>
            <w:vAlign w:val="bottom"/>
          </w:tcPr>
          <w:p>
            <w:pPr>
              <w:ind w:left="200"/>
              <w:spacing w:after="0" w:line="201" w:lineRule="exact"/>
              <w:rPr>
                <w:sz w:val="20"/>
                <w:szCs w:val="20"/>
                <w:color w:val="auto"/>
              </w:rPr>
            </w:pPr>
            <w:r>
              <w:rPr>
                <w:rFonts w:ascii="Arial" w:cs="Arial" w:eastAsia="Arial" w:hAnsi="Arial"/>
                <w:sz w:val="18"/>
                <w:szCs w:val="18"/>
                <w:color w:val="auto"/>
              </w:rPr>
              <w:t>Held to maturity (fair value: $1,173,836 at March 31, 2011; $1,225,253 at</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December 31, 2010)</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1,262,089</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1,324,339</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(fair value: $390,092 at March 31, 2011; $412,709 at December 31, 2010)</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390,092</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412,709</w:t>
            </w: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investment securities</w:t>
            </w: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6,507,165</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7,150,540</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52,435,574</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52,315,942</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Unearned discount</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(316,893)</w:t>
            </w: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(325,560)</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52,118,681</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51,990,382</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Allowance for credit losses</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(903,703)</w:t>
            </w: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(902,941)</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Loans and leases, net</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51,214,978</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51,087,441</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Premises and equipment</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431,292</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435,837</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3,524,625</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3,524,625</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113,603</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125,917</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4,593,402</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4,138,092</w:t>
            </w:r>
          </w:p>
        </w:tc>
      </w:tr>
      <w:tr>
        <w:trPr>
          <w:trHeight w:val="230"/>
        </w:trPr>
        <w:tc>
          <w:tcPr>
            <w:tcW w:w="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assets</w:t>
            </w: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$67,881,208</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68,021,263</w:t>
            </w: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$15,219,562</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14,557,568</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1,424,848</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1,393,349</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Savings deposits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27,331,587</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26,431,281</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5,508,432</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5,817,170</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Deposits at Cayman Islands office</w:t>
            </w: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1,063,670</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1,605,916</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50,548,099</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49,805,284</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441,196</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866,555</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borrowings</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63,480</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80,877</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Accrued interest and other liabilities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1,015,495</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1,070,701</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7,305,420</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7,840,151</w:t>
            </w:r>
          </w:p>
        </w:tc>
      </w:tr>
      <w:tr>
        <w:trPr>
          <w:trHeight w:val="230"/>
        </w:trPr>
        <w:tc>
          <w:tcPr>
            <w:tcW w:w="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liabilities</w:t>
            </w: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59,373,690</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59,663,568</w:t>
            </w:r>
          </w:p>
        </w:tc>
      </w:tr>
      <w:tr>
        <w:trPr>
          <w:trHeight w:val="202"/>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Shareholders’</w:t>
            </w:r>
          </w:p>
        </w:tc>
        <w:tc>
          <w:tcPr>
            <w:tcW w:w="16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6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rPr>
              <w:t>Preferred stock, $1.00 par, 1,000,000 shares authorized, 778,000 shares issued and</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outstanding (liquidation preference $1,000 per share)</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743,385</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740,657</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$.50 par, 250,000,000 shares authorized, 120,396,611 shares issued</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60,198</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60,198</w:t>
            </w: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92"/>
              </w:rPr>
              <w:t>Common stock issuable, 66,015 shares at March 31, 2011; 71,345 shares at December 31,</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8280" w:type="dxa"/>
            <w:vAlign w:val="bottom"/>
            <w:gridSpan w:val="3"/>
          </w:tcPr>
          <w:p>
            <w:pPr>
              <w:ind w:left="1700"/>
              <w:spacing w:after="0"/>
              <w:rPr>
                <w:sz w:val="20"/>
                <w:szCs w:val="20"/>
                <w:color w:val="auto"/>
              </w:rPr>
            </w:pPr>
            <w:r>
              <w:rPr>
                <w:rFonts w:ascii="Arial" w:cs="Arial" w:eastAsia="Arial" w:hAnsi="Arial"/>
                <w:sz w:val="18"/>
                <w:szCs w:val="18"/>
                <w:color w:val="auto"/>
              </w:rPr>
              <w:t>2010</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3,889</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4,189</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2,367,556</w:t>
            </w:r>
          </w:p>
        </w:tc>
        <w:tc>
          <w:tcPr>
            <w:tcW w:w="15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2,398,615</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Retained earnings</w:t>
            </w:r>
          </w:p>
        </w:tc>
        <w:tc>
          <w:tcPr>
            <w:tcW w:w="1640" w:type="dxa"/>
            <w:vAlign w:val="bottom"/>
          </w:tcPr>
          <w:p>
            <w:pPr>
              <w:jc w:val="right"/>
              <w:ind w:right="351"/>
              <w:spacing w:after="0"/>
              <w:rPr>
                <w:sz w:val="20"/>
                <w:szCs w:val="20"/>
                <w:color w:val="auto"/>
              </w:rPr>
            </w:pPr>
            <w:r>
              <w:rPr>
                <w:rFonts w:ascii="Arial" w:cs="Arial" w:eastAsia="Arial" w:hAnsi="Arial"/>
                <w:sz w:val="18"/>
                <w:szCs w:val="18"/>
                <w:color w:val="auto"/>
              </w:rPr>
              <w:t>5,534,909</w:t>
            </w: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5,426,701</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w:t>
            </w:r>
          </w:p>
        </w:tc>
        <w:tc>
          <w:tcPr>
            <w:tcW w:w="16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(197,521)</w:t>
            </w:r>
          </w:p>
        </w:tc>
        <w:tc>
          <w:tcPr>
            <w:tcW w:w="15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(205,220)</w:t>
            </w:r>
          </w:p>
        </w:tc>
      </w:tr>
      <w:tr>
        <w:trPr>
          <w:trHeight w:val="202"/>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94"/>
              </w:rPr>
              <w:t>Treasury stock — common, at cost - 52,284 shares at March 31, 2011; 693,974 shares at</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December 31, 2010</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(4,898)</w:t>
            </w: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(67,445)</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8,507,518</w:t>
            </w:r>
          </w:p>
        </w:tc>
        <w:tc>
          <w:tcPr>
            <w:tcW w:w="15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8,357,695</w:t>
            </w:r>
          </w:p>
        </w:tc>
      </w:tr>
      <w:tr>
        <w:trPr>
          <w:trHeight w:val="223"/>
        </w:trPr>
        <w:tc>
          <w:tcPr>
            <w:tcW w:w="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$67,881,208</w:t>
            </w: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68,021,263</w:t>
            </w:r>
          </w:p>
        </w:tc>
      </w:tr>
      <w:tr>
        <w:trPr>
          <w:trHeight w:val="412"/>
        </w:trPr>
        <w:tc>
          <w:tcPr>
            <w:tcW w:w="8280" w:type="dxa"/>
            <w:vAlign w:val="bottom"/>
            <w:gridSpan w:val="3"/>
          </w:tcPr>
          <w:p>
            <w:pPr>
              <w:jc w:val="right"/>
              <w:ind w:right="2330"/>
              <w:spacing w:after="0"/>
              <w:rPr>
                <w:sz w:val="20"/>
                <w:szCs w:val="20"/>
                <w:color w:val="auto"/>
              </w:rPr>
            </w:pPr>
            <w:r>
              <w:rPr>
                <w:rFonts w:ascii="Arial" w:cs="Arial" w:eastAsia="Arial" w:hAnsi="Arial"/>
                <w:sz w:val="18"/>
                <w:szCs w:val="18"/>
                <w:color w:val="auto"/>
              </w:rPr>
              <w:t>- 3 -</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60" w:type="dxa"/>
            <w:vAlign w:val="bottom"/>
            <w:gridSpan w:val="2"/>
          </w:tcPr>
          <w:p>
            <w:pPr>
              <w:jc w:val="right"/>
              <w:ind w:right="57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7840" w:type="dxa"/>
            <w:vAlign w:val="bottom"/>
            <w:gridSpan w:val="4"/>
          </w:tcPr>
          <w:p>
            <w:pPr>
              <w:spacing w:after="0"/>
              <w:rPr>
                <w:sz w:val="20"/>
                <w:szCs w:val="20"/>
                <w:color w:val="auto"/>
              </w:rPr>
            </w:pPr>
            <w:r>
              <w:rPr>
                <w:rFonts w:ascii="Arial" w:cs="Arial" w:eastAsia="Arial" w:hAnsi="Arial"/>
                <w:sz w:val="14"/>
                <w:szCs w:val="14"/>
                <w:i w:val="1"/>
                <w:iCs w:val="1"/>
                <w:color w:val="auto"/>
              </w:rPr>
              <w:t>In thousands, except per share</w:t>
            </w:r>
          </w:p>
        </w:tc>
        <w:tc>
          <w:tcPr>
            <w:tcW w:w="820" w:type="dxa"/>
            <w:vAlign w:val="bottom"/>
          </w:tcPr>
          <w:p>
            <w:pPr>
              <w:spacing w:after="0"/>
              <w:rPr>
                <w:sz w:val="15"/>
                <w:szCs w:val="15"/>
                <w:color w:val="auto"/>
              </w:rPr>
            </w:pPr>
          </w:p>
        </w:tc>
        <w:tc>
          <w:tcPr>
            <w:tcW w:w="1240" w:type="dxa"/>
            <w:vAlign w:val="bottom"/>
          </w:tcPr>
          <w:p>
            <w:pPr>
              <w:jc w:val="right"/>
              <w:ind w:right="731"/>
              <w:spacing w:after="0"/>
              <w:rPr>
                <w:sz w:val="20"/>
                <w:szCs w:val="20"/>
                <w:color w:val="auto"/>
              </w:rPr>
            </w:pPr>
            <w:r>
              <w:rPr>
                <w:rFonts w:ascii="Arial" w:cs="Arial" w:eastAsia="Arial" w:hAnsi="Arial"/>
                <w:sz w:val="14"/>
                <w:szCs w:val="14"/>
                <w:color w:val="auto"/>
              </w:rPr>
              <w:t>2011</w:t>
            </w:r>
          </w:p>
        </w:tc>
        <w:tc>
          <w:tcPr>
            <w:tcW w:w="1520" w:type="dxa"/>
            <w:vAlign w:val="bottom"/>
          </w:tcPr>
          <w:p>
            <w:pPr>
              <w:jc w:val="right"/>
              <w:ind w:right="410"/>
              <w:spacing w:after="0"/>
              <w:rPr>
                <w:sz w:val="20"/>
                <w:szCs w:val="20"/>
                <w:color w:val="auto"/>
              </w:rPr>
            </w:pPr>
            <w:r>
              <w:rPr>
                <w:rFonts w:ascii="Arial" w:cs="Arial" w:eastAsia="Arial" w:hAnsi="Arial"/>
                <w:sz w:val="14"/>
                <w:szCs w:val="14"/>
                <w:color w:val="auto"/>
              </w:rPr>
              <w:t>2010</w:t>
            </w:r>
          </w:p>
        </w:tc>
      </w:tr>
      <w:tr>
        <w:trPr>
          <w:trHeight w:val="202"/>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340" w:type="dxa"/>
            <w:vAlign w:val="bottom"/>
            <w:tcBorders>
              <w:top w:val="single" w:sz="8" w:color="auto"/>
            </w:tcBorders>
            <w:shd w:val="clear" w:color="auto" w:fill="CCEEFF"/>
          </w:tcPr>
          <w:p>
            <w:pPr>
              <w:spacing w:after="0"/>
              <w:rPr>
                <w:sz w:val="17"/>
                <w:szCs w:val="17"/>
                <w:color w:val="auto"/>
              </w:rPr>
            </w:pPr>
          </w:p>
        </w:tc>
        <w:tc>
          <w:tcPr>
            <w:tcW w:w="65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and leases, including fees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594,032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588,127</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Deposits at banks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36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Agreements to resell securities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Trading account</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388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Investment securities</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Fully taxable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70,662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85,647</w:t>
            </w: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Exempt from federal taxes</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2,346</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 income</w:t>
            </w:r>
          </w:p>
        </w:tc>
        <w:tc>
          <w:tcPr>
            <w:tcW w:w="8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667,483</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676,386</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NOW accounts</w:t>
            </w:r>
          </w:p>
        </w:tc>
        <w:tc>
          <w:tcPr>
            <w:tcW w:w="82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202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Savings deposits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19,239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20,449</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Time deposits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19,071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29,446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 at Cayman Islands office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394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Short-term borrowings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492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887</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borrowings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59,281</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68,745</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rPr>
              <w:t>98,679</w:t>
            </w:r>
          </w:p>
        </w:tc>
        <w:tc>
          <w:tcPr>
            <w:tcW w:w="1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120,052</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Net interest income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568,804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556,334</w:t>
            </w: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credit losses</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75,000</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105,000</w:t>
            </w: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9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interest income after provision for credit losses</w:t>
            </w:r>
          </w:p>
        </w:tc>
        <w:tc>
          <w:tcPr>
            <w:tcW w:w="8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493,804</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451,334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Mortgage banking revenues</w:t>
            </w:r>
          </w:p>
        </w:tc>
        <w:tc>
          <w:tcPr>
            <w:tcW w:w="82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45,156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41,476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Service charges on deposit accounts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109,731</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120,295</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Trust income</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29,321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30,928</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Brokerage services income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14,296</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13,106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Trading account and foreign exchange gains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8,279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4,699</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bank investment securities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39,353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459</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Total other-than-temporary impairment (“OTTI”) losses</w:t>
            </w:r>
          </w:p>
        </w:tc>
        <w:tc>
          <w:tcPr>
            <w:tcW w:w="820" w:type="dxa"/>
            <w:vAlign w:val="bottom"/>
          </w:tcPr>
          <w:p>
            <w:pPr>
              <w:spacing w:after="0"/>
              <w:rPr>
                <w:sz w:val="18"/>
                <w:szCs w:val="18"/>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color w:val="auto"/>
              </w:rPr>
              <w:t>(9,514)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(29,487)</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(6,527)</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2,685</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Net OTTI losses recognized in earnings</w:t>
            </w:r>
          </w:p>
        </w:tc>
        <w:tc>
          <w:tcPr>
            <w:tcW w:w="8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w w:val="92"/>
              </w:rPr>
              <w:t>(16,041)</w:t>
            </w:r>
          </w:p>
        </w:tc>
        <w:tc>
          <w:tcPr>
            <w:tcW w:w="15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(26,802)</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earnings of Bayview Lending Group LLC</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(6,678)</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(5,714)</w:t>
            </w: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Other revenues from operations</w:t>
            </w:r>
          </w:p>
        </w:tc>
        <w:tc>
          <w:tcPr>
            <w:tcW w:w="820" w:type="dxa"/>
            <w:vAlign w:val="bottom"/>
          </w:tcPr>
          <w:p>
            <w:pPr>
              <w:spacing w:after="0"/>
              <w:rPr>
                <w:sz w:val="19"/>
                <w:szCs w:val="19"/>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91,003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79,259</w:t>
            </w: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other income</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314,420</w:t>
            </w:r>
          </w:p>
        </w:tc>
        <w:tc>
          <w:tcPr>
            <w:tcW w:w="15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257,706</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Salaries and employee benefits</w:t>
            </w:r>
          </w:p>
        </w:tc>
        <w:tc>
          <w:tcPr>
            <w:tcW w:w="82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266,090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264,046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and net occupancy</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56,663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55,401</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Printing, postage and supplies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9,202</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9,043</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core deposit and other intangible assets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12,314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16,475</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FDIC assessments</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19,094</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21,348</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costs of operations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136,208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123,049</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Total other expense</w:t>
            </w:r>
          </w:p>
        </w:tc>
        <w:tc>
          <w:tcPr>
            <w:tcW w:w="8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499,571</w:t>
            </w:r>
          </w:p>
        </w:tc>
        <w:tc>
          <w:tcPr>
            <w:tcW w:w="1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489,362</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taxes</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308,653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219,678</w:t>
            </w: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102,380</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68,723</w:t>
            </w:r>
          </w:p>
        </w:tc>
      </w:tr>
      <w:tr>
        <w:trPr>
          <w:trHeight w:val="216"/>
        </w:trPr>
        <w:tc>
          <w:tcPr>
            <w:tcW w:w="20" w:type="dxa"/>
            <w:vAlign w:val="bottom"/>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9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206,273</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150,955</w:t>
            </w:r>
          </w:p>
        </w:tc>
      </w:tr>
      <w:tr>
        <w:trPr>
          <w:trHeight w:val="43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190,113</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136,428</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190,121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136,431</w:t>
            </w:r>
          </w:p>
        </w:tc>
      </w:tr>
      <w:tr>
        <w:trPr>
          <w:trHeight w:val="202"/>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per common share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1.59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1.59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1.15</w:t>
            </w: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Cash dividends per common share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.70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common shares outstanding</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119,201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117,765</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119,852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118,256</w:t>
            </w:r>
          </w:p>
        </w:tc>
      </w:tr>
      <w:tr>
        <w:trPr>
          <w:trHeight w:val="40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gridSpan w:val="2"/>
          </w:tcPr>
          <w:p>
            <w:pPr>
              <w:jc w:val="right"/>
              <w:ind w:right="1890"/>
              <w:spacing w:after="0"/>
              <w:rPr>
                <w:sz w:val="20"/>
                <w:szCs w:val="20"/>
                <w:color w:val="auto"/>
              </w:rPr>
            </w:pPr>
            <w:r>
              <w:rPr>
                <w:rFonts w:ascii="Arial" w:cs="Arial" w:eastAsia="Arial" w:hAnsi="Arial"/>
                <w:sz w:val="18"/>
                <w:szCs w:val="18"/>
                <w:color w:val="auto"/>
              </w:rPr>
              <w:t>- 4 -</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316"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2"/>
          </w:tcPr>
          <w:p>
            <w:pPr>
              <w:jc w:val="right"/>
              <w:ind w:right="65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1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ind w:right="731"/>
              <w:spacing w:after="0"/>
              <w:rPr>
                <w:sz w:val="20"/>
                <w:szCs w:val="20"/>
                <w:color w:val="auto"/>
              </w:rPr>
            </w:pPr>
            <w:r>
              <w:rPr>
                <w:rFonts w:ascii="Arial" w:cs="Arial" w:eastAsia="Arial" w:hAnsi="Arial"/>
                <w:sz w:val="14"/>
                <w:szCs w:val="14"/>
                <w:color w:val="auto"/>
              </w:rPr>
              <w:t>2011</w:t>
            </w:r>
          </w:p>
        </w:tc>
        <w:tc>
          <w:tcPr>
            <w:tcW w:w="1620" w:type="dxa"/>
            <w:vAlign w:val="bottom"/>
          </w:tcPr>
          <w:p>
            <w:pPr>
              <w:jc w:val="right"/>
              <w:ind w:right="450"/>
              <w:spacing w:after="0"/>
              <w:rPr>
                <w:sz w:val="20"/>
                <w:szCs w:val="20"/>
                <w:color w:val="auto"/>
              </w:rPr>
            </w:pPr>
            <w:r>
              <w:rPr>
                <w:rFonts w:ascii="Arial" w:cs="Arial" w:eastAsia="Arial" w:hAnsi="Arial"/>
                <w:sz w:val="14"/>
                <w:szCs w:val="14"/>
                <w:color w:val="auto"/>
              </w:rPr>
              <w:t>2010</w:t>
            </w: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Cash flows</w:t>
            </w:r>
          </w:p>
        </w:tc>
        <w:tc>
          <w:tcPr>
            <w:tcW w:w="6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from</w:t>
            </w: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5"/>
              </w:rPr>
              <w:t>206,273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150,955</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operating activities</w:t>
            </w:r>
          </w:p>
        </w:tc>
        <w:tc>
          <w:tcPr>
            <w:tcW w:w="6200" w:type="dxa"/>
            <w:vAlign w:val="bottom"/>
          </w:tcPr>
          <w:p>
            <w:pPr>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credit losses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75,000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105,000</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Depreciation and amortization of premises and equipment</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17,978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17,207</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capitalized servicing rights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13,478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14,645</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Amortization of core deposit and other intangible assets</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12,314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16,475</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deferred income taxes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11,438</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(10,163)</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Asset write-downs</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17,720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27,821</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(gain) loss on sales of assets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(44,504)</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1,461</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Net change in accrued interest receivable, payable</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5,068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other accrued income and expense</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2,063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80,537</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Net change in loans originated for sale</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w w:val="95"/>
              </w:rPr>
              <w:t>373,020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252,227</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change in trading account assets and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80,805</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(2,664)</w:t>
            </w:r>
          </w:p>
        </w:tc>
      </w:tr>
      <w:tr>
        <w:trPr>
          <w:trHeight w:val="230"/>
        </w:trPr>
        <w:tc>
          <w:tcPr>
            <w:tcW w:w="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95"/>
              </w:rPr>
              <w:t>770,653</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653,599</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flows</w:t>
            </w: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from</w:t>
            </w: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investing activities</w:t>
            </w:r>
          </w:p>
        </w:tc>
        <w:tc>
          <w:tcPr>
            <w:tcW w:w="620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13,380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14,759</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22,969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11,478</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Proceeds from maturities of investment securities</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95"/>
              </w:rPr>
              <w:t>408,574</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369,136</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Held to maturity</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66,465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29,828</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 securities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Available for sale</w:t>
            </w:r>
          </w:p>
        </w:tc>
        <w:tc>
          <w:tcPr>
            <w:tcW w:w="5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color w:val="auto"/>
                <w:w w:val="88"/>
              </w:rPr>
              <w:t>(353,508)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(34,084)</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to maturity</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(7,796)</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(969,953)</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color w:val="auto"/>
              </w:rPr>
              <w:t>(352)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(428)</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loans and leases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88"/>
              </w:rPr>
              <w:t>(579,845)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546,709</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decrease in interest-bearing deposits at banks</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1,121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12,030</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net</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(8,769)</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(6,198)</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Additions to capitalized servicing rights</w:t>
            </w:r>
          </w:p>
        </w:tc>
        <w:tc>
          <w:tcPr>
            <w:tcW w:w="5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color w:val="auto"/>
              </w:rPr>
              <w:t>(1,195)</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net</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(8,854)</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(10,570)</w:t>
            </w: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35,231</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(10,305)</w:t>
            </w:r>
          </w:p>
        </w:tc>
      </w:tr>
      <w:tr>
        <w:trPr>
          <w:trHeight w:val="216"/>
        </w:trPr>
        <w:tc>
          <w:tcPr>
            <w:tcW w:w="20" w:type="dxa"/>
            <w:vAlign w:val="bottom"/>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6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cash used by investing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88"/>
              </w:rPr>
              <w:t>(412,579)</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(47,655)</w:t>
            </w:r>
          </w:p>
        </w:tc>
      </w:tr>
      <w:tr>
        <w:trPr>
          <w:trHeight w:val="209"/>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Cash flows</w:t>
            </w:r>
          </w:p>
        </w:tc>
        <w:tc>
          <w:tcPr>
            <w:tcW w:w="6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from</w:t>
            </w:r>
          </w:p>
        </w:tc>
        <w:tc>
          <w:tcPr>
            <w:tcW w:w="6200" w:type="dxa"/>
            <w:vAlign w:val="bottom"/>
          </w:tcPr>
          <w:p>
            <w:pPr>
              <w:spacing w:after="0"/>
              <w:rPr>
                <w:sz w:val="20"/>
                <w:szCs w:val="20"/>
                <w:color w:val="auto"/>
              </w:rPr>
            </w:pPr>
            <w:r>
              <w:rPr>
                <w:rFonts w:ascii="Arial" w:cs="Arial" w:eastAsia="Arial" w:hAnsi="Arial"/>
                <w:sz w:val="18"/>
                <w:szCs w:val="18"/>
                <w:color w:val="auto"/>
              </w:rPr>
              <w:t>Net increase in deposits</w:t>
            </w:r>
          </w:p>
        </w:tc>
        <w:tc>
          <w:tcPr>
            <w:tcW w:w="50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w w:val="95"/>
              </w:rPr>
              <w:t>745,021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93,998</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short-term borrowings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88"/>
              </w:rPr>
              <w:t>(442,751)</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(571,827)</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color w:val="auto"/>
                <w:w w:val="88"/>
              </w:rPr>
              <w:t>(528,511)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(252,880)</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common</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(84,718)</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(83,303)</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Dividends paid — preferred</w:t>
            </w:r>
          </w:p>
        </w:tc>
        <w:tc>
          <w:tcPr>
            <w:tcW w:w="5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8"/>
                <w:szCs w:val="18"/>
                <w:color w:val="auto"/>
              </w:rPr>
              <w:t>(10,056)</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(10,056)</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11,491</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15,451</w:t>
            </w: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cash used by financing activities</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88"/>
              </w:rPr>
              <w:t>(309,524)</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(808,617)</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48,550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(202,673)</w:t>
            </w: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95"/>
              </w:rPr>
              <w:t>933,755</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1,246,342</w:t>
            </w:r>
          </w:p>
        </w:tc>
      </w:tr>
      <w:tr>
        <w:trPr>
          <w:trHeight w:val="216"/>
        </w:trPr>
        <w:tc>
          <w:tcPr>
            <w:tcW w:w="20" w:type="dxa"/>
            <w:vAlign w:val="bottom"/>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95"/>
              </w:rPr>
              <w:t>982,305</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1,043,669</w:t>
            </w:r>
          </w:p>
        </w:tc>
      </w:tr>
      <w:tr>
        <w:trPr>
          <w:trHeight w:val="209"/>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Supplemental</w:t>
            </w:r>
          </w:p>
        </w:tc>
        <w:tc>
          <w:tcPr>
            <w:tcW w:w="6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disclosure of</w:t>
            </w:r>
          </w:p>
        </w:tc>
        <w:tc>
          <w:tcPr>
            <w:tcW w:w="6200" w:type="dxa"/>
            <w:vAlign w:val="bottom"/>
          </w:tcPr>
          <w:p>
            <w:pPr>
              <w:spacing w:after="0"/>
              <w:rPr>
                <w:sz w:val="20"/>
                <w:szCs w:val="20"/>
                <w:color w:val="auto"/>
              </w:rPr>
            </w:pPr>
            <w:r>
              <w:rPr>
                <w:rFonts w:ascii="Arial" w:cs="Arial" w:eastAsia="Arial" w:hAnsi="Arial"/>
                <w:sz w:val="18"/>
                <w:szCs w:val="18"/>
                <w:color w:val="auto"/>
              </w:rPr>
              <w:t>Interest received during the period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1"/>
              <w:spacing w:after="0"/>
              <w:rPr>
                <w:sz w:val="20"/>
                <w:szCs w:val="20"/>
                <w:color w:val="auto"/>
              </w:rPr>
            </w:pPr>
            <w:r>
              <w:rPr>
                <w:rFonts w:ascii="Arial" w:cs="Arial" w:eastAsia="Arial" w:hAnsi="Arial"/>
                <w:sz w:val="18"/>
                <w:szCs w:val="18"/>
                <w:color w:val="auto"/>
                <w:w w:val="95"/>
              </w:rPr>
              <w:t>665,490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684,212</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cash flow</w:t>
            </w: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88,658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121,445</w:t>
            </w:r>
          </w:p>
        </w:tc>
      </w:tr>
      <w:tr>
        <w:trPr>
          <w:trHeight w:val="223"/>
        </w:trPr>
        <w:tc>
          <w:tcPr>
            <w:tcW w:w="20" w:type="dxa"/>
            <w:vAlign w:val="bottom"/>
          </w:tcPr>
          <w:p>
            <w:pPr>
              <w:spacing w:after="0"/>
              <w:rPr>
                <w:sz w:val="19"/>
                <w:szCs w:val="19"/>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information</w:t>
            </w: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paid during the period</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77,169</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14,250</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w:t>
            </w: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schedule of</w:t>
            </w: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Real estate acquired in settlement of loans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18,168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20,749</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noncash</w:t>
            </w:r>
          </w:p>
        </w:tc>
        <w:tc>
          <w:tcPr>
            <w:tcW w:w="6200" w:type="dxa"/>
            <w:vAlign w:val="bottom"/>
          </w:tcPr>
          <w:p>
            <w:pPr>
              <w:spacing w:after="0"/>
              <w:rPr>
                <w:sz w:val="20"/>
                <w:szCs w:val="20"/>
                <w:color w:val="auto"/>
              </w:rPr>
            </w:pPr>
            <w:r>
              <w:rPr>
                <w:rFonts w:ascii="Arial" w:cs="Arial" w:eastAsia="Arial" w:hAnsi="Arial"/>
                <w:sz w:val="18"/>
                <w:szCs w:val="18"/>
                <w:color w:val="auto"/>
              </w:rPr>
              <w:t>Increase (decrease) from consolidation of securitization trusts:</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investing and</w:t>
            </w: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423,865</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financing</w:t>
            </w:r>
          </w:p>
        </w:tc>
        <w:tc>
          <w:tcPr>
            <w:tcW w:w="6200" w:type="dxa"/>
            <w:vAlign w:val="bottom"/>
          </w:tcPr>
          <w:p>
            <w:pPr>
              <w:ind w:left="200"/>
              <w:spacing w:after="0"/>
              <w:rPr>
                <w:sz w:val="20"/>
                <w:szCs w:val="20"/>
                <w:color w:val="auto"/>
              </w:rPr>
            </w:pPr>
            <w:r>
              <w:rPr>
                <w:rFonts w:ascii="Arial" w:cs="Arial" w:eastAsia="Arial" w:hAnsi="Arial"/>
                <w:sz w:val="18"/>
                <w:szCs w:val="18"/>
                <w:color w:val="auto"/>
              </w:rPr>
              <w:t>Investment securities — available for sale</w:t>
            </w:r>
          </w:p>
        </w:tc>
        <w:tc>
          <w:tcPr>
            <w:tcW w:w="50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(360,471)</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65,419</w:t>
            </w: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Accrued interest and other</w:t>
            </w:r>
          </w:p>
        </w:tc>
        <w:tc>
          <w:tcPr>
            <w:tcW w:w="500" w:type="dxa"/>
            <w:vAlign w:val="bottom"/>
          </w:tcPr>
          <w:p>
            <w:pPr>
              <w:spacing w:after="0"/>
              <w:rPr>
                <w:sz w:val="20"/>
                <w:szCs w:val="20"/>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2,025</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20" w:firstLine="3721"/>
        <w:spacing w:after="0" w:line="440" w:lineRule="auto"/>
        <w:rPr>
          <w:sz w:val="20"/>
          <w:szCs w:val="20"/>
          <w:color w:val="auto"/>
        </w:rPr>
      </w:pPr>
      <w:r>
        <w:rPr>
          <w:rFonts w:ascii="Arial" w:cs="Arial" w:eastAsia="Arial" w:hAnsi="Arial"/>
          <w:sz w:val="17"/>
          <w:szCs w:val="17"/>
          <w:color w:val="auto"/>
        </w:rPr>
        <w:t>M&amp;T BANK CORPORATION AND SUBSIDIARIES CONSOLIDATED STATEMENT OF CHANGES IN SHAREHOLDERS’ EQUITY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jc w:val="right"/>
              <w:ind w:right="153"/>
              <w:spacing w:after="0"/>
              <w:rPr>
                <w:sz w:val="20"/>
                <w:szCs w:val="20"/>
                <w:color w:val="auto"/>
              </w:rPr>
            </w:pPr>
            <w:r>
              <w:rPr>
                <w:rFonts w:ascii="Arial" w:cs="Arial" w:eastAsia="Arial" w:hAnsi="Arial"/>
                <w:sz w:val="14"/>
                <w:szCs w:val="14"/>
                <w:color w:val="auto"/>
              </w:rPr>
              <w:t>Accumulated</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other</w:t>
            </w: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Common</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Additional</w:t>
            </w:r>
          </w:p>
        </w:tc>
        <w:tc>
          <w:tcPr>
            <w:tcW w:w="1080" w:type="dxa"/>
            <w:vAlign w:val="bottom"/>
          </w:tcPr>
          <w:p>
            <w:pPr>
              <w:spacing w:after="0"/>
              <w:rPr>
                <w:sz w:val="12"/>
                <w:szCs w:val="12"/>
                <w:color w:val="auto"/>
              </w:rPr>
            </w:pPr>
          </w:p>
        </w:tc>
        <w:tc>
          <w:tcPr>
            <w:tcW w:w="122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comprehensive</w:t>
            </w: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Preferred</w:t>
            </w:r>
          </w:p>
        </w:tc>
        <w:tc>
          <w:tcPr>
            <w:tcW w:w="92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Common</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stock</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paid-in</w:t>
            </w: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Retained</w:t>
            </w:r>
          </w:p>
        </w:tc>
        <w:tc>
          <w:tcPr>
            <w:tcW w:w="12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income</w:t>
            </w:r>
          </w:p>
        </w:tc>
        <w:tc>
          <w:tcPr>
            <w:tcW w:w="1120" w:type="dxa"/>
            <w:vAlign w:val="bottom"/>
          </w:tcPr>
          <w:p>
            <w:pPr>
              <w:jc w:val="right"/>
              <w:ind w:right="21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stock</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issuable</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capital</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earnings</w:t>
            </w:r>
          </w:p>
        </w:tc>
        <w:tc>
          <w:tcPr>
            <w:tcW w:w="1220" w:type="dxa"/>
            <w:vAlign w:val="bottom"/>
          </w:tcPr>
          <w:p>
            <w:pPr>
              <w:jc w:val="right"/>
              <w:ind w:right="153"/>
              <w:spacing w:after="0"/>
              <w:rPr>
                <w:sz w:val="20"/>
                <w:szCs w:val="20"/>
                <w:color w:val="auto"/>
              </w:rPr>
            </w:pPr>
            <w:r>
              <w:rPr>
                <w:rFonts w:ascii="Arial" w:cs="Arial" w:eastAsia="Arial" w:hAnsi="Arial"/>
                <w:sz w:val="14"/>
                <w:szCs w:val="14"/>
                <w:color w:val="auto"/>
              </w:rPr>
              <w:t>(loss), net</w:t>
            </w:r>
          </w:p>
        </w:tc>
        <w:tc>
          <w:tcPr>
            <w:tcW w:w="1120" w:type="dxa"/>
            <w:vAlign w:val="bottom"/>
          </w:tcPr>
          <w:p>
            <w:pPr>
              <w:jc w:val="right"/>
              <w:ind w:right="211"/>
              <w:spacing w:after="0"/>
              <w:rPr>
                <w:sz w:val="20"/>
                <w:szCs w:val="20"/>
                <w:color w:val="auto"/>
              </w:rPr>
            </w:pPr>
            <w:r>
              <w:rPr>
                <w:rFonts w:ascii="Arial" w:cs="Arial" w:eastAsia="Arial" w:hAnsi="Arial"/>
                <w:sz w:val="14"/>
                <w:szCs w:val="14"/>
                <w:color w:val="auto"/>
              </w:rPr>
              <w:t>stock</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w w:val="99"/>
              </w:rPr>
              <w:t>$ 730,235</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60,198</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4,342</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2,442,947</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5,076,884</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(335,997)</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(225,702)</w:t>
            </w:r>
          </w:p>
        </w:tc>
        <w:tc>
          <w:tcPr>
            <w:tcW w:w="840" w:type="dxa"/>
            <w:vAlign w:val="bottom"/>
          </w:tcPr>
          <w:p>
            <w:pPr>
              <w:jc w:val="right"/>
              <w:spacing w:after="0"/>
              <w:rPr>
                <w:sz w:val="20"/>
                <w:szCs w:val="20"/>
                <w:color w:val="auto"/>
              </w:rPr>
            </w:pPr>
            <w:r>
              <w:rPr>
                <w:rFonts w:ascii="Arial" w:cs="Arial" w:eastAsia="Arial" w:hAnsi="Arial"/>
                <w:sz w:val="18"/>
                <w:szCs w:val="18"/>
                <w:color w:val="auto"/>
              </w:rPr>
              <w:t>7,752,907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150,955</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150,955</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Other comprehensive income, net of</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and reclassification</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 investment</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79,856</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79,856</w:t>
            </w: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 liability</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1,030</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 terminated</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600"/>
              <w:spacing w:after="0"/>
              <w:rPr>
                <w:sz w:val="20"/>
                <w:szCs w:val="20"/>
                <w:color w:val="auto"/>
              </w:rPr>
            </w:pPr>
            <w:r>
              <w:rPr>
                <w:rFonts w:ascii="Arial" w:cs="Arial" w:eastAsia="Arial" w:hAnsi="Arial"/>
                <w:sz w:val="18"/>
                <w:szCs w:val="18"/>
                <w:color w:val="auto"/>
              </w:rPr>
              <w:t>cash flow hedge</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(10,056)</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(10,056)</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preferred stock discount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2,534</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Repayment of management stock</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ownership program receivable</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155</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Compensation expense, net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(23,297)</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39,426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16,129</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Exercises of stock options, net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(8,471)</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16,169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Directors’ stock plan</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(145)</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Deferred compensation plans, net,</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including dividend equivalents</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(269)</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471</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cash dividends — $0.70</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(83,601)</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(83,601)</w:t>
            </w:r>
          </w:p>
        </w:tc>
      </w:tr>
      <w:tr>
        <w:trPr>
          <w:trHeight w:val="230"/>
        </w:trPr>
        <w:tc>
          <w:tcPr>
            <w:tcW w:w="20" w:type="dxa"/>
            <w:vAlign w:val="bottom"/>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March 31, 2010</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$ 732,769</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60,198</w:t>
            </w: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4,073</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2,411,402</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5,131,600</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(255,181)</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(169,174)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7,915,687</w:t>
            </w:r>
          </w:p>
        </w:tc>
        <w:tc>
          <w:tcPr>
            <w:tcW w:w="6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w w:val="99"/>
              </w:rPr>
              <w:t>$ 740,657</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60,198</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4,189</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2,398,615</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5,426,701</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(205,220)</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(67,445)</w:t>
            </w:r>
          </w:p>
        </w:tc>
        <w:tc>
          <w:tcPr>
            <w:tcW w:w="840" w:type="dxa"/>
            <w:vAlign w:val="bottom"/>
          </w:tcPr>
          <w:p>
            <w:pPr>
              <w:jc w:val="right"/>
              <w:spacing w:after="0"/>
              <w:rPr>
                <w:sz w:val="20"/>
                <w:szCs w:val="20"/>
                <w:color w:val="auto"/>
              </w:rPr>
            </w:pPr>
            <w:r>
              <w:rPr>
                <w:rFonts w:ascii="Arial" w:cs="Arial" w:eastAsia="Arial" w:hAnsi="Arial"/>
                <w:sz w:val="18"/>
                <w:szCs w:val="18"/>
                <w:color w:val="auto"/>
              </w:rPr>
              <w:t>8,357,695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206,273</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206,273</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Other comprehensive income, net of</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 and reclassification</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 investment</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5,658</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5,658</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 liability</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2,111</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w:t>
            </w:r>
          </w:p>
        </w:tc>
      </w:tr>
      <w:tr>
        <w:trPr>
          <w:trHeight w:val="202"/>
        </w:trPr>
        <w:tc>
          <w:tcPr>
            <w:tcW w:w="20" w:type="dxa"/>
            <w:vAlign w:val="bottom"/>
          </w:tcPr>
          <w:p>
            <w:pPr>
              <w:spacing w:after="0"/>
              <w:rPr>
                <w:sz w:val="17"/>
                <w:szCs w:val="17"/>
                <w:color w:val="auto"/>
              </w:rPr>
            </w:pPr>
          </w:p>
        </w:tc>
        <w:tc>
          <w:tcPr>
            <w:tcW w:w="30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 terminated</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600"/>
              <w:spacing w:after="0"/>
              <w:rPr>
                <w:sz w:val="20"/>
                <w:szCs w:val="20"/>
                <w:color w:val="auto"/>
              </w:rPr>
            </w:pPr>
            <w:r>
              <w:rPr>
                <w:rFonts w:ascii="Arial" w:cs="Arial" w:eastAsia="Arial" w:hAnsi="Arial"/>
                <w:sz w:val="18"/>
                <w:szCs w:val="18"/>
                <w:color w:val="auto"/>
              </w:rPr>
              <w:t>cash flow hedge</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Preferred stock cash dividends</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(10,498)</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(10,498)</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preferred stock discount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2,728</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(2,728)</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expense, net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(20,796)</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31,664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10,868</w:t>
            </w:r>
          </w:p>
        </w:tc>
      </w:tr>
      <w:tr>
        <w:trPr>
          <w:trHeight w:val="216"/>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Exercises of stock options, net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(10,524)</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30,072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19,548</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r>
        <w:trPr>
          <w:trHeight w:val="202"/>
        </w:trPr>
        <w:tc>
          <w:tcPr>
            <w:tcW w:w="20" w:type="dxa"/>
            <w:vAlign w:val="bottom"/>
          </w:tcPr>
          <w:p>
            <w:pPr>
              <w:spacing w:after="0"/>
              <w:rPr>
                <w:sz w:val="17"/>
                <w:szCs w:val="17"/>
                <w:color w:val="auto"/>
              </w:rPr>
            </w:pPr>
          </w:p>
        </w:tc>
        <w:tc>
          <w:tcPr>
            <w:tcW w:w="304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 plans, net,</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400"/>
              <w:spacing w:after="0"/>
              <w:rPr>
                <w:sz w:val="20"/>
                <w:szCs w:val="20"/>
                <w:color w:val="auto"/>
              </w:rPr>
            </w:pPr>
            <w:r>
              <w:rPr>
                <w:rFonts w:ascii="Arial" w:cs="Arial" w:eastAsia="Arial" w:hAnsi="Arial"/>
                <w:sz w:val="18"/>
                <w:szCs w:val="18"/>
                <w:color w:val="auto"/>
              </w:rPr>
              <w:t>including dividend equivalents</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(300)</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(220)</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507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513</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5"/>
              </w:rPr>
              <w:t>Common stock cash dividends — $0.70</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 share</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(84,792)</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(84,792)</w:t>
            </w:r>
          </w:p>
        </w:tc>
      </w:tr>
      <w:tr>
        <w:trPr>
          <w:trHeight w:val="216"/>
        </w:trPr>
        <w:tc>
          <w:tcPr>
            <w:tcW w:w="20" w:type="dxa"/>
            <w:vAlign w:val="bottom"/>
          </w:tcPr>
          <w:p>
            <w:pPr>
              <w:spacing w:after="0"/>
              <w:rPr>
                <w:sz w:val="18"/>
                <w:szCs w:val="18"/>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$ 743,385</w:t>
            </w:r>
          </w:p>
        </w:tc>
        <w:tc>
          <w:tcPr>
            <w:tcW w:w="9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60,198</w:t>
            </w: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3,889</w:t>
            </w: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2,367,556</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5,534,909</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(197,521)</w:t>
            </w: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(4,898)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8,507,518</w:t>
            </w:r>
          </w:p>
        </w:tc>
        <w:tc>
          <w:tcPr>
            <w:tcW w:w="60" w:type="dxa"/>
            <w:vAlign w:val="bottom"/>
            <w:tcBorders>
              <w:bottom w:val="single" w:sz="8" w:color="auto"/>
            </w:tcBorders>
            <w:shd w:val="clear" w:color="auto" w:fill="CCEEFF"/>
          </w:tcPr>
          <w:p>
            <w:pPr>
              <w:spacing w:after="0"/>
              <w:rPr>
                <w:sz w:val="18"/>
                <w:szCs w:val="18"/>
                <w:color w:val="auto"/>
              </w:rPr>
            </w:pPr>
          </w:p>
        </w:tc>
      </w:tr>
      <w:tr>
        <w:trPr>
          <w:trHeight w:val="41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- 6 -</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2010 Annual Report. In the opinion of management, all adjustments necessary for a fair presentation have been made and were all of a normal recurring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November 5, 2010, M&amp;T Bank, M&amp;T’s principal banking subsidiary, entered into a purchase and assumption agreement with the Federal Deposit Insurance Corporation (“FDIC”) to assume all of the deposits, except certain brokered deposits, and acquire certain assets of K Bank, based in Randallstown, Maryland. As part of the transaction, M&amp;T Bank entered into a loss-share arrangement with the FDIC whereby M&amp;T Bank will be reimbursed by the FDIC for most losses it incurs on the acquired loan portfolio. The transaction was accounted for using the acquisition method of accounting and, accordingly, assets acquired and liabilities assumed were recorded at estimated fair value on the acquisition date. Assets acquired in the transaction totaled approximately $556 million, including $154 million of loans and $186 million in cash, and liabilities assumed aggregated $528 million, including $491 million of deposits. In accordance with GAAP, M&amp;T Bank recorded an after-tax gain on the transaction of $17 million ($28 million before taxes). The gain reflects the amount of financial support and indemnification against loan losses that M&amp;T Bank obtained from the FDIC. There was no goodwill or other intangible assets recorded in connection with this transaction. The operations obtained in the K Bank acquisition transaction did not have a material impact on the Company’s consolidated financial position or results of operations.</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On November 1, 2010, M&amp;T announced that it had entered into a definitive agreement with Wilmington Trust Corporation (“Wilmington Trust”), headquartered in Wilmington, Delaware, under which Wilmington Trust will be acquired by M&amp;T. Pursuant to the terms of the agreement, Wilmington Trust common shareholders will receive .051372 shares of M&amp;T common stock in exchange for each share of Wilmington Trust common stock in a stock-for-stock transaction valued at $351 million (with the price based on M&amp;T’s closing price of $74.75 per share as of October 29, 2010), plus the assumption of $330 million in preferred stock issued by Wilmington Trust as part of the Troubled Asset Relief Program — Capital Purchase Program of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Department of Treasury (“U.S. Treasury”).</w:t>
      </w:r>
    </w:p>
    <w:p>
      <w:pPr>
        <w:spacing w:after="0" w:line="103"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At December 31, 2010, Wilmington Trust had approximately $10.9 billion of assets, including $7.5 billion of loans, $10.1 billion of liabilities, including $9.0 billion of deposits, and $60.1 billion of combined assets under management, including $43.6 billion managed by Wilmington Trust and $16.5 billion managed by affiliates. At a special shareholder meeting held on March 22, 2011, Wilmington Trust’s common shareholders approved the merger transaction. M&amp;T announced on April 26, 2011 that it had received the approval of the Board of Governors of the Federal Reserve System to acquire Wilmington Trust. Additional regulatory approvals, including those from the New York State Banking Superintendent and the Delaware Banking Commissioner, are still pending. Subject to the terms and conditions of the merger agreement, M&amp;T expects to close the merger with Wilmington Trust promptly after receiving the remaining regulatory approvals and after the 15-day waiting period associated with the Federal Reserve Board’s approval order has expired.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connection with the K Bank acquisition transaction and the pending Wilmington Trust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branch and office consolidations; initial marketing and promotion expenses designed to introduce M&amp;T Bank to its new customers; travel costs; and printing, postage, supplies and other costs of completing the transactions and commencing operations in new markets and offices. There were no merger-related expenses during the three months ended March 31, 2010. A summary of merger-related expenses associated with the acquisition transactions included in the consolidated statement of income for the three months ended March 31, 2011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80" w:type="dxa"/>
            <w:vAlign w:val="bottom"/>
          </w:tcPr>
          <w:p>
            <w:pPr>
              <w:spacing w:after="0"/>
              <w:rPr>
                <w:sz w:val="14"/>
                <w:szCs w:val="14"/>
                <w:color w:val="auto"/>
              </w:rPr>
            </w:pPr>
          </w:p>
        </w:tc>
        <w:tc>
          <w:tcPr>
            <w:tcW w:w="5040" w:type="dxa"/>
            <w:vAlign w:val="bottom"/>
            <w:gridSpan w:val="4"/>
          </w:tcPr>
          <w:p>
            <w:pPr>
              <w:ind w:left="4120"/>
              <w:spacing w:after="0"/>
              <w:rPr>
                <w:sz w:val="20"/>
                <w:szCs w:val="20"/>
                <w:color w:val="auto"/>
              </w:rPr>
            </w:pPr>
            <w:r>
              <w:rPr>
                <w:rFonts w:ascii="Arial" w:cs="Arial" w:eastAsia="Arial" w:hAnsi="Arial"/>
                <w:sz w:val="14"/>
                <w:szCs w:val="14"/>
                <w:color w:val="auto"/>
              </w:rPr>
              <w:t>(in thousands)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36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4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w:t>
            </w:r>
          </w:p>
        </w:tc>
      </w:tr>
      <w:tr>
        <w:trPr>
          <w:trHeight w:val="20"/>
        </w:trPr>
        <w:tc>
          <w:tcPr>
            <w:tcW w:w="6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8"/>
              </w:rPr>
              <w:t>Amortized</w:t>
            </w:r>
          </w:p>
        </w:tc>
        <w:tc>
          <w:tcPr>
            <w:tcW w:w="320" w:type="dxa"/>
            <w:vAlign w:val="bottom"/>
          </w:tcPr>
          <w:p>
            <w:pPr>
              <w:spacing w:after="0"/>
              <w:rPr>
                <w:sz w:val="12"/>
                <w:szCs w:val="12"/>
                <w:color w:val="auto"/>
              </w:rPr>
            </w:pPr>
          </w:p>
        </w:tc>
        <w:tc>
          <w:tcPr>
            <w:tcW w:w="1560" w:type="dxa"/>
            <w:vAlign w:val="bottom"/>
            <w:gridSpan w:val="2"/>
          </w:tcPr>
          <w:p>
            <w:pPr>
              <w:jc w:val="right"/>
              <w:ind w:right="848"/>
              <w:spacing w:after="0" w:line="149" w:lineRule="exact"/>
              <w:rPr>
                <w:sz w:val="20"/>
                <w:szCs w:val="20"/>
                <w:color w:val="auto"/>
              </w:rPr>
            </w:pPr>
            <w:r>
              <w:rPr>
                <w:rFonts w:ascii="Arial" w:cs="Arial" w:eastAsia="Arial" w:hAnsi="Arial"/>
                <w:sz w:val="14"/>
                <w:szCs w:val="14"/>
                <w:color w:val="auto"/>
              </w:rPr>
              <w:t>Gross</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color w:val="auto"/>
              </w:rPr>
              <w:t>cost</w:t>
            </w:r>
          </w:p>
        </w:tc>
        <w:tc>
          <w:tcPr>
            <w:tcW w:w="1880" w:type="dxa"/>
            <w:vAlign w:val="bottom"/>
            <w:gridSpan w:val="3"/>
          </w:tcPr>
          <w:p>
            <w:pPr>
              <w:jc w:val="right"/>
              <w:ind w:right="548"/>
              <w:spacing w:after="0"/>
              <w:rPr>
                <w:sz w:val="20"/>
                <w:szCs w:val="20"/>
                <w:color w:val="auto"/>
              </w:rPr>
            </w:pPr>
            <w:r>
              <w:rPr>
                <w:rFonts w:ascii="Arial" w:cs="Arial" w:eastAsia="Arial" w:hAnsi="Arial"/>
                <w:sz w:val="14"/>
                <w:szCs w:val="14"/>
                <w:color w:val="auto"/>
              </w:rPr>
              <w:t>unrealized gains</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w w:val="86"/>
              </w:rPr>
              <w:t>thousands)</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38,531</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758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59,010</w:t>
            </w: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442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2,732,299</w:t>
            </w: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108,911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2,839,861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1,600,110</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14,006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222,238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23,232</w:t>
            </w:r>
          </w:p>
        </w:tc>
        <w:tc>
          <w:tcPr>
            <w:tcW w:w="320" w:type="dxa"/>
            <w:vAlign w:val="bottom"/>
          </w:tcPr>
          <w:p>
            <w:pPr>
              <w:spacing w:after="0"/>
              <w:rPr>
                <w:sz w:val="18"/>
                <w:szCs w:val="18"/>
                <w:color w:val="auto"/>
              </w:rPr>
            </w:pPr>
          </w:p>
        </w:tc>
        <w:tc>
          <w:tcPr>
            <w:tcW w:w="15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94,290</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27,734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306,870</w:t>
            </w: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29,980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30,301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78,118</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7,121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4,932,460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188,952</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266,428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4,854,984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191,251</w:t>
            </w: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1,916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758,611</w:t>
            </w:r>
          </w:p>
        </w:tc>
        <w:tc>
          <w:tcPr>
            <w:tcW w:w="1880" w:type="dxa"/>
            <w:vAlign w:val="bottom"/>
            <w:gridSpan w:val="3"/>
          </w:tcPr>
          <w:p>
            <w:pPr>
              <w:jc w:val="right"/>
              <w:ind w:right="568"/>
              <w:spacing w:after="0"/>
              <w:rPr>
                <w:sz w:val="20"/>
                <w:szCs w:val="20"/>
                <w:color w:val="auto"/>
              </w:rPr>
            </w:pPr>
            <w:r>
              <w:rPr>
                <w:rFonts w:ascii="Arial" w:cs="Arial" w:eastAsia="Arial" w:hAnsi="Arial"/>
                <w:sz w:val="18"/>
                <w:szCs w:val="18"/>
                <w:color w:val="auto"/>
              </w:rPr>
              <w:t>11,743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770,354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299,780</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100,746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12,447</w:t>
            </w:r>
          </w:p>
        </w:tc>
        <w:tc>
          <w:tcPr>
            <w:tcW w:w="320" w:type="dxa"/>
            <w:vAlign w:val="bottom"/>
          </w:tcPr>
          <w:p>
            <w:pPr>
              <w:spacing w:after="0"/>
              <w:rPr>
                <w:sz w:val="18"/>
                <w:szCs w:val="18"/>
                <w:color w:val="auto"/>
              </w:rPr>
            </w:pPr>
          </w:p>
        </w:tc>
        <w:tc>
          <w:tcPr>
            <w:tcW w:w="15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1,262,089</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13,659</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101,912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1,173,836</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390,092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6,584,641</w:t>
            </w:r>
          </w:p>
        </w:tc>
        <w:tc>
          <w:tcPr>
            <w:tcW w:w="18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202,611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368,340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6,418,912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- 8 -</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61,772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59,921</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561</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3,146,054</w:t>
            </w:r>
          </w:p>
        </w:tc>
        <w:tc>
          <w:tcPr>
            <w:tcW w:w="700" w:type="dxa"/>
            <w:vAlign w:val="bottom"/>
          </w:tcPr>
          <w:p>
            <w:pPr>
              <w:jc w:val="right"/>
              <w:spacing w:after="0"/>
              <w:rPr>
                <w:sz w:val="20"/>
                <w:szCs w:val="20"/>
                <w:color w:val="auto"/>
              </w:rPr>
            </w:pPr>
            <w:r>
              <w:rPr>
                <w:rFonts w:ascii="Arial" w:cs="Arial" w:eastAsia="Arial" w:hAnsi="Arial"/>
                <w:sz w:val="18"/>
                <w:szCs w:val="18"/>
                <w:color w:val="auto"/>
              </w:rPr>
              <w:t>161,298</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3,306,241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1,677,064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10,578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252,081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25,357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95,080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24,754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310,017</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26,883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119,112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5,494,377</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230,852</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311,737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5,413,492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191,119</w:t>
            </w:r>
          </w:p>
        </w:tc>
        <w:tc>
          <w:tcPr>
            <w:tcW w:w="700" w:type="dxa"/>
            <w:vAlign w:val="bottom"/>
          </w:tcPr>
          <w:p>
            <w:pPr>
              <w:jc w:val="right"/>
              <w:spacing w:after="0"/>
              <w:rPr>
                <w:sz w:val="20"/>
                <w:szCs w:val="20"/>
                <w:color w:val="auto"/>
              </w:rPr>
            </w:pPr>
            <w:r>
              <w:rPr>
                <w:rFonts w:ascii="Arial" w:cs="Arial" w:eastAsia="Arial" w:hAnsi="Arial"/>
                <w:sz w:val="18"/>
                <w:szCs w:val="18"/>
                <w:color w:val="auto"/>
              </w:rPr>
              <w:t>1,944</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808,108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14,061</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312,537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114,397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12,575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1,324,339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16,005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115,091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1,225,253</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412,709</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7,231,425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246,857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426,828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7,051,454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89" w:lineRule="auto"/>
        <w:rPr>
          <w:sz w:val="20"/>
          <w:szCs w:val="20"/>
          <w:color w:val="auto"/>
        </w:rPr>
      </w:pPr>
      <w:r>
        <w:rPr>
          <w:rFonts w:ascii="Arial" w:cs="Arial" w:eastAsia="Arial" w:hAnsi="Arial"/>
          <w:sz w:val="16"/>
          <w:szCs w:val="16"/>
          <w:color w:val="auto"/>
        </w:rPr>
        <w:t>Gross realized gains on investment securities were $39.4 million and $1.2 million for the quarters ended March 31, 2011 and 2010, respectively. Gross realized losses on investment securities were $36 thousand and $777 thousand for the quarters ended March 31, 2011 and 2010, respectively. During the three-month period ended March 31, 2011, the Company sold residential mortgage-backed securities guaranteed by the Federal National Mortgage Association (“Fannie Mae”) and the Federal Home Loan Mortgage Corporation (“Freddie Mac”) having an aggregate amortized cost of approximately $484 million which resulted in a gain of $39 million (pre-tax). The Company recognized $16 million (pre-tax) and $27 million (pre-tax) of other-than-temporary impairment losses during the quarters ended March 31, 2011 and 2010, respectively, related to privately issued mortgage-backed securities. The impairment charges were recognized in light of deterioration of real estate values and continued high levels of delinquencies and charge-offs of underlying mortgage loans collateralizing those securities. The other-than-temporary losses represent management’s estimate of credit losses inherent in the securities considering projected cash flows using assumptions for delinquency rates, loss severities, and other estimates of future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collateral performance. The following table displays changes in credit losses for debt securities recognized in earnings for the three months ended March 31, 2011 and March 31,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7"/>
          </w:tcPr>
          <w:p>
            <w:pPr>
              <w:jc w:val="center"/>
              <w:ind w:right="1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580" w:type="dxa"/>
            <w:vAlign w:val="bottom"/>
            <w:vMerge w:val="restart"/>
          </w:tcPr>
          <w:p>
            <w:pPr>
              <w:jc w:val="right"/>
              <w:ind w:right="24"/>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2"/>
              </w:rPr>
              <w:t>March 31</w:t>
            </w:r>
          </w:p>
        </w:tc>
        <w:tc>
          <w:tcPr>
            <w:tcW w:w="20" w:type="dxa"/>
            <w:vAlign w:val="bottom"/>
            <w:vMerge w:val="restart"/>
          </w:tcPr>
          <w:p>
            <w:pPr>
              <w:spacing w:after="0"/>
              <w:rPr>
                <w:sz w:val="15"/>
                <w:szCs w:val="15"/>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6"/>
          </w:tcPr>
          <w:p>
            <w:pPr>
              <w:jc w:val="center"/>
              <w:ind w:right="700"/>
              <w:spacing w:after="0" w:line="142" w:lineRule="exact"/>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$ 327,912</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right"/>
              <w:ind w:right="468"/>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408"/>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$ 322,719</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w w:val="93"/>
              </w:rPr>
              <w:t>At March 31, 2011, the amortized cost and estimated fair value of debt securities by contractual maturity were as follows:</w:t>
            </w: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cost</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tcPr>
          <w:p>
            <w:pPr>
              <w:ind w:left="500"/>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7,437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64,615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19,518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407,131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498,701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519,343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4,355,641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4,252,206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$ 4,854,342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4,771,549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28,334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14,306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140,556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20,502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203,698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1,058,391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$ 1,262,089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1,173,836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320" w:type="dxa"/>
            <w:vAlign w:val="bottom"/>
            <w:vMerge w:val="restart"/>
          </w:tcPr>
          <w:p>
            <w:pPr>
              <w:jc w:val="right"/>
              <w:ind w:right="299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 summary of investment securities that as of March 31, 2011 and December 31, 2010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4"/>
          </w:tcPr>
          <w:p>
            <w:pPr>
              <w:jc w:val="right"/>
              <w:ind w:right="1028"/>
              <w:spacing w:after="0"/>
              <w:rPr>
                <w:sz w:val="20"/>
                <w:szCs w:val="20"/>
                <w:color w:val="auto"/>
              </w:rPr>
            </w:pPr>
            <w:r>
              <w:rPr>
                <w:rFonts w:ascii="Arial" w:cs="Arial" w:eastAsia="Arial" w:hAnsi="Arial"/>
                <w:sz w:val="14"/>
                <w:szCs w:val="14"/>
                <w:color w:val="auto"/>
              </w:rPr>
              <w:t>Less than 12 months</w:t>
            </w:r>
          </w:p>
        </w:tc>
        <w:tc>
          <w:tcPr>
            <w:tcW w:w="236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140"/>
              <w:spacing w:after="0" w:line="123" w:lineRule="exact"/>
              <w:rPr>
                <w:sz w:val="20"/>
                <w:szCs w:val="20"/>
                <w:color w:val="auto"/>
              </w:rPr>
            </w:pPr>
            <w:r>
              <w:rPr>
                <w:rFonts w:ascii="Arial" w:cs="Arial" w:eastAsia="Arial" w:hAnsi="Arial"/>
                <w:sz w:val="14"/>
                <w:szCs w:val="14"/>
                <w:color w:val="auto"/>
              </w:rPr>
              <w:t>Fair</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500" w:type="dxa"/>
            <w:vAlign w:val="bottom"/>
            <w:tcBorders>
              <w:top w:val="single" w:sz="8" w:color="auto"/>
            </w:tcBorders>
            <w:gridSpan w:val="2"/>
          </w:tcPr>
          <w:p>
            <w:pPr>
              <w:ind w:left="300"/>
              <w:spacing w:after="0" w:line="123" w:lineRule="exact"/>
              <w:rPr>
                <w:sz w:val="20"/>
                <w:szCs w:val="20"/>
                <w:color w:val="auto"/>
              </w:rPr>
            </w:pPr>
            <w:r>
              <w:rPr>
                <w:rFonts w:ascii="Arial" w:cs="Arial" w:eastAsia="Arial" w:hAnsi="Arial"/>
                <w:sz w:val="14"/>
                <w:szCs w:val="14"/>
                <w:color w:val="auto"/>
              </w:rPr>
              <w:t>Fair</w:t>
            </w: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8"/>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losses</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2"/>
          </w:tcPr>
          <w:p>
            <w:pPr>
              <w:jc w:val="right"/>
              <w:ind w:right="592"/>
              <w:spacing w:after="0" w:line="142"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23,884</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3,488</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69,731</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(1,311)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3,212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7,675</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1,014,944</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20,467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15,011</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(5,567)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3,767</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96,364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(510)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126,208</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1,146,459</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(258,273)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86,929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(1,128)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470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193,752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86,929</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194,222</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213,137</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(9,283)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1,340,681</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(359,057)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27,289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68,507</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(1,079)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61,192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(1,054)</w:t>
            </w:r>
          </w:p>
        </w:tc>
        <w:tc>
          <w:tcPr>
            <w:tcW w:w="840" w:type="dxa"/>
            <w:vAlign w:val="bottom"/>
          </w:tcPr>
          <w:p>
            <w:pPr>
              <w:jc w:val="right"/>
              <w:spacing w:after="0"/>
              <w:rPr>
                <w:sz w:val="20"/>
                <w:szCs w:val="20"/>
                <w:color w:val="auto"/>
              </w:rPr>
            </w:pPr>
            <w:r>
              <w:rPr>
                <w:rFonts w:ascii="Arial" w:cs="Arial" w:eastAsia="Arial" w:hAnsi="Arial"/>
                <w:sz w:val="18"/>
                <w:szCs w:val="18"/>
                <w:color w:val="auto"/>
              </w:rPr>
              <w:t>1,057,315</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22,407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12,462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(6,959)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6,004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2,134</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88,969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5,326</w:t>
            </w:r>
          </w:p>
        </w:tc>
        <w:tc>
          <w:tcPr>
            <w:tcW w:w="660" w:type="dxa"/>
            <w:vAlign w:val="bottom"/>
          </w:tcPr>
          <w:p>
            <w:pPr>
              <w:spacing w:after="0"/>
              <w:rPr>
                <w:sz w:val="18"/>
                <w:szCs w:val="18"/>
                <w:color w:val="auto"/>
              </w:rPr>
            </w:pP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(3,721)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673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180,622</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(12,859)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1,180,395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(298,878)</w:t>
            </w:r>
          </w:p>
        </w:tc>
        <w:tc>
          <w:tcPr>
            <w:tcW w:w="0" w:type="dxa"/>
            <w:vAlign w:val="bottom"/>
          </w:tcPr>
          <w:p>
            <w:pPr>
              <w:spacing w:after="0"/>
              <w:rPr>
                <w:sz w:val="1"/>
                <w:szCs w:val="1"/>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76,318</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(638)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198,140</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(638)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198,607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(114,453)</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256,940</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(13,497)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1,379,002</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(413,331)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20" w:type="dxa"/>
            <w:vAlign w:val="bottom"/>
            <w:vMerge w:val="restart"/>
          </w:tcPr>
          <w:p>
            <w:pPr>
              <w:jc w:val="right"/>
              <w:ind w:right="37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480" w:firstLine="222"/>
        <w:spacing w:after="0" w:line="291" w:lineRule="auto"/>
        <w:rPr>
          <w:sz w:val="20"/>
          <w:szCs w:val="20"/>
          <w:color w:val="auto"/>
        </w:rPr>
      </w:pPr>
      <w:r>
        <w:rPr>
          <w:rFonts w:ascii="Arial" w:cs="Arial" w:eastAsia="Arial" w:hAnsi="Arial"/>
          <w:sz w:val="16"/>
          <w:szCs w:val="16"/>
          <w:color w:val="auto"/>
        </w:rPr>
        <w:t>The Company owned 562 individual investment securities with aggregate gross unrealized losses of $368 million at March 31, 2011. Approximately $323 million of the unrealized losses pertain to privately issued mortgage-backed securities with a cost basis of $1.5 billion. The Company also had</w:t>
      </w:r>
    </w:p>
    <w:p>
      <w:pPr>
        <w:ind w:right="20"/>
        <w:spacing w:after="0" w:line="252" w:lineRule="auto"/>
        <w:rPr>
          <w:sz w:val="20"/>
          <w:szCs w:val="20"/>
          <w:color w:val="auto"/>
        </w:rPr>
      </w:pPr>
      <w:r>
        <w:rPr>
          <w:rFonts w:ascii="Arial" w:cs="Arial" w:eastAsia="Arial" w:hAnsi="Arial"/>
          <w:sz w:val="18"/>
          <w:szCs w:val="18"/>
          <w:color w:val="auto"/>
        </w:rPr>
        <w:t>$38 million of unrealized losses on trust preferred securities issued by financial institutions, securities backed by trust preferred securities issued by financial institutions and other entities, and other debt securities having a cost basis of $161 million. Based on a review of each of the remaining securities in the investment securities portfolio at March 31, 2011, with the exception of the aforementioned securities for which other-than-temporary impairment losses were recognized, the Company concluded that it expected to recover the amortized cost basis of its investment. As of March 31, 2011, the Company does not intend to sell nor is it anticipated that it would be required to sell any of its impaired investment securities. At March 31, 2011, the Company has not identified events or changes in circumstances which may have a significant adverse effect on the fair value of the $390 million of cost method investment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income on acquired loans that were recorded at fair value at the acquisition date for the three months ended March 31, 2011 and 2010 was $41 million and $43 million, respectively. The outstanding principal balance and the carrying amount of such loans that is included in the consolidated balance sheet at March 31, 2011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3100" w:type="dxa"/>
            <w:vAlign w:val="bottom"/>
          </w:tcPr>
          <w:p>
            <w:pPr>
              <w:jc w:val="right"/>
              <w:spacing w:after="0"/>
              <w:rPr>
                <w:sz w:val="20"/>
                <w:szCs w:val="20"/>
                <w:color w:val="auto"/>
              </w:rPr>
            </w:pPr>
            <w:r>
              <w:rPr>
                <w:rFonts w:ascii="Arial" w:cs="Arial" w:eastAsia="Arial" w:hAnsi="Arial"/>
                <w:sz w:val="18"/>
                <w:szCs w:val="18"/>
                <w:color w:val="auto"/>
              </w:rPr>
              <w:t>$3,509,711</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Carrying amount</w:t>
            </w:r>
          </w:p>
        </w:tc>
        <w:tc>
          <w:tcPr>
            <w:tcW w:w="3100" w:type="dxa"/>
            <w:vAlign w:val="bottom"/>
          </w:tcPr>
          <w:p>
            <w:pPr>
              <w:jc w:val="right"/>
              <w:spacing w:after="0"/>
              <w:rPr>
                <w:sz w:val="20"/>
                <w:szCs w:val="20"/>
                <w:color w:val="auto"/>
              </w:rPr>
            </w:pPr>
            <w:r>
              <w:rPr>
                <w:rFonts w:ascii="Arial" w:cs="Arial" w:eastAsia="Arial" w:hAnsi="Arial"/>
                <w:sz w:val="18"/>
                <w:szCs w:val="18"/>
                <w:color w:val="auto"/>
              </w:rPr>
              <w:t>3,184,469</w:t>
            </w:r>
          </w:p>
        </w:tc>
      </w:tr>
    </w:tbl>
    <w:p>
      <w:pPr>
        <w:spacing w:after="0" w:line="94"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Receivables obtained in acquisitions for which there was specific evidence of credit deterioration at the acquisition date and for which it was deemed probable that the Company would be unable to collect all contractually required principal and interest payments were not material.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current, past due and nonaccrual loans as of March 31, 2011 and December 31, 2010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Days</w:t>
            </w:r>
          </w:p>
        </w:tc>
        <w:tc>
          <w:tcPr>
            <w:tcW w:w="1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90 Days</w:t>
            </w:r>
          </w:p>
        </w:tc>
        <w:tc>
          <w:tcPr>
            <w:tcW w:w="12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89"/>
              </w:rPr>
              <w:t>Purchased</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Current</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past due</w:t>
            </w:r>
          </w:p>
        </w:tc>
        <w:tc>
          <w:tcPr>
            <w:tcW w:w="620" w:type="dxa"/>
            <w:vAlign w:val="bottom"/>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past due</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impaired</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Nonaccrual</w:t>
            </w:r>
          </w:p>
        </w:tc>
        <w:tc>
          <w:tcPr>
            <w:tcW w:w="640" w:type="dxa"/>
            <w:vAlign w:val="bottom"/>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4"/>
          </w:tcPr>
          <w:p>
            <w:pPr>
              <w:jc w:val="right"/>
              <w:ind w:right="1200"/>
              <w:spacing w:after="0" w:line="142" w:lineRule="exact"/>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$13,605,508</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24,626</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21,055</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1,922</w:t>
            </w:r>
          </w:p>
        </w:tc>
        <w:tc>
          <w:tcPr>
            <w:tcW w:w="820" w:type="dxa"/>
            <w:vAlign w:val="bottom"/>
          </w:tcPr>
          <w:p>
            <w:pPr>
              <w:jc w:val="right"/>
              <w:spacing w:after="0"/>
              <w:rPr>
                <w:sz w:val="20"/>
                <w:szCs w:val="20"/>
                <w:color w:val="auto"/>
              </w:rPr>
            </w:pPr>
            <w:r>
              <w:rPr>
                <w:rFonts w:ascii="Arial" w:cs="Arial" w:eastAsia="Arial" w:hAnsi="Arial"/>
                <w:sz w:val="18"/>
                <w:szCs w:val="18"/>
                <w:color w:val="auto"/>
              </w:rPr>
              <w:t>173,188</w:t>
            </w: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13,826,299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16,606,831</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75,829</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22,765</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7,115</w:t>
            </w:r>
          </w:p>
        </w:tc>
        <w:tc>
          <w:tcPr>
            <w:tcW w:w="820" w:type="dxa"/>
            <w:vAlign w:val="bottom"/>
          </w:tcPr>
          <w:p>
            <w:pPr>
              <w:jc w:val="right"/>
              <w:spacing w:after="0"/>
              <w:rPr>
                <w:sz w:val="20"/>
                <w:szCs w:val="20"/>
                <w:color w:val="auto"/>
              </w:rPr>
            </w:pPr>
            <w:r>
              <w:rPr>
                <w:rFonts w:ascii="Arial" w:cs="Arial" w:eastAsia="Arial" w:hAnsi="Arial"/>
                <w:sz w:val="18"/>
                <w:szCs w:val="18"/>
                <w:color w:val="auto"/>
              </w:rPr>
              <w:t>229,630</w:t>
            </w: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16,942,170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886,832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21,859</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4,493</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68,442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320,295</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Other commercial construction</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2,421,823</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97,824</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17,327</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2,013</w:t>
            </w:r>
          </w:p>
        </w:tc>
        <w:tc>
          <w:tcPr>
            <w:tcW w:w="820" w:type="dxa"/>
            <w:vAlign w:val="bottom"/>
          </w:tcPr>
          <w:p>
            <w:pPr>
              <w:jc w:val="right"/>
              <w:spacing w:after="0"/>
              <w:rPr>
                <w:sz w:val="20"/>
                <w:szCs w:val="20"/>
                <w:color w:val="auto"/>
              </w:rPr>
            </w:pPr>
            <w:r>
              <w:rPr>
                <w:rFonts w:ascii="Arial" w:cs="Arial" w:eastAsia="Arial" w:hAnsi="Arial"/>
                <w:sz w:val="18"/>
                <w:szCs w:val="18"/>
                <w:color w:val="auto"/>
              </w:rPr>
              <w:t>108,537</w:t>
            </w: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4,983,032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194,594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195,241</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178,109</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Residential Alt-A</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450,829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35,469</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110,789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Home equity lines and loans</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6,340,612</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34,338</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2,200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44,350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2,545,546</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33,784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29,839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2,167,697</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27,468</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3,599</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16,374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2,215,138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50,008,710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545,791</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264,480</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88,589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1,211,111</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52,118,681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- 12 -</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Days</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90 Days</w:t>
            </w: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Purchased</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Current</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past due</w:t>
            </w:r>
          </w:p>
        </w:tc>
        <w:tc>
          <w:tcPr>
            <w:tcW w:w="620" w:type="dxa"/>
            <w:vAlign w:val="bottom"/>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past due</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impaired</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Nonaccrual</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4"/>
          </w:tcPr>
          <w:p>
            <w:pPr>
              <w:ind w:left="660"/>
              <w:spacing w:after="0" w:line="142" w:lineRule="exact"/>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$13,088,887</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96,087</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16,647</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2,250</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186,739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13,390,610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16,589,240</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89,906</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35,338</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8,275</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209,031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16,931,790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891,764</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30,805</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9,763</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72,710</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346,448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1,351,490</w:t>
            </w: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Other commercial construction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2,723,399</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36,420</w:t>
            </w:r>
          </w:p>
        </w:tc>
        <w:tc>
          <w:tcPr>
            <w:tcW w:w="700" w:type="dxa"/>
            <w:vAlign w:val="bottom"/>
          </w:tcPr>
          <w:p>
            <w:pPr>
              <w:jc w:val="right"/>
              <w:spacing w:after="0"/>
              <w:rPr>
                <w:sz w:val="20"/>
                <w:szCs w:val="20"/>
                <w:color w:val="auto"/>
              </w:rPr>
            </w:pPr>
            <w:r>
              <w:rPr>
                <w:rFonts w:ascii="Arial" w:cs="Arial" w:eastAsia="Arial" w:hAnsi="Arial"/>
                <w:sz w:val="18"/>
                <w:szCs w:val="18"/>
                <w:color w:val="auto"/>
              </w:rPr>
              <w:t>11,323</w:t>
            </w:r>
          </w:p>
        </w:tc>
        <w:tc>
          <w:tcPr>
            <w:tcW w:w="6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2,098</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126,641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2,899,881</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4,699,711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229,641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192,276</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9,320</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172,729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5,303,677</w:t>
            </w: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Residential Alt-A</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475,236</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42,674</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106,469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624,379</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Home equity lines and loans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6,472,563</w:t>
            </w:r>
          </w:p>
        </w:tc>
        <w:tc>
          <w:tcPr>
            <w:tcW w:w="6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38,367</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2,366</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43,055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6,556,351</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2,608,230</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44,604</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31,892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2,684,726</w:t>
            </w: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2,190,353</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36,689</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6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16,190</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49,739,383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645,193</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269,593</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97,019</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1,239,194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51,990,382</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allowance for credit losses for the three months ended March 31,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Commercial,</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88"/>
              </w:rPr>
              <w:t>Real Estate</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1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6"/>
              </w:rPr>
              <w:t>Financial,</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color w:val="auto"/>
                <w:w w:val="93"/>
              </w:rPr>
              <w:t>Leasing, etc.</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1"/>
              </w:rPr>
              <w:t>Commercial</w:t>
            </w:r>
          </w:p>
        </w:tc>
        <w:tc>
          <w:tcPr>
            <w:tcW w:w="6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2"/>
              </w:rPr>
              <w:t>Residential</w:t>
            </w:r>
          </w:p>
        </w:tc>
        <w:tc>
          <w:tcPr>
            <w:tcW w:w="6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Consumer</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spacing w:after="0" w:line="142" w:lineRule="exact"/>
              <w:rPr>
                <w:sz w:val="20"/>
                <w:szCs w:val="20"/>
                <w:color w:val="auto"/>
              </w:rPr>
            </w:pPr>
            <w:r>
              <w:rPr>
                <w:rFonts w:ascii="Arial" w:cs="Arial" w:eastAsia="Arial" w:hAnsi="Arial"/>
                <w:sz w:val="14"/>
                <w:szCs w:val="14"/>
                <w:color w:val="auto"/>
              </w:rPr>
              <w:t>Unallocated</w:t>
            </w: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20" w:type="dxa"/>
            <w:vAlign w:val="bottom"/>
            <w:gridSpan w:val="4"/>
          </w:tcPr>
          <w:p>
            <w:pPr>
              <w:jc w:val="right"/>
              <w:ind w:right="1020"/>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$ 212,579</w:t>
            </w:r>
          </w:p>
        </w:tc>
        <w:tc>
          <w:tcPr>
            <w:tcW w:w="16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400,562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86,351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133,067</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70,382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14,942</w:t>
            </w:r>
          </w:p>
        </w:tc>
        <w:tc>
          <w:tcPr>
            <w:tcW w:w="1680" w:type="dxa"/>
            <w:vAlign w:val="bottom"/>
            <w:gridSpan w:val="3"/>
          </w:tcPr>
          <w:p>
            <w:pPr>
              <w:jc w:val="right"/>
              <w:ind w:right="608"/>
              <w:spacing w:after="0"/>
              <w:rPr>
                <w:sz w:val="20"/>
                <w:szCs w:val="20"/>
                <w:color w:val="auto"/>
              </w:rPr>
            </w:pPr>
            <w:r>
              <w:rPr>
                <w:rFonts w:ascii="Arial" w:cs="Arial" w:eastAsia="Arial" w:hAnsi="Arial"/>
                <w:sz w:val="18"/>
                <w:szCs w:val="18"/>
                <w:color w:val="auto"/>
              </w:rPr>
              <w:t>14,775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15,841</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27,764</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1,678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(14,027)</w:t>
            </w:r>
          </w:p>
        </w:tc>
        <w:tc>
          <w:tcPr>
            <w:tcW w:w="1680" w:type="dxa"/>
            <w:vAlign w:val="bottom"/>
            <w:gridSpan w:val="3"/>
          </w:tcPr>
          <w:p>
            <w:pPr>
              <w:jc w:val="right"/>
              <w:ind w:right="548"/>
              <w:spacing w:after="0"/>
              <w:rPr>
                <w:sz w:val="20"/>
                <w:szCs w:val="20"/>
                <w:color w:val="auto"/>
              </w:rPr>
            </w:pPr>
            <w:r>
              <w:rPr>
                <w:rFonts w:ascii="Arial" w:cs="Arial" w:eastAsia="Arial" w:hAnsi="Arial"/>
                <w:sz w:val="18"/>
                <w:szCs w:val="18"/>
                <w:color w:val="auto"/>
              </w:rPr>
              <w:t>(24,579)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(16,167)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(28,321)</w:t>
            </w:r>
          </w:p>
        </w:tc>
        <w:tc>
          <w:tcPr>
            <w:tcW w:w="3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2,165</w:t>
            </w:r>
          </w:p>
        </w:tc>
        <w:tc>
          <w:tcPr>
            <w:tcW w:w="16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349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(24,230)</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(14,666)</w:t>
            </w:r>
          </w:p>
        </w:tc>
        <w:tc>
          <w:tcPr>
            <w:tcW w:w="6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$ 215,659</w:t>
            </w:r>
          </w:p>
        </w:tc>
        <w:tc>
          <w:tcPr>
            <w:tcW w:w="16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391,107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87,526</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137,351</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72,060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portfolio segment. Changes in the allowance for credit losses for the three months ended March 31, 2010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160" w:type="dxa"/>
            <w:vAlign w:val="bottom"/>
            <w:gridSpan w:val="4"/>
          </w:tcPr>
          <w:p>
            <w:pPr>
              <w:ind w:left="298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2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4040" w:type="dxa"/>
            <w:vAlign w:val="bottom"/>
            <w:gridSpan w:val="2"/>
            <w:shd w:val="clear" w:color="auto" w:fill="CCEEFF"/>
          </w:tcPr>
          <w:p>
            <w:pPr>
              <w:jc w:val="right"/>
              <w:ind w:right="3360"/>
              <w:spacing w:after="0"/>
              <w:rPr>
                <w:sz w:val="20"/>
                <w:szCs w:val="20"/>
                <w:color w:val="auto"/>
              </w:rPr>
            </w:pPr>
            <w:r>
              <w:rPr>
                <w:rFonts w:ascii="Arial" w:cs="Arial" w:eastAsia="Arial" w:hAnsi="Arial"/>
                <w:sz w:val="18"/>
                <w:szCs w:val="18"/>
                <w:color w:val="auto"/>
              </w:rPr>
              <w:t>878,022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gridSpan w:val="2"/>
          </w:tcPr>
          <w:p>
            <w:pPr>
              <w:jc w:val="right"/>
              <w:ind w:right="33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ind w:right="336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charge-offs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ind w:right="3300"/>
              <w:spacing w:after="0"/>
              <w:rPr>
                <w:sz w:val="20"/>
                <w:szCs w:val="20"/>
                <w:color w:val="auto"/>
              </w:rPr>
            </w:pPr>
            <w:r>
              <w:rPr>
                <w:rFonts w:ascii="Arial" w:cs="Arial" w:eastAsia="Arial" w:hAnsi="Arial"/>
                <w:sz w:val="18"/>
                <w:szCs w:val="18"/>
                <w:color w:val="auto"/>
                <w:w w:val="93"/>
              </w:rPr>
              <w:t>(106,039)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Recoveries</w:t>
            </w:r>
          </w:p>
        </w:tc>
        <w:tc>
          <w:tcPr>
            <w:tcW w:w="2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ind w:right="3300"/>
              <w:spacing w:after="0"/>
              <w:rPr>
                <w:sz w:val="20"/>
                <w:szCs w:val="20"/>
                <w:color w:val="auto"/>
              </w:rPr>
            </w:pPr>
            <w:r>
              <w:rPr>
                <w:rFonts w:ascii="Arial" w:cs="Arial" w:eastAsia="Arial" w:hAnsi="Arial"/>
                <w:sz w:val="18"/>
                <w:szCs w:val="18"/>
                <w:color w:val="auto"/>
              </w:rPr>
              <w:t>(94,509)</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891,265</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980" w:type="dxa"/>
            <w:vAlign w:val="bottom"/>
            <w:vMerge w:val="restart"/>
          </w:tcPr>
          <w:p>
            <w:pPr>
              <w:jc w:val="right"/>
              <w:ind w:right="1256"/>
              <w:spacing w:after="0"/>
              <w:rPr>
                <w:sz w:val="20"/>
                <w:szCs w:val="20"/>
                <w:color w:val="auto"/>
              </w:rPr>
            </w:pPr>
            <w:r>
              <w:rPr>
                <w:rFonts w:ascii="Arial" w:cs="Arial" w:eastAsia="Arial" w:hAnsi="Arial"/>
                <w:sz w:val="18"/>
                <w:szCs w:val="18"/>
                <w:color w:val="auto"/>
              </w:rPr>
              <w:t>- 13 -</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ascertaining the adequacy of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an extensive loan grading system which is applied to all commercial and commercial real estate credits.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Modified loans, including smaller balance homogenous loans, that are considered to be troubled debt restructurings are evaluated for impairment giving consideration to the impact of the modified loan terms on the present value of the loan’s expected cash flows. The following tables provide information with respect to impaired loans and leases as of March 31, 2011 and December 31, 2010 and for the three months ended March 31, 2011 and March 31, 2010.</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March 31, 2011</w:t>
            </w:r>
          </w:p>
        </w:tc>
        <w:tc>
          <w:tcPr>
            <w:tcW w:w="7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color w:val="auto"/>
              </w:rPr>
              <w:t>December 31, 2010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gridSpan w:val="2"/>
          </w:tcPr>
          <w:p>
            <w:pPr>
              <w:jc w:val="center"/>
              <w:ind w:right="620"/>
              <w:spacing w:after="0" w:line="123" w:lineRule="exact"/>
              <w:rPr>
                <w:sz w:val="20"/>
                <w:szCs w:val="20"/>
                <w:color w:val="auto"/>
              </w:rPr>
            </w:pPr>
            <w:r>
              <w:rPr>
                <w:rFonts w:ascii="Arial" w:cs="Arial" w:eastAsia="Arial" w:hAnsi="Arial"/>
                <w:sz w:val="14"/>
                <w:szCs w:val="14"/>
                <w:color w:val="auto"/>
                <w:w w:val="94"/>
              </w:rPr>
              <w:t>Unpaid</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40" w:type="dxa"/>
            <w:vAlign w:val="bottom"/>
            <w:gridSpan w:val="2"/>
          </w:tcPr>
          <w:p>
            <w:pPr>
              <w:jc w:val="center"/>
              <w:ind w:right="620"/>
              <w:spacing w:after="0" w:line="123" w:lineRule="exact"/>
              <w:rPr>
                <w:sz w:val="20"/>
                <w:szCs w:val="20"/>
                <w:color w:val="auto"/>
              </w:rPr>
            </w:pPr>
            <w:r>
              <w:rPr>
                <w:rFonts w:ascii="Arial" w:cs="Arial" w:eastAsia="Arial" w:hAnsi="Arial"/>
                <w:sz w:val="14"/>
                <w:szCs w:val="14"/>
                <w:color w:val="auto"/>
                <w:w w:val="94"/>
              </w:rPr>
              <w:t>Unpaid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5"/>
              </w:rPr>
              <w:t>Recorded</w:t>
            </w:r>
          </w:p>
        </w:tc>
        <w:tc>
          <w:tcPr>
            <w:tcW w:w="36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principal</w:t>
            </w: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Related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Recorded</w:t>
            </w:r>
          </w:p>
        </w:tc>
        <w:tc>
          <w:tcPr>
            <w:tcW w:w="4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principal</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Related</w:t>
            </w:r>
          </w:p>
        </w:tc>
      </w:tr>
      <w:tr>
        <w:trPr>
          <w:trHeight w:val="167"/>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investment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allowance</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investment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allowance</w:t>
            </w:r>
          </w:p>
        </w:tc>
        <w:tc>
          <w:tcPr>
            <w:tcW w:w="10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gridSpan w:val="4"/>
          </w:tcPr>
          <w:p>
            <w:pPr>
              <w:jc w:val="right"/>
              <w:ind w:right="940"/>
              <w:spacing w:after="0" w:line="142" w:lineRule="exact"/>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60" w:type="dxa"/>
            <w:vAlign w:val="bottom"/>
          </w:tcPr>
          <w:p>
            <w:pPr>
              <w:ind w:left="420"/>
              <w:spacing w:after="0" w:line="201" w:lineRule="exact"/>
              <w:rPr>
                <w:sz w:val="20"/>
                <w:szCs w:val="20"/>
                <w:color w:val="auto"/>
              </w:rPr>
            </w:pPr>
            <w:r>
              <w:rPr>
                <w:rFonts w:ascii="Arial" w:cs="Arial" w:eastAsia="Arial" w:hAnsi="Arial"/>
                <w:sz w:val="18"/>
                <w:szCs w:val="18"/>
                <w:color w:val="auto"/>
              </w:rPr>
              <w:t>Commercial, financial, leasing,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60" w:type="dxa"/>
            <w:vAlign w:val="bottom"/>
          </w:tcPr>
          <w:p>
            <w:pPr>
              <w:ind w:left="620"/>
              <w:spacing w:after="0"/>
              <w:rPr>
                <w:sz w:val="20"/>
                <w:szCs w:val="20"/>
                <w:color w:val="auto"/>
              </w:rPr>
            </w:pPr>
            <w:r>
              <w:rPr>
                <w:rFonts w:ascii="Arial" w:cs="Arial" w:eastAsia="Arial" w:hAnsi="Arial"/>
                <w:sz w:val="18"/>
                <w:szCs w:val="18"/>
                <w:color w:val="auto"/>
              </w:rPr>
              <w:t>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102,977</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153,773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33,363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121,744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170,888</w:t>
            </w:r>
          </w:p>
        </w:tc>
        <w:tc>
          <w:tcPr>
            <w:tcW w:w="6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40,909</w:t>
            </w:r>
          </w:p>
        </w:tc>
      </w:tr>
      <w:tr>
        <w:trPr>
          <w:trHeight w:val="216"/>
        </w:trPr>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131,923</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162,211</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26,629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110,975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140,015</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17,393</w:t>
            </w:r>
          </w:p>
        </w:tc>
      </w:tr>
      <w:tr>
        <w:trPr>
          <w:trHeight w:val="202"/>
        </w:trPr>
        <w:tc>
          <w:tcPr>
            <w:tcW w:w="34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Residential builder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developer</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250,433</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304,636</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65,578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263,545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295,031</w:t>
            </w:r>
          </w:p>
        </w:tc>
        <w:tc>
          <w:tcPr>
            <w:tcW w:w="6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78,597</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84,617</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110,488</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12,839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80,934</w:t>
            </w: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85,432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22,067</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83,405</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101,223</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3,945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73,006</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85,279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Residential Alt-A</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173,091</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184,022</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35,000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180,665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191,445</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r>
      <w:tr>
        <w:trPr>
          <w:trHeight w:val="216"/>
        </w:trPr>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11,895</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13,544</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2,423</w:t>
            </w:r>
          </w:p>
        </w:tc>
        <w:tc>
          <w:tcPr>
            <w:tcW w:w="820" w:type="dxa"/>
            <w:vAlign w:val="bottom"/>
          </w:tcPr>
          <w:p>
            <w:pPr>
              <w:jc w:val="right"/>
              <w:spacing w:after="0"/>
              <w:rPr>
                <w:sz w:val="20"/>
                <w:szCs w:val="20"/>
                <w:color w:val="auto"/>
              </w:rPr>
            </w:pPr>
            <w:r>
              <w:rPr>
                <w:rFonts w:ascii="Arial" w:cs="Arial" w:eastAsia="Arial" w:hAnsi="Arial"/>
                <w:sz w:val="18"/>
                <w:szCs w:val="18"/>
                <w:color w:val="auto"/>
              </w:rPr>
              <w:t>11,799</w:t>
            </w:r>
          </w:p>
        </w:tc>
        <w:tc>
          <w:tcPr>
            <w:tcW w:w="220" w:type="dxa"/>
            <w:vAlign w:val="bottom"/>
          </w:tcPr>
          <w:p>
            <w:pPr>
              <w:spacing w:after="0"/>
              <w:rPr>
                <w:sz w:val="18"/>
                <w:szCs w:val="18"/>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13,378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59,465</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59,465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12,774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58,858</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58,858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3,170</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3,170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786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7"/>
        </w:trPr>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900,976</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1,092,532</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193,337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904,504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1,043,304</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213,933</w:t>
            </w:r>
          </w:p>
        </w:tc>
      </w:tr>
      <w:tr>
        <w:trPr>
          <w:trHeight w:val="439"/>
        </w:trPr>
        <w:tc>
          <w:tcPr>
            <w:tcW w:w="346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Commercial, financial, leasing,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etc.</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70,829</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92,904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65,827</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86,332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101,076</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120,472</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101,939</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116,316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460" w:type="dxa"/>
            <w:vAlign w:val="bottom"/>
          </w:tcPr>
          <w:p>
            <w:pPr>
              <w:ind w:left="620"/>
              <w:spacing w:after="0" w:line="201" w:lineRule="exact"/>
              <w:rPr>
                <w:sz w:val="20"/>
                <w:szCs w:val="20"/>
                <w:color w:val="auto"/>
              </w:rPr>
            </w:pPr>
            <w:r>
              <w:rPr>
                <w:rFonts w:ascii="Arial" w:cs="Arial" w:eastAsia="Arial" w:hAnsi="Arial"/>
                <w:sz w:val="18"/>
                <w:szCs w:val="18"/>
                <w:color w:val="auto"/>
              </w:rPr>
              <w:t>Residential builder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60" w:type="dxa"/>
            <w:vAlign w:val="bottom"/>
          </w:tcPr>
          <w:p>
            <w:pPr>
              <w:ind w:left="820"/>
              <w:spacing w:after="0"/>
              <w:rPr>
                <w:sz w:val="20"/>
                <w:szCs w:val="20"/>
                <w:color w:val="auto"/>
              </w:rPr>
            </w:pPr>
            <w:r>
              <w:rPr>
                <w:rFonts w:ascii="Arial" w:cs="Arial" w:eastAsia="Arial" w:hAnsi="Arial"/>
                <w:sz w:val="18"/>
                <w:szCs w:val="18"/>
                <w:color w:val="auto"/>
              </w:rPr>
              <w:t>developer</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108,764</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150,480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100,799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124,383</w:t>
            </w:r>
          </w:p>
        </w:tc>
        <w:tc>
          <w:tcPr>
            <w:tcW w:w="6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25,893</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31,865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46,656</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50,496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4,276</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6,443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29,285</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50,272</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28,967</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47,879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452,436</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349,223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433,129</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60" w:type="dxa"/>
            <w:vAlign w:val="bottom"/>
          </w:tcPr>
          <w:p>
            <w:pPr>
              <w:ind w:left="420"/>
              <w:spacing w:after="0" w:line="201" w:lineRule="exact"/>
              <w:rPr>
                <w:sz w:val="20"/>
                <w:szCs w:val="20"/>
                <w:color w:val="auto"/>
              </w:rPr>
            </w:pPr>
            <w:r>
              <w:rPr>
                <w:rFonts w:ascii="Arial" w:cs="Arial" w:eastAsia="Arial" w:hAnsi="Arial"/>
                <w:sz w:val="18"/>
                <w:szCs w:val="18"/>
                <w:color w:val="auto"/>
              </w:rPr>
              <w:t>Commercial, financial, leasing,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60" w:type="dxa"/>
            <w:vAlign w:val="bottom"/>
          </w:tcPr>
          <w:p>
            <w:pPr>
              <w:ind w:left="620"/>
              <w:spacing w:after="0"/>
              <w:rPr>
                <w:sz w:val="20"/>
                <w:szCs w:val="20"/>
                <w:color w:val="auto"/>
              </w:rPr>
            </w:pPr>
            <w:r>
              <w:rPr>
                <w:rFonts w:ascii="Arial" w:cs="Arial" w:eastAsia="Arial" w:hAnsi="Arial"/>
                <w:sz w:val="18"/>
                <w:szCs w:val="18"/>
                <w:color w:val="auto"/>
              </w:rPr>
              <w:t>etc.</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173,806</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246,677</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33,363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187,571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257,220</w:t>
            </w:r>
          </w:p>
        </w:tc>
        <w:tc>
          <w:tcPr>
            <w:tcW w:w="6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40,909</w:t>
            </w:r>
          </w:p>
        </w:tc>
      </w:tr>
      <w:tr>
        <w:trPr>
          <w:trHeight w:val="216"/>
        </w:trPr>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232,999</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282,683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26,629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212,914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256,331</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17,393</w:t>
            </w:r>
          </w:p>
        </w:tc>
      </w:tr>
      <w:tr>
        <w:trPr>
          <w:trHeight w:val="202"/>
        </w:trPr>
        <w:tc>
          <w:tcPr>
            <w:tcW w:w="34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Residential builder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developer</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359,197</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455,116</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65,578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364,344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419,414</w:t>
            </w:r>
          </w:p>
        </w:tc>
        <w:tc>
          <w:tcPr>
            <w:tcW w:w="6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78,597</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110,510</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142,353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12,839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127,590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135,928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22,067</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87,681</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107,666</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3,945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78,041</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93,002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Residential Alt-A</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202,376</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234,294</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35,000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209,632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239,324</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r>
      <w:tr>
        <w:trPr>
          <w:trHeight w:val="216"/>
        </w:trPr>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11,895</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13,544</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2,423</w:t>
            </w:r>
          </w:p>
        </w:tc>
        <w:tc>
          <w:tcPr>
            <w:tcW w:w="820" w:type="dxa"/>
            <w:vAlign w:val="bottom"/>
          </w:tcPr>
          <w:p>
            <w:pPr>
              <w:jc w:val="right"/>
              <w:spacing w:after="0"/>
              <w:rPr>
                <w:sz w:val="20"/>
                <w:szCs w:val="20"/>
                <w:color w:val="auto"/>
              </w:rPr>
            </w:pPr>
            <w:r>
              <w:rPr>
                <w:rFonts w:ascii="Arial" w:cs="Arial" w:eastAsia="Arial" w:hAnsi="Arial"/>
                <w:sz w:val="18"/>
                <w:szCs w:val="18"/>
                <w:color w:val="auto"/>
              </w:rPr>
              <w:t>11,799</w:t>
            </w:r>
          </w:p>
        </w:tc>
        <w:tc>
          <w:tcPr>
            <w:tcW w:w="220" w:type="dxa"/>
            <w:vAlign w:val="bottom"/>
          </w:tcPr>
          <w:p>
            <w:pPr>
              <w:spacing w:after="0"/>
              <w:rPr>
                <w:sz w:val="18"/>
                <w:szCs w:val="18"/>
                <w:color w:val="auto"/>
              </w:rPr>
            </w:pPr>
          </w:p>
        </w:tc>
        <w:tc>
          <w:tcPr>
            <w:tcW w:w="1860" w:type="dxa"/>
            <w:vAlign w:val="bottom"/>
            <w:gridSpan w:val="3"/>
          </w:tcPr>
          <w:p>
            <w:pPr>
              <w:jc w:val="right"/>
              <w:ind w:right="620"/>
              <w:spacing w:after="0"/>
              <w:rPr>
                <w:sz w:val="20"/>
                <w:szCs w:val="20"/>
                <w:color w:val="auto"/>
              </w:rPr>
            </w:pPr>
            <w:r>
              <w:rPr>
                <w:rFonts w:ascii="Arial" w:cs="Arial" w:eastAsia="Arial" w:hAnsi="Arial"/>
                <w:sz w:val="18"/>
                <w:szCs w:val="18"/>
                <w:color w:val="auto"/>
              </w:rPr>
              <w:t>13,378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r>
      <w:tr>
        <w:trPr>
          <w:trHeight w:val="216"/>
        </w:trPr>
        <w:tc>
          <w:tcPr>
            <w:tcW w:w="3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59,465</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59,465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12,774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58,858</w:t>
            </w:r>
          </w:p>
        </w:tc>
        <w:tc>
          <w:tcPr>
            <w:tcW w:w="18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58,858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r>
      <w:tr>
        <w:trPr>
          <w:trHeight w:val="216"/>
        </w:trPr>
        <w:tc>
          <w:tcPr>
            <w:tcW w:w="3460" w:type="dxa"/>
            <w:vAlign w:val="bottom"/>
          </w:tcPr>
          <w:p>
            <w:pPr>
              <w:ind w:left="6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3,170</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3,170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786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r>
      <w:tr>
        <w:trPr>
          <w:trHeight w:val="27"/>
        </w:trPr>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1,241,099</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1,544,968</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193,337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1,253,727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1,476,433</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213,933</w:t>
            </w:r>
          </w:p>
        </w:tc>
      </w:tr>
      <w:tr>
        <w:trPr>
          <w:trHeight w:val="20"/>
        </w:trPr>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right"/>
              <w:ind w:right="460"/>
              <w:spacing w:after="0"/>
              <w:rPr>
                <w:sz w:val="20"/>
                <w:szCs w:val="20"/>
                <w:color w:val="auto"/>
              </w:rPr>
            </w:pPr>
            <w:r>
              <w:rPr>
                <w:rFonts w:ascii="Arial" w:cs="Arial" w:eastAsia="Arial" w:hAnsi="Arial"/>
                <w:sz w:val="18"/>
                <w:szCs w:val="18"/>
                <w:color w:val="auto"/>
              </w:rPr>
              <w:t>- 15 -</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center"/>
              <w:ind w:right="48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center"/>
              <w:ind w:right="50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color w:val="auto"/>
                <w:w w:val="92"/>
              </w:rPr>
              <w:t>March 31, 2011</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color w:val="auto"/>
                <w:w w:val="94"/>
              </w:rPr>
              <w:t>March 31,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gridSpan w:val="3"/>
          </w:tcPr>
          <w:p>
            <w:pPr>
              <w:jc w:val="center"/>
              <w:ind w:left="442"/>
              <w:spacing w:after="0" w:line="123" w:lineRule="exact"/>
              <w:rPr>
                <w:sz w:val="20"/>
                <w:szCs w:val="20"/>
                <w:color w:val="auto"/>
              </w:rPr>
            </w:pPr>
            <w:r>
              <w:rPr>
                <w:rFonts w:ascii="Arial" w:cs="Arial" w:eastAsia="Arial" w:hAnsi="Arial"/>
                <w:sz w:val="14"/>
                <w:szCs w:val="14"/>
                <w:color w:val="auto"/>
                <w:w w:val="93"/>
              </w:rPr>
              <w:t>Interest income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Average</w:t>
            </w: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Average</w:t>
            </w: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recognized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recorded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Cash</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recorded</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440"/>
              <w:spacing w:after="0" w:line="142" w:lineRule="exact"/>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184,546</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331,564</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221,601</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289,470</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362,129</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321,822</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126,054</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55,297</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83,527</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45,822</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Alt-A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205,632</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226,878</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2,183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12,076</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12,491</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64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58,863</w:t>
            </w:r>
          </w:p>
        </w:tc>
        <w:tc>
          <w:tcPr>
            <w:tcW w:w="1820" w:type="dxa"/>
            <w:vAlign w:val="bottom"/>
            <w:gridSpan w:val="3"/>
          </w:tcPr>
          <w:p>
            <w:pPr>
              <w:jc w:val="right"/>
              <w:ind w:right="588"/>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50,253</w:t>
            </w:r>
          </w:p>
        </w:tc>
        <w:tc>
          <w:tcPr>
            <w:tcW w:w="1840" w:type="dxa"/>
            <w:vAlign w:val="bottom"/>
            <w:gridSpan w:val="3"/>
          </w:tcPr>
          <w:p>
            <w:pPr>
              <w:jc w:val="right"/>
              <w:ind w:right="588"/>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3,031</w:t>
            </w:r>
          </w:p>
        </w:tc>
        <w:tc>
          <w:tcPr>
            <w:tcW w:w="18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3,236</w:t>
            </w:r>
          </w:p>
        </w:tc>
        <w:tc>
          <w:tcPr>
            <w:tcW w:w="18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1,257,459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1,336,833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following table summarizes the loan grades applied to the various classes of the Company’s commercial and commercial real estate loans as of March 31, 2011 and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40" w:type="dxa"/>
            <w:vAlign w:val="bottom"/>
            <w:gridSpan w:val="3"/>
            <w:vMerge w:val="restart"/>
          </w:tcPr>
          <w:p>
            <w:pPr>
              <w:jc w:val="center"/>
              <w:ind w:right="620"/>
              <w:spacing w:after="0"/>
              <w:rPr>
                <w:sz w:val="20"/>
                <w:szCs w:val="20"/>
                <w:color w:val="auto"/>
              </w:rPr>
            </w:pPr>
            <w:r>
              <w:rPr>
                <w:rFonts w:ascii="Arial" w:cs="Arial" w:eastAsia="Arial" w:hAnsi="Arial"/>
                <w:sz w:val="14"/>
                <w:szCs w:val="14"/>
                <w:color w:val="auto"/>
                <w:w w:val="96"/>
              </w:rPr>
              <w:t>Commercial,</w:t>
            </w: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color w:val="auto"/>
                <w:w w:val="88"/>
              </w:rPr>
              <w:t>Real Estate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2"/>
              </w:rPr>
              <w:t>Residential</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3"/>
              </w:rPr>
              <w:t>Financial,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Builder and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40" w:type="dxa"/>
            <w:vAlign w:val="bottom"/>
            <w:gridSpan w:val="3"/>
          </w:tcPr>
          <w:p>
            <w:pPr>
              <w:jc w:val="center"/>
              <w:ind w:right="620"/>
              <w:spacing w:after="0"/>
              <w:rPr>
                <w:sz w:val="20"/>
                <w:szCs w:val="20"/>
                <w:color w:val="auto"/>
              </w:rPr>
            </w:pPr>
            <w:r>
              <w:rPr>
                <w:rFonts w:ascii="Arial" w:cs="Arial" w:eastAsia="Arial" w:hAnsi="Arial"/>
                <w:sz w:val="14"/>
                <w:szCs w:val="14"/>
                <w:color w:val="auto"/>
                <w:w w:val="90"/>
              </w:rPr>
              <w:t>Leasing, etc.</w:t>
            </w:r>
          </w:p>
        </w:tc>
        <w:tc>
          <w:tcPr>
            <w:tcW w:w="1600" w:type="dxa"/>
            <w:vAlign w:val="bottom"/>
            <w:gridSpan w:val="2"/>
          </w:tcPr>
          <w:p>
            <w:pPr>
              <w:jc w:val="right"/>
              <w:ind w:right="708"/>
              <w:spacing w:after="0"/>
              <w:rPr>
                <w:sz w:val="20"/>
                <w:szCs w:val="20"/>
                <w:color w:val="auto"/>
              </w:rPr>
            </w:pPr>
            <w:r>
              <w:rPr>
                <w:rFonts w:ascii="Arial" w:cs="Arial" w:eastAsia="Arial" w:hAnsi="Arial"/>
                <w:sz w:val="14"/>
                <w:szCs w:val="14"/>
                <w:color w:val="auto"/>
              </w:rPr>
              <w:t>Commercial</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Developer</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86"/>
              </w:rPr>
              <w:t>thousands)</w:t>
            </w:r>
          </w:p>
        </w:tc>
        <w:tc>
          <w:tcPr>
            <w:tcW w:w="7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Pass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$12,909,951</w:t>
            </w: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w w:val="99"/>
              </w:rPr>
              <w:t>15,752,006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676,164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743,160</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960,534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305,462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173,188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rPr>
              <w:t>229,630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320,295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13,826,299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9"/>
              </w:rPr>
              <w:t>16,942,170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1,301,921</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2,647,524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$12,371,138</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9"/>
              </w:rPr>
              <w:t>15,831,104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693,110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Criticized accrual</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832,733</w:t>
            </w:r>
          </w:p>
        </w:tc>
        <w:tc>
          <w:tcPr>
            <w:tcW w:w="600" w:type="dxa"/>
            <w:vAlign w:val="bottom"/>
          </w:tcPr>
          <w:p>
            <w:pPr>
              <w:spacing w:after="0"/>
              <w:rPr>
                <w:sz w:val="18"/>
                <w:szCs w:val="18"/>
                <w:color w:val="auto"/>
              </w:rPr>
            </w:pPr>
          </w:p>
        </w:tc>
        <w:tc>
          <w:tcPr>
            <w:tcW w:w="1600" w:type="dxa"/>
            <w:vAlign w:val="bottom"/>
            <w:gridSpan w:val="2"/>
          </w:tcPr>
          <w:p>
            <w:pPr>
              <w:jc w:val="right"/>
              <w:ind w:right="608"/>
              <w:spacing w:after="0"/>
              <w:rPr>
                <w:sz w:val="20"/>
                <w:szCs w:val="20"/>
                <w:color w:val="auto"/>
              </w:rPr>
            </w:pPr>
            <w:r>
              <w:rPr>
                <w:rFonts w:ascii="Arial" w:cs="Arial" w:eastAsia="Arial" w:hAnsi="Arial"/>
                <w:sz w:val="18"/>
                <w:szCs w:val="18"/>
                <w:color w:val="auto"/>
              </w:rPr>
              <w:t>891,655</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311,932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186,739</w:t>
            </w:r>
          </w:p>
        </w:tc>
        <w:tc>
          <w:tcPr>
            <w:tcW w:w="60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209,031</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346,448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126,641</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13,390,610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16,931,790</w:t>
            </w:r>
          </w:p>
        </w:tc>
        <w:tc>
          <w:tcPr>
            <w:tcW w:w="6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1,351,490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assessing the adequacy of the allowance for credit losses, residential real estate loans and consumer loans are generally evaluated collectively after considering such factors as payment performance, collateral values and trends related thereto.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In addition, the Company also provides an inherent unallocated portion of the allowance that is intended to recognize probable losses that are not otherwise identifiable and includes management’s subjective determination of amounts necessary to provide for the possible use of imprecise estimates in determining the allocated portion of the allowance.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right="560" w:firstLine="215"/>
        <w:spacing w:after="0" w:line="277" w:lineRule="auto"/>
        <w:rPr>
          <w:sz w:val="20"/>
          <w:szCs w:val="20"/>
          <w:color w:val="auto"/>
        </w:rPr>
      </w:pPr>
      <w:r>
        <w:rPr>
          <w:rFonts w:ascii="Arial" w:cs="Arial" w:eastAsia="Arial" w:hAnsi="Arial"/>
          <w:sz w:val="18"/>
          <w:szCs w:val="18"/>
          <w:color w:val="auto"/>
        </w:rPr>
        <w:t>At March 31, 2011 and December 31, 2010, the allocation of the allowance for credit losses summarized on the basis of the Company’s impairment methodology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40" w:type="dxa"/>
            <w:vAlign w:val="bottom"/>
            <w:gridSpan w:val="4"/>
          </w:tcPr>
          <w:p>
            <w:pPr>
              <w:ind w:left="116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4"/>
                <w:szCs w:val="14"/>
                <w:color w:val="auto"/>
              </w:rPr>
            </w:pPr>
          </w:p>
        </w:tc>
        <w:tc>
          <w:tcPr>
            <w:tcW w:w="2740" w:type="dxa"/>
            <w:vAlign w:val="bottom"/>
            <w:gridSpan w:val="5"/>
            <w:vMerge w:val="restart"/>
          </w:tcPr>
          <w:p>
            <w:pPr>
              <w:ind w:left="700"/>
              <w:spacing w:after="0"/>
              <w:rPr>
                <w:sz w:val="20"/>
                <w:szCs w:val="20"/>
                <w:color w:val="auto"/>
              </w:rPr>
            </w:pPr>
            <w:r>
              <w:rPr>
                <w:rFonts w:ascii="Arial" w:cs="Arial" w:eastAsia="Arial" w:hAnsi="Arial"/>
                <w:sz w:val="14"/>
                <w:szCs w:val="14"/>
                <w:color w:val="auto"/>
              </w:rPr>
              <w:t>Real Estate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gridSpan w:val="3"/>
          </w:tcPr>
          <w:p>
            <w:pPr>
              <w:jc w:val="right"/>
              <w:ind w:right="420"/>
              <w:spacing w:after="0" w:line="154" w:lineRule="exact"/>
              <w:rPr>
                <w:sz w:val="20"/>
                <w:szCs w:val="20"/>
                <w:color w:val="auto"/>
              </w:rPr>
            </w:pPr>
            <w:r>
              <w:rPr>
                <w:rFonts w:ascii="Arial" w:cs="Arial" w:eastAsia="Arial" w:hAnsi="Arial"/>
                <w:sz w:val="14"/>
                <w:szCs w:val="14"/>
                <w:color w:val="auto"/>
              </w:rPr>
              <w:t>Financial,</w:t>
            </w:r>
          </w:p>
        </w:tc>
        <w:tc>
          <w:tcPr>
            <w:tcW w:w="340" w:type="dxa"/>
            <w:vAlign w:val="bottom"/>
          </w:tcPr>
          <w:p>
            <w:pPr>
              <w:spacing w:after="0"/>
              <w:rPr>
                <w:sz w:val="13"/>
                <w:szCs w:val="13"/>
                <w:color w:val="auto"/>
              </w:rPr>
            </w:pPr>
          </w:p>
        </w:tc>
        <w:tc>
          <w:tcPr>
            <w:tcW w:w="274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3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w w:val="93"/>
              </w:rPr>
              <w:t>Commercial</w:t>
            </w: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Residential</w:t>
            </w:r>
          </w:p>
        </w:tc>
        <w:tc>
          <w:tcPr>
            <w:tcW w:w="680" w:type="dxa"/>
            <w:vAlign w:val="bottom"/>
          </w:tcPr>
          <w:p>
            <w:pPr>
              <w:spacing w:after="0"/>
              <w:rPr>
                <w:sz w:val="12"/>
                <w:szCs w:val="12"/>
                <w:color w:val="auto"/>
              </w:rPr>
            </w:pPr>
          </w:p>
        </w:tc>
        <w:tc>
          <w:tcPr>
            <w:tcW w:w="13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2"/>
                <w:szCs w:val="12"/>
                <w:color w:val="auto"/>
              </w:rPr>
            </w:pPr>
          </w:p>
        </w:tc>
        <w:tc>
          <w:tcPr>
            <w:tcW w:w="800" w:type="dxa"/>
            <w:vAlign w:val="bottom"/>
            <w:gridSpan w:val="3"/>
          </w:tcPr>
          <w:p>
            <w:pPr>
              <w:ind w:left="2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33,211</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101,993</w:t>
            </w: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38,000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15,686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$ 188,890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182,296</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286,061</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48,581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121,368</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638,306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Purchased impaired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3,053</w:t>
            </w: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945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215,659</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391,107</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87,526</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137,351</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72,060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$ 903,703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40,459</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114,082</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39,000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15,492</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$ 209,033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171,670</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282,505</w:t>
            </w: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46,976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117,475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618,626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3,975</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212,579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400,562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86,351</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$ 902,941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recorded investment in loans and leases summarized on the basis of the Company’s impairment methodology as of March 31, 2011 and December 31, 2010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6"/>
              </w:rPr>
              <w:t>Commercial,</w:t>
            </w:r>
          </w:p>
        </w:tc>
        <w:tc>
          <w:tcPr>
            <w:tcW w:w="500" w:type="dxa"/>
            <w:vAlign w:val="bottom"/>
          </w:tcPr>
          <w:p>
            <w:pPr>
              <w:spacing w:after="0"/>
              <w:rPr>
                <w:sz w:val="14"/>
                <w:szCs w:val="14"/>
                <w:color w:val="auto"/>
              </w:rPr>
            </w:pPr>
          </w:p>
        </w:tc>
        <w:tc>
          <w:tcPr>
            <w:tcW w:w="1500" w:type="dxa"/>
            <w:vAlign w:val="bottom"/>
            <w:gridSpan w:val="2"/>
            <w:vMerge w:val="restart"/>
          </w:tcPr>
          <w:p>
            <w:pPr>
              <w:ind w:left="840"/>
              <w:spacing w:after="0"/>
              <w:rPr>
                <w:sz w:val="20"/>
                <w:szCs w:val="20"/>
                <w:color w:val="auto"/>
              </w:rPr>
            </w:pPr>
            <w:r>
              <w:rPr>
                <w:rFonts w:ascii="Arial" w:cs="Arial" w:eastAsia="Arial" w:hAnsi="Arial"/>
                <w:sz w:val="14"/>
                <w:szCs w:val="14"/>
                <w:color w:val="auto"/>
                <w:w w:val="88"/>
              </w:rPr>
              <w:t>Real Estate</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3"/>
              </w:rPr>
              <w:t>Financial,</w:t>
            </w:r>
          </w:p>
        </w:tc>
        <w:tc>
          <w:tcPr>
            <w:tcW w:w="500" w:type="dxa"/>
            <w:vAlign w:val="bottom"/>
          </w:tcPr>
          <w:p>
            <w:pPr>
              <w:spacing w:after="0"/>
              <w:rPr>
                <w:sz w:val="13"/>
                <w:szCs w:val="13"/>
                <w:color w:val="auto"/>
              </w:rPr>
            </w:pPr>
          </w:p>
        </w:tc>
        <w:tc>
          <w:tcPr>
            <w:tcW w:w="1500" w:type="dxa"/>
            <w:vAlign w:val="bottom"/>
            <w:tcBorders>
              <w:bottom w:val="single" w:sz="8" w:color="auto"/>
            </w:tcBorders>
            <w:gridSpan w:val="2"/>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0"/>
              </w:rPr>
              <w:t>Leasing, etc.</w:t>
            </w:r>
          </w:p>
        </w:tc>
        <w:tc>
          <w:tcPr>
            <w:tcW w:w="500" w:type="dxa"/>
            <w:vAlign w:val="bottom"/>
          </w:tcPr>
          <w:p>
            <w:pPr>
              <w:spacing w:after="0"/>
              <w:rPr>
                <w:sz w:val="12"/>
                <w:szCs w:val="12"/>
                <w:color w:val="auto"/>
              </w:rPr>
            </w:pPr>
          </w:p>
        </w:tc>
        <w:tc>
          <w:tcPr>
            <w:tcW w:w="150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Commercial</w:t>
            </w: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w w:val="95"/>
              </w:rPr>
              <w:t>Residential</w:t>
            </w:r>
          </w:p>
        </w:tc>
        <w:tc>
          <w:tcPr>
            <w:tcW w:w="600" w:type="dxa"/>
            <w:vAlign w:val="bottom"/>
          </w:tcPr>
          <w:p>
            <w:pPr>
              <w:spacing w:after="0"/>
              <w:rPr>
                <w:sz w:val="12"/>
                <w:szCs w:val="12"/>
                <w:color w:val="auto"/>
              </w:rPr>
            </w:pPr>
          </w:p>
        </w:tc>
        <w:tc>
          <w:tcPr>
            <w:tcW w:w="152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6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173,188</w:t>
            </w:r>
          </w:p>
        </w:tc>
        <w:tc>
          <w:tcPr>
            <w:tcW w:w="100" w:type="dxa"/>
            <w:vAlign w:val="bottom"/>
          </w:tcPr>
          <w:p>
            <w:pPr>
              <w:spacing w:after="0"/>
              <w:rPr>
                <w:sz w:val="18"/>
                <w:szCs w:val="18"/>
                <w:color w:val="auto"/>
              </w:rPr>
            </w:pP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658,462</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285,106</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72,330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13,651,189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20,155,583</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5,862,957</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11,171,277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50,841,006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Purchased impaired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77,570</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6,897</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88,589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13,826,299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20,891,615</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6,154,960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11,245,807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52,118,681</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December 31, 2010</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186,739</w:t>
            </w:r>
          </w:p>
        </w:tc>
        <w:tc>
          <w:tcPr>
            <w:tcW w:w="1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682,120</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286,612</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1,227,553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13,201,621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20,417,958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5,632,124</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11,414,107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50,665,810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9,320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97,019</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13,390,610</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21,183,161</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5,928,056</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11,488,555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51,990,382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- 17 -</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had $1.2 billion of fixed and floating rate junior subordinated deferrable interest debentures (“Junior Subordinated Debentures”) outstanding at March 31, 2011 that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However, the Dodd-Frank Wall Street Reform and Consumer Protection Act of 2010 that was signed into law on July 21, 2010 provides for a three-year phase-in related to the exclusion of trust preferred capital securities from Tier 1 capital for large financial institutions, including M&amp;T. That phase-in period begins on January 1, 2013.</w:t>
      </w:r>
    </w:p>
    <w:p>
      <w:pPr>
        <w:spacing w:after="0" w:line="8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21" w:lineRule="exact"/>
        <w:rPr>
          <w:sz w:val="20"/>
          <w:szCs w:val="20"/>
          <w:color w:val="auto"/>
        </w:rPr>
      </w:pPr>
    </w:p>
    <w:p>
      <w:pPr>
        <w:jc w:val="both"/>
        <w:ind w:right="640"/>
        <w:spacing w:after="0" w:line="342" w:lineRule="auto"/>
        <w:rPr>
          <w:sz w:val="20"/>
          <w:szCs w:val="20"/>
          <w:color w:val="auto"/>
        </w:rPr>
      </w:pPr>
      <w:r>
        <w:rPr>
          <w:rFonts w:ascii="Arial" w:cs="Arial" w:eastAsia="Arial" w:hAnsi="Arial"/>
          <w:sz w:val="16"/>
          <w:szCs w:val="16"/>
          <w:color w:val="auto"/>
        </w:rPr>
        <w:t>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8"/>
              </w:rPr>
              <w:t>Carrying</w:t>
            </w:r>
          </w:p>
        </w:tc>
        <w:tc>
          <w:tcPr>
            <w:tcW w:w="4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Carrying</w:t>
            </w:r>
          </w:p>
        </w:tc>
      </w:tr>
      <w:tr>
        <w:trPr>
          <w:trHeight w:val="149"/>
        </w:trPr>
        <w:tc>
          <w:tcPr>
            <w:tcW w:w="5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4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c>
          <w:tcPr>
            <w:tcW w:w="4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value</w:t>
            </w:r>
          </w:p>
        </w:tc>
      </w:tr>
      <w:tr>
        <w:trPr>
          <w:trHeight w:val="167"/>
        </w:trPr>
        <w:tc>
          <w:tcPr>
            <w:tcW w:w="5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4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March 31, 2011</w:t>
            </w:r>
          </w:p>
        </w:tc>
        <w:tc>
          <w:tcPr>
            <w:tcW w:w="4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December 31, 2010</w:t>
            </w:r>
          </w:p>
        </w:tc>
      </w:tr>
      <w:tr>
        <w:trPr>
          <w:trHeight w:val="142"/>
        </w:trPr>
        <w:tc>
          <w:tcPr>
            <w:tcW w:w="5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0" w:type="dxa"/>
            <w:vAlign w:val="bottom"/>
            <w:gridSpan w:val="3"/>
          </w:tcPr>
          <w:p>
            <w:pPr>
              <w:jc w:val="right"/>
              <w:ind w:right="1008"/>
              <w:spacing w:after="0" w:line="142" w:lineRule="exact"/>
              <w:rPr>
                <w:sz w:val="20"/>
                <w:szCs w:val="20"/>
                <w:color w:val="auto"/>
              </w:rPr>
            </w:pPr>
            <w:r>
              <w:rPr>
                <w:rFonts w:ascii="Arial" w:cs="Arial" w:eastAsia="Arial" w:hAnsi="Arial"/>
                <w:sz w:val="14"/>
                <w:szCs w:val="14"/>
                <w:color w:val="auto"/>
              </w:rPr>
              <w:t>(dollars in thousands)</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A (a)</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5940" w:type="dxa"/>
            <w:vAlign w:val="bottom"/>
          </w:tcPr>
          <w:p>
            <w:pPr>
              <w:ind w:left="220"/>
              <w:spacing w:after="0" w:line="201" w:lineRule="exact"/>
              <w:rPr>
                <w:sz w:val="20"/>
                <w:szCs w:val="20"/>
                <w:color w:val="auto"/>
              </w:rPr>
            </w:pPr>
            <w:r>
              <w:rPr>
                <w:rFonts w:ascii="Arial" w:cs="Arial" w:eastAsia="Arial" w:hAnsi="Arial"/>
                <w:sz w:val="18"/>
                <w:szCs w:val="18"/>
                <w:color w:val="auto"/>
              </w:rPr>
              <w:t>Fixed Rate Cumulative Perpetual</w:t>
            </w:r>
          </w:p>
        </w:tc>
        <w:tc>
          <w:tcPr>
            <w:tcW w:w="162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600,000</w:t>
            </w:r>
          </w:p>
        </w:tc>
        <w:tc>
          <w:tcPr>
            <w:tcW w:w="1840" w:type="dxa"/>
            <w:vAlign w:val="bottom"/>
            <w:gridSpan w:val="2"/>
          </w:tcPr>
          <w:p>
            <w:pPr>
              <w:jc w:val="right"/>
              <w:ind w:right="328"/>
              <w:spacing w:after="0" w:line="201" w:lineRule="exact"/>
              <w:rPr>
                <w:sz w:val="20"/>
                <w:szCs w:val="20"/>
                <w:color w:val="auto"/>
              </w:rPr>
            </w:pPr>
            <w:r>
              <w:rPr>
                <w:rFonts w:ascii="Arial" w:cs="Arial" w:eastAsia="Arial" w:hAnsi="Arial"/>
                <w:sz w:val="18"/>
                <w:szCs w:val="18"/>
                <w:color w:val="auto"/>
              </w:rPr>
              <w:t>$580,203</w:t>
            </w:r>
          </w:p>
        </w:tc>
        <w:tc>
          <w:tcPr>
            <w:tcW w:w="20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$578,630</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1"/>
              </w:rPr>
              <w:t>Preferred Stock, Series A, $1,000 liquidation preference per share, 600,000</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5940" w:type="dxa"/>
            <w:vAlign w:val="bottom"/>
          </w:tcPr>
          <w:p>
            <w:pPr>
              <w:ind w:left="620"/>
              <w:spacing w:after="0"/>
              <w:rPr>
                <w:sz w:val="20"/>
                <w:szCs w:val="20"/>
                <w:color w:val="auto"/>
              </w:rPr>
            </w:pPr>
            <w:r>
              <w:rPr>
                <w:rFonts w:ascii="Arial" w:cs="Arial" w:eastAsia="Arial" w:hAnsi="Arial"/>
                <w:sz w:val="18"/>
                <w:szCs w:val="18"/>
                <w:color w:val="auto"/>
              </w:rPr>
              <w:t>shares authorized</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Series B (b)</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B Mandatory Convertible</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26,500</w:t>
            </w:r>
          </w:p>
        </w:tc>
        <w:tc>
          <w:tcPr>
            <w:tcW w:w="18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26,500</w:t>
            </w:r>
          </w:p>
        </w:tc>
        <w:tc>
          <w:tcPr>
            <w:tcW w:w="2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26,500</w:t>
            </w:r>
          </w:p>
        </w:tc>
      </w:tr>
      <w:tr>
        <w:trPr>
          <w:trHeight w:val="202"/>
        </w:trPr>
        <w:tc>
          <w:tcPr>
            <w:tcW w:w="59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4"/>
              </w:rPr>
              <w:t>Non-cumulative Preferred Stock, $1,000 liquidation preference per share,</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26,500 shares authorized</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Series C (a)(c)</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2"/>
        </w:trPr>
        <w:tc>
          <w:tcPr>
            <w:tcW w:w="5940" w:type="dxa"/>
            <w:vAlign w:val="bottom"/>
          </w:tcPr>
          <w:p>
            <w:pPr>
              <w:ind w:left="220"/>
              <w:spacing w:after="0" w:line="201" w:lineRule="exact"/>
              <w:rPr>
                <w:sz w:val="20"/>
                <w:szCs w:val="20"/>
                <w:color w:val="auto"/>
              </w:rPr>
            </w:pPr>
            <w:r>
              <w:rPr>
                <w:rFonts w:ascii="Arial" w:cs="Arial" w:eastAsia="Arial" w:hAnsi="Arial"/>
                <w:sz w:val="18"/>
                <w:szCs w:val="18"/>
                <w:color w:val="auto"/>
              </w:rPr>
              <w:t>Fixed Rate Cumulative Perpetual</w:t>
            </w:r>
          </w:p>
        </w:tc>
        <w:tc>
          <w:tcPr>
            <w:tcW w:w="1620" w:type="dxa"/>
            <w:vAlign w:val="bottom"/>
            <w:gridSpan w:val="2"/>
          </w:tcPr>
          <w:p>
            <w:pPr>
              <w:jc w:val="right"/>
              <w:ind w:right="208"/>
              <w:spacing w:after="0" w:line="201" w:lineRule="exact"/>
              <w:rPr>
                <w:sz w:val="20"/>
                <w:szCs w:val="20"/>
                <w:color w:val="auto"/>
              </w:rPr>
            </w:pPr>
            <w:r>
              <w:rPr>
                <w:rFonts w:ascii="Arial" w:cs="Arial" w:eastAsia="Arial" w:hAnsi="Arial"/>
                <w:sz w:val="18"/>
                <w:szCs w:val="18"/>
                <w:color w:val="auto"/>
              </w:rPr>
              <w:t>151,500</w:t>
            </w:r>
          </w:p>
        </w:tc>
        <w:tc>
          <w:tcPr>
            <w:tcW w:w="1840" w:type="dxa"/>
            <w:vAlign w:val="bottom"/>
            <w:gridSpan w:val="2"/>
          </w:tcPr>
          <w:p>
            <w:pPr>
              <w:jc w:val="right"/>
              <w:ind w:right="328"/>
              <w:spacing w:after="0" w:line="201" w:lineRule="exact"/>
              <w:rPr>
                <w:sz w:val="20"/>
                <w:szCs w:val="20"/>
                <w:color w:val="auto"/>
              </w:rPr>
            </w:pPr>
            <w:r>
              <w:rPr>
                <w:rFonts w:ascii="Arial" w:cs="Arial" w:eastAsia="Arial" w:hAnsi="Arial"/>
                <w:sz w:val="18"/>
                <w:szCs w:val="18"/>
                <w:color w:val="auto"/>
              </w:rPr>
              <w:t>136,682</w:t>
            </w:r>
          </w:p>
        </w:tc>
        <w:tc>
          <w:tcPr>
            <w:tcW w:w="2020" w:type="dxa"/>
            <w:vAlign w:val="bottom"/>
            <w:gridSpan w:val="2"/>
          </w:tcPr>
          <w:p>
            <w:pPr>
              <w:jc w:val="right"/>
              <w:ind w:right="408"/>
              <w:spacing w:after="0" w:line="201" w:lineRule="exact"/>
              <w:rPr>
                <w:sz w:val="20"/>
                <w:szCs w:val="20"/>
                <w:color w:val="auto"/>
              </w:rPr>
            </w:pPr>
            <w:r>
              <w:rPr>
                <w:rFonts w:ascii="Arial" w:cs="Arial" w:eastAsia="Arial" w:hAnsi="Arial"/>
                <w:sz w:val="18"/>
                <w:szCs w:val="18"/>
                <w:color w:val="auto"/>
              </w:rPr>
              <w:t>135,527</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1"/>
              </w:rPr>
              <w:t>Preferred Stock, Series C, $1,000 liquidation preference per share, 151,500</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5940" w:type="dxa"/>
            <w:vAlign w:val="bottom"/>
          </w:tcPr>
          <w:p>
            <w:pPr>
              <w:ind w:left="620"/>
              <w:spacing w:after="0"/>
              <w:rPr>
                <w:sz w:val="20"/>
                <w:szCs w:val="20"/>
                <w:color w:val="auto"/>
              </w:rPr>
            </w:pPr>
            <w:r>
              <w:rPr>
                <w:rFonts w:ascii="Arial" w:cs="Arial" w:eastAsia="Arial" w:hAnsi="Arial"/>
                <w:sz w:val="18"/>
                <w:szCs w:val="18"/>
                <w:color w:val="auto"/>
              </w:rPr>
              <w:t>shares authorized</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55"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40" w:lineRule="exact"/>
        <w:rPr>
          <w:rFonts w:ascii="Arial" w:cs="Arial" w:eastAsia="Arial" w:hAnsi="Arial"/>
          <w:sz w:val="18"/>
          <w:szCs w:val="18"/>
          <w:i w:val="1"/>
          <w:iCs w:val="1"/>
          <w:color w:val="auto"/>
        </w:rPr>
      </w:pPr>
    </w:p>
    <w:p>
      <w:pPr>
        <w:ind w:left="460" w:right="280" w:hanging="452"/>
        <w:spacing w:after="0" w:line="325"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assumed in an acquisition and a new Series B Preferred Stock was designated. Pursuant to their terms, the shares of Series B Preferred Stock were converted into 433,144 shares of M&amp;T common stock on April 1, 2011. The preferred stock had a stated dividend rate of 10% per year.</w:t>
      </w:r>
    </w:p>
    <w:p>
      <w:pPr>
        <w:spacing w:after="0" w:line="1" w:lineRule="exact"/>
        <w:rPr>
          <w:rFonts w:ascii="Arial" w:cs="Arial" w:eastAsia="Arial" w:hAnsi="Arial"/>
          <w:sz w:val="16"/>
          <w:szCs w:val="16"/>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21" w:lineRule="exact"/>
        <w:rPr>
          <w:sz w:val="20"/>
          <w:szCs w:val="20"/>
          <w:color w:val="auto"/>
        </w:rPr>
      </w:pPr>
    </w:p>
    <w:p>
      <w:pPr>
        <w:ind w:right="260" w:firstLine="440"/>
        <w:spacing w:after="0" w:line="264" w:lineRule="auto"/>
        <w:rPr>
          <w:sz w:val="20"/>
          <w:szCs w:val="20"/>
          <w:color w:val="auto"/>
        </w:rPr>
      </w:pPr>
      <w:r>
        <w:rPr>
          <w:rFonts w:ascii="Arial" w:cs="Arial" w:eastAsia="Arial" w:hAnsi="Arial"/>
          <w:sz w:val="18"/>
          <w:szCs w:val="18"/>
          <w:color w:val="auto"/>
        </w:rPr>
        <w:t>As noted by M&amp;T at the time the merger with Wilmington Trust was announced on November 1, 2010, following completion of the merger, M&amp;T expects its capital ratios at the end of the second quarter of 2011 to be comparable to what they were as of September 30, 2010. Pursuant to its capital plan, M&amp;T intends to undertake a series of actions during the second quarter of 2011:</w:t>
      </w:r>
    </w:p>
    <w:p>
      <w:pPr>
        <w:spacing w:after="0" w:line="73" w:lineRule="exact"/>
        <w:rPr>
          <w:sz w:val="20"/>
          <w:szCs w:val="20"/>
          <w:color w:val="auto"/>
        </w:rPr>
      </w:pPr>
    </w:p>
    <w:p>
      <w:pPr>
        <w:ind w:left="900" w:right="100" w:hanging="325"/>
        <w:spacing w:after="0" w:line="277" w:lineRule="auto"/>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Simultaneous with the closing of the merger, M&amp;T intends to redeem the $330 million of preferred stock that was issued to the U.S. Treasury by Wilmington Trust pursuant to the Troubled Asset Relief Program — Capital Purchase Program;</w:t>
      </w:r>
    </w:p>
    <w:p>
      <w:pPr>
        <w:spacing w:after="0" w:line="75" w:lineRule="exact"/>
        <w:rPr>
          <w:rFonts w:ascii="Arial" w:cs="Arial" w:eastAsia="Arial" w:hAnsi="Arial"/>
          <w:sz w:val="18"/>
          <w:szCs w:val="18"/>
          <w:b w:val="1"/>
          <w:bCs w:val="1"/>
          <w:color w:val="auto"/>
        </w:rPr>
      </w:pPr>
    </w:p>
    <w:p>
      <w:pPr>
        <w:ind w:left="900" w:right="360" w:hanging="325"/>
        <w:spacing w:after="0" w:line="342" w:lineRule="auto"/>
        <w:tabs>
          <w:tab w:leader="none" w:pos="900" w:val="left"/>
        </w:tabs>
        <w:numPr>
          <w:ilvl w:val="1"/>
          <w:numId w:val="4"/>
        </w:numPr>
        <w:rPr>
          <w:rFonts w:ascii="Arial" w:cs="Arial" w:eastAsia="Arial" w:hAnsi="Arial"/>
          <w:sz w:val="16"/>
          <w:szCs w:val="16"/>
          <w:b w:val="1"/>
          <w:bCs w:val="1"/>
          <w:color w:val="auto"/>
        </w:rPr>
      </w:pPr>
      <w:r>
        <w:rPr>
          <w:rFonts w:ascii="Arial" w:cs="Arial" w:eastAsia="Arial" w:hAnsi="Arial"/>
          <w:sz w:val="16"/>
          <w:szCs w:val="16"/>
          <w:color w:val="auto"/>
        </w:rPr>
        <w:t>By the end of the second quarter of 2011, M&amp;T intends to repay an additional $370 million of the preferred stock issued to the U.S. Treasury pursuant to the Troubled Asset Relief Program — Capital Purchase Program by Provident Bankshares Corporation and by M&amp;T; and</w:t>
      </w:r>
    </w:p>
    <w:p>
      <w:pPr>
        <w:spacing w:after="0" w:line="29" w:lineRule="exact"/>
        <w:rPr>
          <w:rFonts w:ascii="Arial" w:cs="Arial" w:eastAsia="Arial" w:hAnsi="Arial"/>
          <w:sz w:val="16"/>
          <w:szCs w:val="16"/>
          <w:b w:val="1"/>
          <w:bCs w:val="1"/>
          <w:color w:val="auto"/>
        </w:rPr>
      </w:pPr>
    </w:p>
    <w:p>
      <w:pPr>
        <w:ind w:left="900" w:hanging="325"/>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To supplement its Tier 1 capital, M&amp;T will issue $500 million of new perpetual preferred stock prior to the end of the second quarter of 2011.</w:t>
      </w:r>
    </w:p>
    <w:p>
      <w:pPr>
        <w:spacing w:after="0" w:line="232" w:lineRule="exact"/>
        <w:rPr>
          <w:rFonts w:ascii="Arial" w:cs="Arial" w:eastAsia="Arial" w:hAnsi="Arial"/>
          <w:sz w:val="17"/>
          <w:szCs w:val="17"/>
          <w:b w:val="1"/>
          <w:bCs w:val="1"/>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Three months ended March 31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2011</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1300" w:type="dxa"/>
            <w:vAlign w:val="bottom"/>
            <w:gridSpan w:val="2"/>
          </w:tcPr>
          <w:p>
            <w:pPr>
              <w:jc w:val="right"/>
              <w:ind w:right="628"/>
              <w:spacing w:after="0"/>
              <w:rPr>
                <w:sz w:val="20"/>
                <w:szCs w:val="20"/>
                <w:color w:val="auto"/>
              </w:rPr>
            </w:pPr>
            <w:r>
              <w:rPr>
                <w:rFonts w:ascii="Arial" w:cs="Arial" w:eastAsia="Arial" w:hAnsi="Arial"/>
                <w:sz w:val="18"/>
                <w:szCs w:val="18"/>
                <w:color w:val="auto"/>
              </w:rPr>
              <w:t>12,150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12,029</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95"/>
              </w:rPr>
              <w:t>(12,700)</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(12,788)</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300" w:type="dxa"/>
            <w:vAlign w:val="bottom"/>
            <w:gridSpan w:val="2"/>
          </w:tcPr>
          <w:p>
            <w:pPr>
              <w:jc w:val="right"/>
              <w:ind w:right="568"/>
              <w:spacing w:after="0"/>
              <w:rPr>
                <w:sz w:val="20"/>
                <w:szCs w:val="20"/>
                <w:color w:val="auto"/>
              </w:rPr>
            </w:pPr>
            <w:r>
              <w:rPr>
                <w:rFonts w:ascii="Arial" w:cs="Arial" w:eastAsia="Arial" w:hAnsi="Arial"/>
                <w:sz w:val="18"/>
                <w:szCs w:val="18"/>
                <w:color w:val="auto"/>
              </w:rPr>
              <w:t>(1,650)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8,200</w:t>
            </w:r>
          </w:p>
        </w:tc>
        <w:tc>
          <w:tcPr>
            <w:tcW w:w="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5,787</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$10,176,000 and $11,690,000 for the three months ended March 31, 2011 and 2010,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2011</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March 31</w:t>
            </w: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left="415"/>
              <w:spacing w:after="0" w:line="123" w:lineRule="exact"/>
              <w:rPr>
                <w:sz w:val="20"/>
                <w:szCs w:val="20"/>
                <w:color w:val="auto"/>
              </w:rPr>
            </w:pPr>
            <w:r>
              <w:rPr>
                <w:rFonts w:ascii="Arial" w:cs="Arial" w:eastAsia="Arial" w:hAnsi="Arial"/>
                <w:sz w:val="14"/>
                <w:szCs w:val="14"/>
                <w:color w:val="auto"/>
                <w:w w:val="93"/>
              </w:rPr>
              <w:t>(in thousands,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206,273</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stock dividends (a)</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5"/>
              </w:rPr>
              <w:t>(10,498)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Amortization of preferred stock discount (a)</w:t>
            </w:r>
          </w:p>
        </w:tc>
        <w:tc>
          <w:tcPr>
            <w:tcW w:w="100" w:type="dxa"/>
            <w:vAlign w:val="bottom"/>
          </w:tcPr>
          <w:p>
            <w:pPr>
              <w:spacing w:after="0"/>
              <w:rPr>
                <w:sz w:val="19"/>
                <w:szCs w:val="19"/>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193,022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190,113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136,428</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Common shares outstanding (including common stock issuable) and unvested stock-based compensation awards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120,992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119,201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117,765</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4"/>
                <w:szCs w:val="14"/>
                <w:color w:val="auto"/>
              </w:rPr>
              <w:t>2011</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March 31</w:t>
            </w: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jc w:val="center"/>
              <w:ind w:left="416"/>
              <w:spacing w:after="0" w:line="123" w:lineRule="exact"/>
              <w:rPr>
                <w:sz w:val="20"/>
                <w:szCs w:val="20"/>
                <w:color w:val="auto"/>
              </w:rPr>
            </w:pPr>
            <w:r>
              <w:rPr>
                <w:rFonts w:ascii="Arial" w:cs="Arial" w:eastAsia="Arial" w:hAnsi="Arial"/>
                <w:sz w:val="14"/>
                <w:szCs w:val="14"/>
                <w:color w:val="auto"/>
                <w:w w:val="93"/>
              </w:rPr>
              <w:t>(in thousands,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193,022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190,121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136,431</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120,992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Plus: Incremental shares from assumed conversion of stock-based compensation awards and convertible preferred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24"/>
                <w:szCs w:val="24"/>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119,852</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first quarters of 2011 and 2010, the Company issued stock-based compensation awards in the form of restricted stock and restricted stock units, which, in accordance with GAAP, are considered participating securities.</w:t>
      </w:r>
    </w:p>
    <w:p>
      <w:pPr>
        <w:spacing w:after="0" w:line="79"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common stock representing approximately 10.5 million and 11.9 million common shares during the three-month periods ended March 31, 2011 and 2010, respectively, were not included in the computations of diluted earnings per common share because the effect on those periods would have been antidilutive.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22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Three months ended March 31, 2011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9"/>
              </w:rPr>
              <w:t>Before-tax</w:t>
            </w:r>
          </w:p>
        </w:tc>
        <w:tc>
          <w:tcPr>
            <w:tcW w:w="3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800"/>
              <w:spacing w:after="0" w:line="123" w:lineRule="exact"/>
              <w:rPr>
                <w:sz w:val="20"/>
                <w:szCs w:val="20"/>
                <w:color w:val="auto"/>
              </w:rPr>
            </w:pPr>
            <w:r>
              <w:rPr>
                <w:rFonts w:ascii="Arial" w:cs="Arial" w:eastAsia="Arial" w:hAnsi="Arial"/>
                <w:sz w:val="14"/>
                <w:szCs w:val="14"/>
                <w:color w:val="auto"/>
              </w:rPr>
              <w:t>Income</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4"/>
              </w:rPr>
              <w:t>amount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taxes</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w w:val="98"/>
              </w:rPr>
              <w:t>Available-for-sale (“AFS”) investment securities with other-than-temporary impairment (“OTTI”):</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holding gains, net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7,930</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(3,108)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Less: OTTI charges recognized in net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(7,541)</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2,949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for AFS investment securities with OTTI</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(6,057)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439"/>
        </w:trPr>
        <w:tc>
          <w:tcPr>
            <w:tcW w:w="750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holding gains,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(12,372)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(15,413)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for AFS investment securities — all 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(7,776)</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3,041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Unrealized holding losses, 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(8,355)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3,279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reclassification to income of unrealized holding losses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Less: OTTI charges recognized in net income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(8,500)</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3,336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for HTM investment securities with OTTI</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25"/>
        </w:trPr>
        <w:tc>
          <w:tcPr>
            <w:tcW w:w="7500" w:type="dxa"/>
            <w:vAlign w:val="bottom"/>
            <w:gridSpan w:val="2"/>
          </w:tcPr>
          <w:p>
            <w:pPr>
              <w:spacing w:after="0"/>
              <w:rPr>
                <w:sz w:val="20"/>
                <w:szCs w:val="20"/>
                <w:color w:val="auto"/>
              </w:rPr>
            </w:pPr>
            <w:r>
              <w:rPr>
                <w:rFonts w:ascii="Arial" w:cs="Arial" w:eastAsia="Arial" w:hAnsi="Arial"/>
                <w:sz w:val="18"/>
                <w:szCs w:val="18"/>
                <w:color w:val="auto"/>
              </w:rPr>
              <w:t>Reclassification to income of unrealized holding losses on investment securities previously</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transferred from AFS to HTM</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1,698</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(667)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9,308</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3,475</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(1,364)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- 23 -</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2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color w:val="auto"/>
                <w:w w:val="92"/>
              </w:rPr>
              <w:t>Three months ended March 31, 2010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Pr>
          <w:p>
            <w:pPr>
              <w:spacing w:after="0"/>
              <w:rPr>
                <w:sz w:val="10"/>
                <w:szCs w:val="10"/>
                <w:color w:val="auto"/>
              </w:rPr>
            </w:pPr>
          </w:p>
        </w:tc>
        <w:tc>
          <w:tcPr>
            <w:tcW w:w="1440" w:type="dxa"/>
            <w:vAlign w:val="bottom"/>
            <w:gridSpan w:val="3"/>
          </w:tcPr>
          <w:p>
            <w:pPr>
              <w:jc w:val="center"/>
              <w:ind w:right="760"/>
              <w:spacing w:after="0" w:line="123" w:lineRule="exact"/>
              <w:rPr>
                <w:sz w:val="20"/>
                <w:szCs w:val="20"/>
                <w:color w:val="auto"/>
              </w:rPr>
            </w:pPr>
            <w:r>
              <w:rPr>
                <w:rFonts w:ascii="Arial" w:cs="Arial" w:eastAsia="Arial" w:hAnsi="Arial"/>
                <w:sz w:val="14"/>
                <w:szCs w:val="14"/>
                <w:color w:val="auto"/>
                <w:w w:val="95"/>
              </w:rPr>
              <w:t>Income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ind w:left="260"/>
              <w:spacing w:after="0" w:line="142" w:lineRule="exact"/>
              <w:rPr>
                <w:sz w:val="20"/>
                <w:szCs w:val="20"/>
                <w:color w:val="auto"/>
              </w:rPr>
            </w:pPr>
            <w:r>
              <w:rPr>
                <w:rFonts w:ascii="Arial" w:cs="Arial" w:eastAsia="Arial" w:hAnsi="Arial"/>
                <w:sz w:val="14"/>
                <w:szCs w:val="14"/>
                <w:color w:val="auto"/>
                <w:w w:val="83"/>
              </w:rPr>
              <w:t>(in thousands)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color w:val="auto"/>
              </w:rPr>
              <w:t>AFS investment securities with OTTI:</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losses, net</w:t>
            </w: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(29,487)</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11,574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6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(26,802)</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10,483</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for AFS investment securities with OTTI</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(2,685)</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6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net</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131,379</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(51,456)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6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for AFS investment securities — all other</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(51,500)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to income of unrealized holding losses on investment securities previously</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transferred from AFS to HTM</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7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131,186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(51,330)</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$ 132,770</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(51,954)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5520"/>
              <w:spacing w:after="0"/>
              <w:rPr>
                <w:sz w:val="20"/>
                <w:szCs w:val="20"/>
                <w:color w:val="auto"/>
              </w:rPr>
            </w:pPr>
            <w:r>
              <w:rPr>
                <w:rFonts w:ascii="Arial" w:cs="Arial" w:eastAsia="Arial" w:hAnsi="Arial"/>
                <w:sz w:val="18"/>
                <w:szCs w:val="18"/>
                <w:color w:val="auto"/>
              </w:rPr>
              <w:t>- 24 -</w:t>
            </w: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440" w:type="dxa"/>
            <w:vAlign w:val="bottom"/>
            <w:gridSpan w:val="4"/>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Cash</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4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14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color w:val="auto"/>
              </w:rPr>
              <w:t>With OTTI</w:t>
            </w:r>
          </w:p>
        </w:tc>
        <w:tc>
          <w:tcPr>
            <w:tcW w:w="7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14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 (87,053)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2,332</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393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(120,892)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(205,220)</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9,362</w:t>
            </w:r>
          </w:p>
        </w:tc>
        <w:tc>
          <w:tcPr>
            <w:tcW w:w="66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(3,704)</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2,111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 (77,691)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323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(118,781)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(197,521)</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color w:val="auto"/>
              </w:rPr>
              <w:t>Balance — January 1, 2010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 (76,772)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(142,853)</w:t>
            </w: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674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(117,046)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81,450</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(70)</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80,816</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Balance — March 31, 2010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 (78,366)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(61,403)</w:t>
            </w: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604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(116,016)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(255,181)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2011.</w:t>
      </w:r>
    </w:p>
    <w:p>
      <w:pPr>
        <w:spacing w:after="0" w:line="85"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net effect of interest rate swap agreements was to increase net interest income by $10 million and $11 million for the three months ended March 31, 2011 and 2010, respectively. Information about interest rate swap agreements entered into for interest rate risk management purposes summarized by type of financial instrument the swap agreements were intended to hedge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rPr>
              <w:t>Notional</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80"/>
              <w:spacing w:after="0" w:line="142" w:lineRule="exact"/>
              <w:rPr>
                <w:sz w:val="20"/>
                <w:szCs w:val="20"/>
                <w:color w:val="auto"/>
              </w:rPr>
            </w:pPr>
            <w:r>
              <w:rPr>
                <w:rFonts w:ascii="Arial" w:cs="Arial" w:eastAsia="Arial" w:hAnsi="Arial"/>
                <w:sz w:val="14"/>
                <w:szCs w:val="14"/>
                <w:color w:val="auto"/>
                <w:w w:val="94"/>
              </w:rPr>
              <w:t>amount</w:t>
            </w:r>
          </w:p>
        </w:tc>
        <w:tc>
          <w:tcPr>
            <w:tcW w:w="1360" w:type="dxa"/>
            <w:vAlign w:val="bottom"/>
            <w:gridSpan w:val="2"/>
          </w:tcPr>
          <w:p>
            <w:pPr>
              <w:jc w:val="center"/>
              <w:ind w:right="68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jc w:val="right"/>
              <w:ind w:right="828"/>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5"/>
              </w:rPr>
              <w:t>(in thousands)</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Fair value hedges: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December 31, 2010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900,000</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6.07%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jc w:val="both"/>
        <w:ind w:right="100" w:firstLine="447"/>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260" w:firstLine="450"/>
        <w:spacing w:after="0" w:line="302"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$12.3 billion and $12.8 billion at March 31, 2011 and December 31, 2010, respectively. The notional amounts of foreign currency and other option and futures contracts entered into for trading purposes aggregated $982 million and $769 million at March 31, 2011 and December 31, 2010, respectively.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9"/>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3"/>
          </w:tcPr>
          <w:p>
            <w:pPr>
              <w:jc w:val="right"/>
              <w:ind w:right="120"/>
              <w:spacing w:after="0" w:line="123" w:lineRule="exact"/>
              <w:rPr>
                <w:sz w:val="20"/>
                <w:szCs w:val="20"/>
                <w:color w:val="auto"/>
              </w:rPr>
            </w:pPr>
            <w:r>
              <w:rPr>
                <w:rFonts w:ascii="Arial" w:cs="Arial" w:eastAsia="Arial" w:hAnsi="Arial"/>
                <w:sz w:val="14"/>
                <w:szCs w:val="14"/>
                <w:color w:val="auto"/>
                <w:w w:val="99"/>
              </w:rPr>
              <w:t>March 31,</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w w:val="99"/>
              </w:rPr>
              <w:t>March 31,</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84,232</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96,637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1,281</w:t>
            </w:r>
          </w:p>
        </w:tc>
        <w:tc>
          <w:tcPr>
            <w:tcW w:w="2080" w:type="dxa"/>
            <w:vAlign w:val="bottom"/>
            <w:gridSpan w:val="3"/>
          </w:tcPr>
          <w:p>
            <w:pPr>
              <w:jc w:val="right"/>
              <w:ind w:right="660"/>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306,305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345,632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282,387</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321,461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21,327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21,543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345,180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307,185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429,625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471,565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308,043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5"/>
          </w:tcPr>
          <w:p>
            <w:pPr>
              <w:jc w:val="center"/>
              <w:ind w:right="800"/>
              <w:spacing w:after="0" w:line="123" w:lineRule="exact"/>
              <w:rPr>
                <w:sz w:val="20"/>
                <w:szCs w:val="20"/>
                <w:color w:val="auto"/>
              </w:rPr>
            </w:pPr>
            <w:r>
              <w:rPr>
                <w:rFonts w:ascii="Arial" w:cs="Arial" w:eastAsia="Arial" w:hAnsi="Arial"/>
                <w:sz w:val="14"/>
                <w:szCs w:val="14"/>
                <w:color w:val="auto"/>
                <w:w w:val="91"/>
              </w:rPr>
              <w:t>Three months ended</w:t>
            </w:r>
          </w:p>
        </w:tc>
        <w:tc>
          <w:tcPr>
            <w:tcW w:w="120" w:type="dxa"/>
            <w:vAlign w:val="bottom"/>
          </w:tcPr>
          <w:p>
            <w:pPr>
              <w:spacing w:after="0"/>
              <w:rPr>
                <w:sz w:val="10"/>
                <w:szCs w:val="10"/>
                <w:color w:val="auto"/>
              </w:rPr>
            </w:pPr>
          </w:p>
        </w:tc>
        <w:tc>
          <w:tcPr>
            <w:tcW w:w="1960" w:type="dxa"/>
            <w:vAlign w:val="bottom"/>
            <w:gridSpan w:val="4"/>
          </w:tcPr>
          <w:p>
            <w:pPr>
              <w:jc w:val="right"/>
              <w:ind w:right="388"/>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color w:val="auto"/>
                <w:w w:val="94"/>
              </w:rPr>
              <w:t>March 31, 2011</w:t>
            </w:r>
          </w:p>
        </w:tc>
        <w:tc>
          <w:tcPr>
            <w:tcW w:w="12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March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(12,405)</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12,048</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12,470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(11,981)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(12,405)</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12,048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12,271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475</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17"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$19 million and $17 million at March 31, 2011 and December 31, 2010, respectively. Changes in unrealized gains and losses are included in mortgage banking revenues and, in general, are realized in subsequent periods as the related loans are sold and commitments satisfied.</w:t>
      </w:r>
    </w:p>
    <w:p>
      <w:pPr>
        <w:spacing w:after="0" w:line="81"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March 31, 2011 for which the Company was required to post collateral was $174 million. The fair value of collateral posted for such instruments was $159 million.</w:t>
      </w:r>
    </w:p>
    <w:p>
      <w:pPr>
        <w:spacing w:after="0" w:line="62" w:lineRule="exact"/>
        <w:rPr>
          <w:sz w:val="20"/>
          <w:szCs w:val="20"/>
          <w:color w:val="auto"/>
        </w:rPr>
      </w:pPr>
    </w:p>
    <w:p>
      <w:pPr>
        <w:ind w:right="40" w:firstLine="447"/>
        <w:spacing w:after="0" w:line="259" w:lineRule="auto"/>
        <w:rPr>
          <w:sz w:val="20"/>
          <w:szCs w:val="20"/>
          <w:color w:val="auto"/>
        </w:rPr>
      </w:pPr>
      <w:r>
        <w:rPr>
          <w:rFonts w:ascii="Arial" w:cs="Arial" w:eastAsia="Arial" w:hAnsi="Arial"/>
          <w:sz w:val="18"/>
          <w:szCs w:val="18"/>
          <w:color w:val="auto"/>
        </w:rPr>
        <w:t>The Company’s credit exposure with respect to the estimated fair value as of March 31, 2011 of interest rate swap agreements used for managing interest rate risk has been substantially mitigated through master netting agreements with trading account interest rate contracts with the same counterparties as well as counterparty postings of $60 million of collateral with the Company. Trading account interest rate swap agreements entered into with customers are subject to the Company’s credit standards and often contain collateral provisions.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March 31, 2011 and December 31, 2010, the carrying values of the loans in the securitization trust were $236 million and $265 million, respectively. The outstanding principal amount of mortgage-backed securities issued by the qualified special purpose trust that was held by parties unrelated to M&amp;T at March 31, 2011 and December 31, 2010 was $37 million and $40 million, respectively. Because the transaction was non-recourse, the Company’s maximum exposure to loss as a result of its association with the trust at March 31, 2011 is limited to realizing the carrying value of the loans less the amount of the mortgage-backed securities held by third parties.</w:t>
      </w:r>
    </w:p>
    <w:p>
      <w:pPr>
        <w:spacing w:after="0" w:line="70"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2011 and December 31, 2010,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$1.2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billion at March 31, 2011 and December 31, 2010, respectively. Those partnerships generally construct or acquire properties for which the investing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are eligible to receive certain federal income tax credits in accordance with government guidelines. Such investments may also provide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deductible losses to the partners. The partnership investments also assist the Company in achieving its community reinvestment initiatives. As a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 there is no recourse to the Company by creditors of the partnerships. However, the tax credits that result from the Company’s investments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partnerships are generally subject to recapture should a partnership fail to comply with the respective government regulations. The Company’s maximum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exposure to loss of its investments in such partnerships was $249 million, including $71 million of unfunded commitments, at March 31, 2011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$258 million, including $81 million of unfunded commitments, at December 31, 2010. The Company has not provided financial or other support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partnerships that was not contractually required. Management currently estimates that no material losses are probable as a result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involvement with such entities. In accordance with the accounting provisions for variable interest entities, the Company, in its position as limited partner,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direct the activities that most significantly impact the economic performance of the partnerships and, therefore, the partnership entities are not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2011.</w:t>
      </w:r>
    </w:p>
    <w:p>
      <w:pPr>
        <w:spacing w:after="0" w:line="62" w:lineRule="exact"/>
        <w:rPr>
          <w:sz w:val="20"/>
          <w:szCs w:val="20"/>
          <w:color w:val="auto"/>
        </w:rPr>
      </w:pPr>
    </w:p>
    <w:p>
      <w:pPr>
        <w:jc w:val="both"/>
        <w:ind w:right="400" w:firstLine="585"/>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58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right="100" w:firstLine="537"/>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20" w:firstLine="447"/>
        <w:spacing w:after="0" w:line="293" w:lineRule="auto"/>
        <w:rPr>
          <w:sz w:val="20"/>
          <w:szCs w:val="20"/>
          <w:color w:val="auto"/>
        </w:rPr>
      </w:pPr>
      <w:r>
        <w:rPr>
          <w:rFonts w:ascii="Arial" w:cs="Arial" w:eastAsia="Arial" w:hAnsi="Arial"/>
          <w:sz w:val="16"/>
          <w:szCs w:val="16"/>
          <w:color w:val="auto"/>
        </w:rPr>
        <w:t>Trading activity in privately issued mortgage-backed securities has been limited. The markets for such securities were generally characterized by a sharp reduction of non-agency mortgage-backed securities issuances, a significant reduction in trading volumes and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57"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GAAP provides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March 31, 2011 and December 31,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$1.4 billion at March 31, 2011 and $1.5 billion at December 31,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At March 31, 2011, weighted-average reliance on internal model pricing for the bonds modeled was 34% with a 66% average weighting placed on the values provided by the independent sources. The Company concluded its estimate of fair value for the $1.4 billion of privately issued residential mortgage-backed securities to approximate $1.3 billion, which implies a weighted-average market yield based on reasonably likely cash flows of 8.3%. Other valuations of privately issued residential mortgage-backed securities were determined by reference to independent pricing sources without adjustment.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60" w:firstLine="450"/>
        <w:spacing w:after="0" w:line="269" w:lineRule="auto"/>
        <w:rPr>
          <w:sz w:val="20"/>
          <w:szCs w:val="20"/>
          <w:color w:val="auto"/>
        </w:rPr>
      </w:pPr>
      <w:r>
        <w:rPr>
          <w:rFonts w:ascii="Arial" w:cs="Arial" w:eastAsia="Arial" w:hAnsi="Arial"/>
          <w:sz w:val="17"/>
          <w:szCs w:val="17"/>
          <w:color w:val="auto"/>
        </w:rPr>
        <w:t>Included in collateralized debt obligations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2011 and December 31, 2010. The modeling techniques included discounting estimated cash flows using bond-specific assumptions about defaults, deferrals and prepayments of the trust preferred securities underlying each bond. The estimation of cash flows included assumptions as to future collateral defaults and related loss severities. The resulting cash flows were then discounted by reference to market yields observed in the single-name trust preferred securities market. At March 31, 2011, the total amortized cost and fair value of securities backed by trust preferred securities issued by financial institutions and other entities was $94 million and $114 million, respectively, and at December 31, 2010 were $95 million and $111 million, respectively. Privately issued mortgage-backed securities and securities backed by trust preferred securities issued by financial institutions and other entities constituted all of the available-for-sale investment securities classified as Level 3 valuations as of March 31, 2011 and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present assets and liabilities at March 31, 2011 and December 31, 2010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March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2011</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Level 1 (a)</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3"/>
              </w:rPr>
              <w:t>Level 2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413,737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54,843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358,894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39,139</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39,139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59,390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59,390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2,839,861</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2,839,861</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1,391,878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20,467</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114,265</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306,549</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306,549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83,435</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71,324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4,854,984</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3,257,050</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188,573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188,573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assets (b)</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101,993</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85,726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5,559,287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126,167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3,890,243</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1,542,877</w:t>
            </w: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7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303,930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303,930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4,113</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308,043</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307,923</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20" w:type="dxa"/>
            <w:vAlign w:val="bottom"/>
            <w:vMerge w:val="restart"/>
          </w:tcPr>
          <w:p>
            <w:pPr>
              <w:jc w:val="right"/>
              <w:ind w:right="70"/>
              <w:spacing w:after="0"/>
              <w:rPr>
                <w:sz w:val="20"/>
                <w:szCs w:val="20"/>
                <w:color w:val="auto"/>
              </w:rPr>
            </w:pPr>
            <w:r>
              <w:rPr>
                <w:rFonts w:ascii="Arial" w:cs="Arial" w:eastAsia="Arial" w:hAnsi="Arial"/>
                <w:sz w:val="18"/>
                <w:szCs w:val="18"/>
                <w:color w:val="auto"/>
              </w:rPr>
              <w:t>- 32 -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2010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Level 1 (a)</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3"/>
              </w:rPr>
              <w:t>Level 2 (a)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523,834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53,032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470,802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63,434</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63,434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60,425</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60,425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3,306,241</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3,306,241</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1,435,561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22,407</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110,756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298,900</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298,900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115,768</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106,872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5,413,492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106,872</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3,737,896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544,567</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544,567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114,666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111,839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6,596,559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159,904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4,865,104</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1,571,551</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333,222</w:t>
            </w:r>
          </w:p>
        </w:tc>
        <w:tc>
          <w:tcPr>
            <w:tcW w:w="600" w:type="dxa"/>
            <w:vAlign w:val="bottom"/>
          </w:tcPr>
          <w:p>
            <w:pPr>
              <w:spacing w:after="0"/>
              <w:rPr>
                <w:sz w:val="24"/>
                <w:szCs w:val="24"/>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333,222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336,829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336,246</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three months ended March 31, 2011 and 2010.</w:t>
      </w:r>
    </w:p>
    <w:p>
      <w:pPr>
        <w:spacing w:after="0" w:line="99" w:lineRule="exact"/>
        <w:rPr>
          <w:rFonts w:ascii="Arial" w:cs="Arial" w:eastAsia="Arial" w:hAnsi="Arial"/>
          <w:sz w:val="16"/>
          <w:szCs w:val="16"/>
          <w:i w:val="1"/>
          <w:iCs w:val="1"/>
          <w:color w:val="auto"/>
        </w:rPr>
      </w:pPr>
    </w:p>
    <w:p>
      <w:pPr>
        <w:ind w:left="460" w:right="440" w:hanging="452"/>
        <w:spacing w:after="0" w:line="277"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60" w:firstLine="447"/>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2011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r>
      <w:tr>
        <w:trPr>
          <w:trHeight w:val="149"/>
        </w:trPr>
        <w:tc>
          <w:tcPr>
            <w:tcW w:w="2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jc w:val="right"/>
              <w:ind w:right="1020"/>
              <w:spacing w:after="0" w:line="149" w:lineRule="exact"/>
              <w:rPr>
                <w:sz w:val="20"/>
                <w:szCs w:val="20"/>
                <w:color w:val="auto"/>
              </w:rPr>
            </w:pPr>
            <w:r>
              <w:rPr>
                <w:rFonts w:ascii="Arial" w:cs="Arial" w:eastAsia="Arial" w:hAnsi="Arial"/>
                <w:sz w:val="14"/>
                <w:szCs w:val="14"/>
                <w:color w:val="auto"/>
              </w:rPr>
              <w:t>Total gains (losses)</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r>
      <w:tr>
        <w:trPr>
          <w:trHeight w:val="167"/>
        </w:trPr>
        <w:tc>
          <w:tcPr>
            <w:tcW w:w="2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4"/>
                <w:szCs w:val="14"/>
                <w:color w:val="auto"/>
              </w:rPr>
              <w:t>realized/unrealized</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included in</w:t>
            </w:r>
          </w:p>
        </w:tc>
      </w:tr>
      <w:tr>
        <w:trPr>
          <w:trHeight w:val="123"/>
        </w:trPr>
        <w:tc>
          <w:tcPr>
            <w:tcW w:w="2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earnings</w:t>
            </w:r>
          </w:p>
        </w:tc>
      </w:tr>
      <w:tr>
        <w:trPr>
          <w:trHeight w:val="149"/>
        </w:trPr>
        <w:tc>
          <w:tcPr>
            <w:tcW w:w="2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Included in</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related to</w:t>
            </w:r>
          </w:p>
        </w:tc>
      </w:tr>
      <w:tr>
        <w:trPr>
          <w:trHeight w:val="149"/>
        </w:trPr>
        <w:tc>
          <w:tcPr>
            <w:tcW w:w="262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Balance-</w:t>
            </w: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other</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Transfer in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assets still</w:t>
            </w:r>
          </w:p>
        </w:tc>
      </w:tr>
      <w:tr>
        <w:trPr>
          <w:trHeight w:val="149"/>
        </w:trPr>
        <w:tc>
          <w:tcPr>
            <w:tcW w:w="262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January 1,</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Included</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comprehensive</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and/or out of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March 31,</w:t>
            </w:r>
          </w:p>
        </w:tc>
        <w:tc>
          <w:tcPr>
            <w:tcW w:w="2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r>
      <w:tr>
        <w:trPr>
          <w:trHeight w:val="167"/>
        </w:trPr>
        <w:tc>
          <w:tcPr>
            <w:tcW w:w="2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2011</w:t>
            </w:r>
          </w:p>
        </w:tc>
        <w:tc>
          <w:tcPr>
            <w:tcW w:w="4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color w:val="auto"/>
                <w:w w:val="93"/>
              </w:rPr>
              <w:t>in earnings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color w:val="auto"/>
                <w:w w:val="92"/>
              </w:rPr>
              <w:t>income</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color w:val="auto"/>
                <w:w w:val="86"/>
              </w:rPr>
              <w:t>Settlements</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Level 3 (c)</w:t>
            </w: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4"/>
                <w:szCs w:val="1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color w:val="auto"/>
                <w:w w:val="94"/>
              </w:rPr>
              <w:t>March 31, 2011</w:t>
            </w:r>
          </w:p>
        </w:tc>
      </w:tr>
      <w:tr>
        <w:trPr>
          <w:trHeight w:val="142"/>
        </w:trPr>
        <w:tc>
          <w:tcPr>
            <w:tcW w:w="26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(in thousands)</w:t>
            </w: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$ 1,435,561</w:t>
            </w:r>
          </w:p>
        </w:tc>
        <w:tc>
          <w:tcPr>
            <w:tcW w:w="46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(7,541)(a)</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61,085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(97,227)</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1,391,878</w:t>
            </w: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(7,541)(a)</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commercial</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22,407</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(1,858)</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20,467</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110,756</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3,834</w:t>
            </w:r>
          </w:p>
        </w:tc>
        <w:tc>
          <w:tcPr>
            <w:tcW w:w="4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(325)</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114,265</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1,568,724</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(7,541)</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64,837</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(99,410)</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1,526,610</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(7,541)</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Other assets and other</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2,244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20,444(b)</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(6,541)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16,147</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16,036(b)</w:t>
            </w:r>
          </w:p>
        </w:tc>
      </w:tr>
      <w:tr>
        <w:trPr>
          <w:trHeight w:val="405"/>
        </w:trPr>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ind w:right="118"/>
              <w:spacing w:after="0"/>
              <w:rPr>
                <w:sz w:val="20"/>
                <w:szCs w:val="20"/>
                <w:color w:val="auto"/>
              </w:rPr>
            </w:pPr>
            <w:r>
              <w:rPr>
                <w:rFonts w:ascii="Arial" w:cs="Arial" w:eastAsia="Arial" w:hAnsi="Arial"/>
                <w:sz w:val="18"/>
                <w:szCs w:val="18"/>
                <w:color w:val="auto"/>
              </w:rPr>
              <w:t>- 34 -</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gridSpan w:val="5"/>
          </w:tcPr>
          <w:p>
            <w:pPr>
              <w:jc w:val="right"/>
              <w:ind w:right="980"/>
              <w:spacing w:after="0" w:line="149" w:lineRule="exact"/>
              <w:rPr>
                <w:sz w:val="20"/>
                <w:szCs w:val="20"/>
                <w:color w:val="auto"/>
              </w:rPr>
            </w:pPr>
            <w:r>
              <w:rPr>
                <w:rFonts w:ascii="Arial" w:cs="Arial" w:eastAsia="Arial" w:hAnsi="Arial"/>
                <w:sz w:val="14"/>
                <w:szCs w:val="14"/>
                <w:color w:val="auto"/>
              </w:rPr>
              <w:t>Total gains (losses)</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5"/>
          </w:tcPr>
          <w:p>
            <w:pPr>
              <w:jc w:val="right"/>
              <w:ind w:right="980"/>
              <w:spacing w:after="0"/>
              <w:rPr>
                <w:sz w:val="20"/>
                <w:szCs w:val="20"/>
                <w:color w:val="auto"/>
              </w:rPr>
            </w:pPr>
            <w:r>
              <w:rPr>
                <w:rFonts w:ascii="Arial" w:cs="Arial" w:eastAsia="Arial" w:hAnsi="Arial"/>
                <w:sz w:val="14"/>
                <w:szCs w:val="14"/>
                <w:color w:val="auto"/>
              </w:rPr>
              <w:t>realized/unrealized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Included in</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other</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2"/>
              </w:rPr>
              <w:t>Transfer in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2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assets still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January 1,</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Included</w:t>
            </w: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comprehensive</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and/or out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held 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4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in earnings</w:t>
            </w:r>
          </w:p>
        </w:tc>
        <w:tc>
          <w:tcPr>
            <w:tcW w:w="18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income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w w:val="86"/>
              </w:rPr>
              <w:t>Settlements</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Level 3 (c)</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22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March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(in thousands)</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w:t>
            </w: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$ 2,064,904</w:t>
            </w:r>
          </w:p>
        </w:tc>
        <w:tc>
          <w:tcPr>
            <w:tcW w:w="4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(26,447)(a)</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74,454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(93,322)</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(355,248)(d)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1,664,341</w:t>
            </w:r>
          </w:p>
        </w:tc>
        <w:tc>
          <w:tcPr>
            <w:tcW w:w="2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(26,447)(a)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commercial</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25,166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2,073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(2,114)</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115,346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(355)(a)</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10,895</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125,755</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(355)(a)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(26,802)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87,457</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(95,567)</w:t>
            </w:r>
          </w:p>
        </w:tc>
        <w:tc>
          <w:tcPr>
            <w:tcW w:w="4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(355,248)</w:t>
            </w:r>
          </w:p>
        </w:tc>
        <w:tc>
          <w:tcPr>
            <w:tcW w:w="6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1,815,676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18,022(b)</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7,630(b)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99" w:lineRule="exact"/>
        <w:rPr>
          <w:rFonts w:ascii="Arial" w:cs="Arial" w:eastAsia="Arial" w:hAnsi="Arial"/>
          <w:sz w:val="16"/>
          <w:szCs w:val="16"/>
          <w:i w:val="1"/>
          <w:iCs w:val="1"/>
          <w:color w:val="auto"/>
        </w:rPr>
      </w:pPr>
    </w:p>
    <w:p>
      <w:pPr>
        <w:ind w:left="460" w:right="220" w:hanging="452"/>
        <w:spacing w:after="0" w:line="277"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8"/>
          <w:szCs w:val="18"/>
          <w:i w:val="1"/>
          <w:iCs w:val="1"/>
          <w:color w:val="auto"/>
        </w:rPr>
      </w:pPr>
    </w:p>
    <w:p>
      <w:pPr>
        <w:ind w:left="460" w:right="240" w:hanging="452"/>
        <w:spacing w:after="0" w:line="308" w:lineRule="auto"/>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w:t>
      </w:r>
    </w:p>
    <w:p>
      <w:pPr>
        <w:spacing w:after="0" w:line="106" w:lineRule="exact"/>
        <w:rPr>
          <w:rFonts w:ascii="Arial" w:cs="Arial" w:eastAsia="Arial" w:hAnsi="Arial"/>
          <w:sz w:val="17"/>
          <w:szCs w:val="17"/>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$550 million at March 31, 2011 ($267 million and $283 million of which were classified as Level 2 and Level 3, respectively) and $793 million at March 31, 2010 ($471 million and $322 million of which were classified as Level 2 and Level 3, respectively). Changes in fair value recognized for partial charge-offs of loans and loan impairment reserves on loans held by the Company on March 31, 2011 and 2010 were decreases of $48 million and $58 million for the three-month periods ended March 31,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$34 million and $17 million at March 31, 2011 and March 31, 2010, respectively. Changes in fair value recognized for those foreclosed assets held by the Company at March 31, 2011 were $9 million for the three months ended March 31, 2011. Changes in fair value recognized for those foreclosed assets held by the Company at March 31, 2010 were $10 million for the three months ended March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420"/>
              <w:spacing w:after="0"/>
              <w:rPr>
                <w:sz w:val="20"/>
                <w:szCs w:val="20"/>
                <w:color w:val="auto"/>
              </w:rPr>
            </w:pPr>
            <w:r>
              <w:rPr>
                <w:rFonts w:ascii="Arial" w:cs="Arial" w:eastAsia="Arial" w:hAnsi="Arial"/>
                <w:sz w:val="14"/>
                <w:szCs w:val="14"/>
                <w:color w:val="auto"/>
              </w:rPr>
              <w:t>March 31, 2011</w:t>
            </w: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2010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982,305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982,305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933,755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100,101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413,737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413,737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523,834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6,507,165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6,418,912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7,150,540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loans and leases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13,826,299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13,566,686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13,390,610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13,135,569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Commercial real estate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20,891,615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20,563,422</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21,183,161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20,840,346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Residential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6,154,960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5,876,173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5,928,056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Consumer loans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11,245,807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10,949,858</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11,488,555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11,178,583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credit losses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(903,703)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(902,941)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Loans and leases, net</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51,214,978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50,956,139</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51,087,441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50,853,526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220,922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220,922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202,182</w:t>
            </w: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deposits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(15,219,562)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(15,219,562)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(14,557,568)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(14,557,568)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Savings deposits and NOW accounts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(28,756,435)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(28,756,435)</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(27,824,630)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(27,824,630)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(5,508,432)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(5,548,229)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(5,817,170)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Deposits at Cayman Islands office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(1,063,670)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(1,063,670)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(1,605,916)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(504,676)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(504,676)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(947,432)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Long-term borrowings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(7,305,420)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(7,442,997)</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(7,840,151)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(7,937,397)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(95,762)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Trading account liabilities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(303,930)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(303,930)</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(333,222)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(333,222)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Commitments to originate real estate loans for sale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16,147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16,147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to sell real estate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credit-related commitments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(68,108)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(68,108)</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(74,426)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(74,426)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84,232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84,232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96,637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740" w:type="dxa"/>
            <w:vAlign w:val="bottom"/>
            <w:gridSpan w:val="3"/>
          </w:tcPr>
          <w:p>
            <w:pPr>
              <w:jc w:val="right"/>
              <w:ind w:right="592"/>
              <w:spacing w:after="0"/>
              <w:rPr>
                <w:sz w:val="20"/>
                <w:szCs w:val="20"/>
                <w:color w:val="auto"/>
              </w:rPr>
            </w:pPr>
            <w:r>
              <w:rPr>
                <w:rFonts w:ascii="Arial" w:cs="Arial" w:eastAsia="Arial" w:hAnsi="Arial"/>
                <w:sz w:val="18"/>
                <w:szCs w:val="18"/>
                <w:color w:val="auto"/>
              </w:rPr>
              <w:t>- 37 -</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260" w:firstLine="447"/>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4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57"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2011</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$6,274,649</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6,281,366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tcPr>
          <w:p>
            <w:pPr>
              <w:jc w:val="right"/>
              <w:spacing w:after="0"/>
              <w:rPr>
                <w:sz w:val="20"/>
                <w:szCs w:val="20"/>
                <w:color w:val="auto"/>
              </w:rPr>
            </w:pPr>
            <w:r>
              <w:rPr>
                <w:rFonts w:ascii="Arial" w:cs="Arial" w:eastAsia="Arial" w:hAnsi="Arial"/>
                <w:sz w:val="18"/>
                <w:szCs w:val="18"/>
                <w:color w:val="auto"/>
              </w:rPr>
              <w:t>422,511</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72,930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1,779,514</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1,672,006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tcPr>
          <w:p>
            <w:pPr>
              <w:jc w:val="right"/>
              <w:spacing w:after="0"/>
              <w:rPr>
                <w:sz w:val="20"/>
                <w:szCs w:val="20"/>
                <w:color w:val="auto"/>
              </w:rPr>
            </w:pPr>
            <w:r>
              <w:rPr>
                <w:rFonts w:ascii="Arial" w:cs="Arial" w:eastAsia="Arial" w:hAnsi="Arial"/>
                <w:sz w:val="18"/>
                <w:szCs w:val="18"/>
                <w:color w:val="auto"/>
              </w:rPr>
              <w:t>438,283</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161,583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112,328</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151,111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tcPr>
          <w:p>
            <w:pPr>
              <w:jc w:val="right"/>
              <w:spacing w:after="0"/>
              <w:rPr>
                <w:sz w:val="20"/>
                <w:szCs w:val="20"/>
                <w:color w:val="auto"/>
              </w:rPr>
            </w:pPr>
            <w:r>
              <w:rPr>
                <w:rFonts w:ascii="Arial" w:cs="Arial" w:eastAsia="Arial" w:hAnsi="Arial"/>
                <w:sz w:val="18"/>
                <w:szCs w:val="18"/>
                <w:color w:val="auto"/>
              </w:rPr>
              <w:t>8,816,887</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8,332,199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3,852,506</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3,917,318</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58,805</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76,962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1,707,670</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1,609,944</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889,631</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734,696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$1.6 billion at each of March 31, 2011 and December 31, 2010.</w:t>
      </w:r>
    </w:p>
    <w:p>
      <w:pPr>
        <w:spacing w:after="0" w:line="5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21" w:lineRule="exact"/>
        <w:rPr>
          <w:sz w:val="20"/>
          <w:szCs w:val="20"/>
          <w:color w:val="auto"/>
        </w:rPr>
      </w:pPr>
    </w:p>
    <w:p>
      <w:pPr>
        <w:jc w:val="both"/>
        <w:ind w:right="680"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$82 million at March 31, 2011. Assets of subsidiaries providing reinsurance that are available to satisfy claims totaled approximately $53 million at March 31, 2011.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7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2011, management believes that any remaining liability arising out of the Company’s obligation to loan purchasers is not material to the Company’s consolidated financial position.</w:t>
      </w:r>
    </w:p>
    <w:p>
      <w:pPr>
        <w:spacing w:after="0" w:line="7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2010.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2010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color w:val="auto"/>
                <w:w w:val="99"/>
              </w:rPr>
              <w:t>Three months ended March 31</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2011</w:t>
            </w: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center"/>
              <w:ind w:left="434"/>
              <w:spacing w:after="0" w:line="142" w:lineRule="exact"/>
              <w:rPr>
                <w:sz w:val="20"/>
                <w:szCs w:val="20"/>
                <w:color w:val="auto"/>
              </w:rPr>
            </w:pPr>
            <w:r>
              <w:rPr>
                <w:rFonts w:ascii="Arial" w:cs="Arial" w:eastAsia="Arial" w:hAnsi="Arial"/>
                <w:sz w:val="14"/>
                <w:szCs w:val="14"/>
                <w:color w:val="auto"/>
                <w:w w:val="89"/>
              </w:rPr>
              <w:t>2010</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1"/>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tcPr>
          <w:p>
            <w:pPr>
              <w:jc w:val="center"/>
              <w:ind w:right="600"/>
              <w:spacing w:after="0" w:line="123" w:lineRule="exact"/>
              <w:rPr>
                <w:sz w:val="20"/>
                <w:szCs w:val="20"/>
                <w:color w:val="auto"/>
              </w:rPr>
            </w:pPr>
            <w:r>
              <w:rPr>
                <w:rFonts w:ascii="Arial" w:cs="Arial" w:eastAsia="Arial" w:hAnsi="Arial"/>
                <w:sz w:val="14"/>
                <w:szCs w:val="14"/>
                <w:color w:val="auto"/>
                <w:w w:val="97"/>
              </w:rPr>
              <w:t>Inter-</w:t>
            </w: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income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Total</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9"/>
              </w:rPr>
              <w:t>segment</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r>
      <w:tr>
        <w:trPr>
          <w:trHeight w:val="167"/>
        </w:trPr>
        <w:tc>
          <w:tcPr>
            <w:tcW w:w="378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revenues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88"/>
              </w:rPr>
              <w:t>revenues(a)</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revenues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99,777</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26,300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9"/>
              </w:rPr>
              <w:t>101,796</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25,344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213,612</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1,166</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88,331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w w:val="89"/>
              </w:rPr>
              <w:t>192,406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76,868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125,306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356</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49,010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9"/>
              </w:rPr>
              <w:t>110,413</w:t>
            </w:r>
          </w:p>
        </w:tc>
        <w:tc>
          <w:tcPr>
            <w:tcW w:w="172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43,753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42,483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(7,787)</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16,127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(12,233)</w:t>
            </w:r>
          </w:p>
        </w:tc>
        <w:tc>
          <w:tcPr>
            <w:tcW w:w="1720" w:type="dxa"/>
            <w:vAlign w:val="bottom"/>
            <w:gridSpan w:val="5"/>
          </w:tcPr>
          <w:p>
            <w:pPr>
              <w:jc w:val="right"/>
              <w:ind w:right="540"/>
              <w:spacing w:after="0"/>
              <w:rPr>
                <w:sz w:val="20"/>
                <w:szCs w:val="20"/>
                <w:color w:val="auto"/>
              </w:rPr>
            </w:pPr>
            <w:r>
              <w:rPr>
                <w:rFonts w:ascii="Arial" w:cs="Arial" w:eastAsia="Arial" w:hAnsi="Arial"/>
                <w:sz w:val="18"/>
                <w:szCs w:val="18"/>
                <w:color w:val="auto"/>
              </w:rPr>
              <w:t>(2,747)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(16,162)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57,848</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10,307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63,117</w:t>
            </w:r>
          </w:p>
        </w:tc>
        <w:tc>
          <w:tcPr>
            <w:tcW w:w="24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8,197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295,048</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2,987</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52,726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w w:val="89"/>
              </w:rPr>
              <w:t>307,475</w:t>
            </w:r>
          </w:p>
        </w:tc>
        <w:tc>
          <w:tcPr>
            <w:tcW w:w="1720" w:type="dxa"/>
            <w:vAlign w:val="bottom"/>
            <w:gridSpan w:val="5"/>
          </w:tcPr>
          <w:p>
            <w:pPr>
              <w:jc w:val="right"/>
              <w:ind w:right="600"/>
              <w:spacing w:after="0"/>
              <w:rPr>
                <w:sz w:val="20"/>
                <w:szCs w:val="20"/>
                <w:color w:val="auto"/>
              </w:rPr>
            </w:pPr>
            <w:r>
              <w:rPr>
                <w:rFonts w:ascii="Arial" w:cs="Arial" w:eastAsia="Arial" w:hAnsi="Arial"/>
                <w:sz w:val="18"/>
                <w:szCs w:val="18"/>
                <w:color w:val="auto"/>
              </w:rPr>
              <w:t>2,687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59,037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49,150</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(7,991)</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51,066</w:t>
            </w:r>
          </w:p>
        </w:tc>
        <w:tc>
          <w:tcPr>
            <w:tcW w:w="172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(8,155)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(38,480)</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883,224</w:t>
            </w: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206,273</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814,040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150,955</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w w:val="89"/>
              </w:rPr>
              <w:t>Average total assets</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60" w:type="dxa"/>
            <w:vAlign w:val="bottom"/>
            <w:gridSpan w:val="9"/>
          </w:tcPr>
          <w:p>
            <w:pPr>
              <w:jc w:val="right"/>
              <w:ind w:right="1100"/>
              <w:spacing w:after="0" w:line="123" w:lineRule="exact"/>
              <w:rPr>
                <w:sz w:val="20"/>
                <w:szCs w:val="20"/>
                <w:color w:val="auto"/>
              </w:rPr>
            </w:pPr>
            <w:r>
              <w:rPr>
                <w:rFonts w:ascii="Arial" w:cs="Arial" w:eastAsia="Arial" w:hAnsi="Arial"/>
                <w:sz w:val="14"/>
                <w:szCs w:val="14"/>
                <w:color w:val="auto"/>
              </w:rPr>
              <w:t>Three months ended</w:t>
            </w: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7"/>
          </w:tcPr>
          <w:p>
            <w:pPr>
              <w:jc w:val="right"/>
              <w:ind w:right="1400"/>
              <w:spacing w:after="0" w:line="149" w:lineRule="exact"/>
              <w:rPr>
                <w:sz w:val="20"/>
                <w:szCs w:val="20"/>
                <w:color w:val="auto"/>
              </w:rPr>
            </w:pPr>
            <w:r>
              <w:rPr>
                <w:rFonts w:ascii="Arial" w:cs="Arial" w:eastAsia="Arial" w:hAnsi="Arial"/>
                <w:sz w:val="14"/>
                <w:szCs w:val="14"/>
                <w:color w:val="auto"/>
                <w:w w:val="99"/>
              </w:rPr>
              <w:t>March 31</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r>
      <w:tr>
        <w:trPr>
          <w:trHeight w:val="167"/>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99"/>
              <w:spacing w:after="0"/>
              <w:rPr>
                <w:sz w:val="20"/>
                <w:szCs w:val="20"/>
                <w:color w:val="auto"/>
              </w:rPr>
            </w:pPr>
            <w:r>
              <w:rPr>
                <w:rFonts w:ascii="Arial" w:cs="Arial" w:eastAsia="Arial" w:hAnsi="Arial"/>
                <w:sz w:val="14"/>
                <w:szCs w:val="14"/>
                <w:color w:val="auto"/>
              </w:rPr>
              <w:t>2010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4,959</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16,114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15,509</w:t>
            </w:r>
          </w:p>
        </w:tc>
        <w:tc>
          <w:tcPr>
            <w:tcW w:w="6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15,461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13,635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13,368</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13,194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13,931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14,571</w:t>
            </w:r>
          </w:p>
        </w:tc>
        <w:tc>
          <w:tcPr>
            <w:tcW w:w="6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14,690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2,222</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11,653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12,272</w:t>
            </w:r>
          </w:p>
        </w:tc>
        <w:tc>
          <w:tcPr>
            <w:tcW w:w="6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12,079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5,982</w:t>
            </w:r>
          </w:p>
        </w:tc>
        <w:tc>
          <w:tcPr>
            <w:tcW w:w="6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68,045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68,883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68,380</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120" w:hanging="452"/>
        <w:spacing w:after="0" w:line="312" w:lineRule="auto"/>
        <w:tabs>
          <w:tab w:leader="none" w:pos="4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119"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left="220" w:right="280"/>
        <w:spacing w:after="0" w:line="264" w:lineRule="auto"/>
        <w:rPr>
          <w:sz w:val="20"/>
          <w:szCs w:val="20"/>
          <w:color w:val="auto"/>
        </w:rPr>
      </w:pPr>
      <w:r>
        <w:rPr>
          <w:rFonts w:ascii="Arial" w:cs="Arial" w:eastAsia="Arial" w:hAnsi="Arial"/>
          <w:sz w:val="18"/>
          <w:szCs w:val="18"/>
          <w:i w:val="1"/>
          <w:iCs w:val="1"/>
          <w:color w:val="auto"/>
        </w:rPr>
        <w:t>(e.g. deposits). The taxable-equivalent adjustment aggregated $6,327,000 and $5,923,000 for the three-month periods ended March 31, 2011 and 2010,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lender. M&amp;T recognizes income or loss from BLG using the equity method of accounting. The carrying value of that investment was $212 million at March 31, 2011.</w:t>
      </w:r>
    </w:p>
    <w:p>
      <w:pPr>
        <w:spacing w:after="0" w:line="6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$5.1 billion and $5.2 billion at March 31, 2011 and December 31, 2010, respectively. Amounts recorded as capitalized servicing assets for such loans totaled $23 million at March 31, 2011 and $26 million at December 31, 2010. In addition, capitalized servicing rights at March 31, 2011 and December 31, 2010 also included $8 million and $9 million, respectively, for servicing rights that were obtained from Bayview Financial related to residential mortgage loans with outstanding principal balances of $3.5 billion at March 31, 2011 and $3.6 billion at December 31, 2010. Revenues from servicing residential and small-balance commercial mortgage loans obtained from BLG and Bayview Financial were $11 million and $12 million during the quarters ended March 31, 2011 and 2010, respectively. In addition, at March 31, 2011 and December 31, 2010, the Company held $20 million and $22 million, respectively, of collateralized mortgage obligations in its available-for-sale investment securities portfolio that were securitized by Bayview Financial. Finally, the Company held $300 million and $313 million of similar investment securities in its held-to-maturity portfolio at March 31, 2011 and December 31, 2010,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M&amp;T Bank Corporation (“M&amp;T”) recorded net income in the first quarter of 2011 of $206 million or $1.59 of diluted earnings per common share, compared with $151 million or $1.15 of diluted earnings per common share in the initial quarter of 2010. During the fourth quarter of 2010, net income aggregated $204 million or $1.59 of diluted earnings per common share. Basic earnings per common share were $1.59 in each of the first 2011 quarter and the fourth quarter of 2010, compared with $1.16 in the first quarter of 2010. The after-tax impact of acquisition and integration-related expenses (included herein as merger-related expenses) was $3 million ($4 million pre-tax), or $.02 of basic and diluted earnings per common share in the recent quarter. Such expenses were associated with M&amp;T’s pending acquisition of Wilmington Trust Corporation (“Wilmington Trust”), headquartered in Wilmington, Delaware, and the November 5, 2010 purchase and assumption agreement between M&amp;T Bank, M&amp;T’s principal banking subsidiary, and the Federal Deposit Insurance Corporation (“FDIC”) to assume most of the deposits and acquire certain assets of K Bank, based in Randallstown, Maryland, in an assisted transaction with the FDIC. The net after-tax impact of merger-related expenses and the gain associated with the K Bank acquisition transaction totaled to a net gain of</w:t>
      </w:r>
    </w:p>
    <w:p>
      <w:pPr>
        <w:spacing w:after="0" w:line="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$16 million ($27 million pre-tax) or $.14 of basic and diluted earnings per common share in the fourth quarter of 2010. There were no merger-related expenses in 2010’s initial quarter.</w:t>
      </w:r>
    </w:p>
    <w:p>
      <w:pPr>
        <w:spacing w:after="0" w:line="76"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first three months of 2011 was 1.23%, compared with .89% in the year-earlier quarter and 1.18% in the fourth quarter of 2010. The annualized rate of return on average common shareholders’ equity was 10.16% in the first quarter of 2011, compared with 7.86% and 10.03% in the first and fourth quarters of 2010, respectively.</w:t>
      </w:r>
    </w:p>
    <w:p>
      <w:pPr>
        <w:spacing w:after="0" w:line="3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November 1, 2010, M&amp;T announced that it had entered into a definitive agreement with Wilmington Trust, under which Wilmington Trust will be acquired by M&amp;T. Pursuant to the terms of the agreement, Wilmington Trust common shareholders will receive .051372 shares of M&amp;T common stock in exchange for each share of Wilmington Trust common stock in a stock-for-stock transaction valued at $351 million (with the price based on M&amp;T’s closing price of $74.75 per share as of October 29, 2010), plus the assumption of $330 million in preferred stock issued by Wilmington Trust as part of the Troubled Asset Relief Program — Capital Purchase Program of the U.S. Department of Treasury (“U.S. Treasury”).</w:t>
      </w:r>
    </w:p>
    <w:p>
      <w:pPr>
        <w:spacing w:after="0" w:line="64" w:lineRule="exact"/>
        <w:rPr>
          <w:sz w:val="20"/>
          <w:szCs w:val="20"/>
          <w:color w:val="auto"/>
        </w:rPr>
      </w:pPr>
    </w:p>
    <w:p>
      <w:pPr>
        <w:ind w:right="20" w:firstLine="215"/>
        <w:spacing w:after="0" w:line="291" w:lineRule="auto"/>
        <w:rPr>
          <w:sz w:val="20"/>
          <w:szCs w:val="20"/>
          <w:color w:val="auto"/>
        </w:rPr>
      </w:pPr>
      <w:r>
        <w:rPr>
          <w:rFonts w:ascii="Arial" w:cs="Arial" w:eastAsia="Arial" w:hAnsi="Arial"/>
          <w:sz w:val="16"/>
          <w:szCs w:val="16"/>
          <w:color w:val="auto"/>
        </w:rPr>
        <w:t>At December 31, 2010, Wilmington Trust had approximately $10.9 billion of assets, including $7.5 billion of loans, $10.1 billion of liabilities, including $9.0 billion of deposits, and $60.1 billion of combined assets under management, including $43.6 billion managed by Wilmington Trust and $16.5 billion managed by affiliates. At a special shareholder meeting held on March 22, 2011, Wilmington Trust’s common shareholders approved the merger transaction. M&amp;T announced on April 26, 2011 that it had received the approval of the Board of Governors of the Federal Reserve System to acquire Wilmington Trust. Additional regulatory approvals, including those from the New York State Banking Superintendent and the Delaware Banking Commissioner, are still pending. Subject to the terms and conditions of the merger agreement, M&amp;T expects to close the merger with Wilmington Trust promptly after receiving the remaining regulatory approvals and after the 15-day waiting period associated with the Federal Reserve Board’s approval order has expired.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noted by M&amp;T at the time the merger with Wilmington Trust was announced on November 1, 2010, following completion of the merger, M&amp;T expects its capital ratios at the end of the second quarter of 2011 to be comparable to what they were as of September 30, 2010. Pursuant to its capital plan, M&amp;T intends to undertake a series of actions during the second quarter of 2011:</w:t>
      </w:r>
    </w:p>
    <w:p>
      <w:pPr>
        <w:spacing w:after="0" w:line="73" w:lineRule="exact"/>
        <w:rPr>
          <w:sz w:val="20"/>
          <w:szCs w:val="20"/>
          <w:color w:val="auto"/>
        </w:rPr>
      </w:pPr>
    </w:p>
    <w:p>
      <w:pPr>
        <w:ind w:left="660" w:right="28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Simultaneous with the closing of the merger, M&amp;T intends to redeem the $330 million of preferred stock that was issued to the U.S. Treasury by Wilmington Trust pursuant to the Troubled Asset Relief Program — Capital Purchase Program;</w:t>
      </w:r>
    </w:p>
    <w:p>
      <w:pPr>
        <w:spacing w:after="0" w:line="75" w:lineRule="exact"/>
        <w:rPr>
          <w:rFonts w:ascii="Arial" w:cs="Arial" w:eastAsia="Arial" w:hAnsi="Arial"/>
          <w:sz w:val="18"/>
          <w:szCs w:val="18"/>
          <w:b w:val="1"/>
          <w:bCs w:val="1"/>
          <w:color w:val="auto"/>
        </w:rPr>
      </w:pPr>
    </w:p>
    <w:p>
      <w:pPr>
        <w:ind w:left="660" w:right="540" w:hanging="314"/>
        <w:spacing w:after="0" w:line="34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By the end of the second quarter of 2011, M&amp;T intends to repay an additional $370 million of the preferred stock issued to the U.S. Treasury pursuant to the Troubled Asset Relief Program — Capital Purchase Program by Provident Bankshares Corporation and by M&amp;T; and</w:t>
      </w:r>
    </w:p>
    <w:p>
      <w:pPr>
        <w:spacing w:after="0" w:line="29" w:lineRule="exact"/>
        <w:rPr>
          <w:rFonts w:ascii="Arial" w:cs="Arial" w:eastAsia="Arial" w:hAnsi="Arial"/>
          <w:sz w:val="16"/>
          <w:szCs w:val="16"/>
          <w:b w:val="1"/>
          <w:bCs w:val="1"/>
          <w:color w:val="auto"/>
        </w:rPr>
      </w:pPr>
    </w:p>
    <w:p>
      <w:pPr>
        <w:ind w:left="660" w:hanging="3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To supplement its Tier 1 capital, M&amp;T will issue $500 million of new perpetual preferred stock prior to the end of the second quarter of 2011.</w:t>
      </w:r>
    </w:p>
    <w:p>
      <w:pPr>
        <w:spacing w:after="0" w:line="129" w:lineRule="exact"/>
        <w:rPr>
          <w:sz w:val="20"/>
          <w:szCs w:val="20"/>
          <w:color w:val="auto"/>
        </w:rPr>
      </w:pPr>
    </w:p>
    <w:p>
      <w:pPr>
        <w:ind w:right="220" w:firstLine="215"/>
        <w:spacing w:after="0" w:line="259" w:lineRule="auto"/>
        <w:rPr>
          <w:sz w:val="20"/>
          <w:szCs w:val="20"/>
          <w:color w:val="auto"/>
        </w:rPr>
      </w:pPr>
      <w:r>
        <w:rPr>
          <w:rFonts w:ascii="Arial" w:cs="Arial" w:eastAsia="Arial" w:hAnsi="Arial"/>
          <w:sz w:val="18"/>
          <w:szCs w:val="18"/>
          <w:color w:val="auto"/>
        </w:rPr>
        <w:t>Assets acquired in the K Bank transaction totaled approximately $556 million, including $154 million in loans and $186 million in cash, and liabilities assumed aggregated $528 million, including $491 million in deposits. The $28 million (pre-tax) gain associated with the transaction reflects the amount of financial support and indemnification against loan losses that M&amp;T Bank obtained from the FDIC. The transaction did not have a material effect on the Company’s results of operations in 2011.</w:t>
      </w:r>
    </w:p>
    <w:p>
      <w:pPr>
        <w:spacing w:after="0" w:line="79"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Since the official end of the recession in the United States sometime in the latter half of 2009, the recovery of the economy has been very slow. The Company has experienced charge-offs at higher than historical levels since 2008, including in the first quarter of 2011. In addition, many financial institutions have continued to experience unrealized losses related to 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w:t>
      </w:r>
    </w:p>
    <w:p>
      <w:pPr>
        <w:spacing w:after="0" w:line="5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Reflected in the Company’s first quarter 2011 results were gains from the sale of investment securities, predominantly residential mortgage-backed securities guaranteed by the Federal National Mortgage Association (“Fannie Mae”) and the Federal Home Loan Mortgage Corporation (“Freddie Mac”). Such gains increased net income in the recent quarter by $24 million ($39 million before taxes), or $.20 of diluted earning per common share. In response to strong growth in average loans in the recent quarter and in anticipation of the impending acquisition of Wilmington Trust, the Company sold the securities in order to manage its forecasted balance sheet size and resultant capital ratios. Also impacting the recent quarter’s results were $10 million of after-tax other-than-temporary impairment charges ($16 million before taxes) on certain investment securities, reducing diluted earnings per common share by $.08. Specifically, such charges related to certain privately issued collateralized mortgage obligations (“CMOs”).</w:t>
      </w:r>
    </w:p>
    <w:p>
      <w:pPr>
        <w:spacing w:after="0" w:line="70"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Company recorded after-tax other-than-temporary impairment charges of $16 million ($27 million before taxes), or $.14 of diluted earnings per common share, in the first quarter of 2010 related to certain privately issued CMOs.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During the fourth quarter of 2010, similar impairment charges of $17 million ($28 million before taxes) were recorded, or $.14 of diluted earnings per common share, related to certain of the Company’s privately-issued CMOs. Also reflected in the Company’s fourth quarter 2010 results was the gain associated with the K Bank acquisition transaction as previously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Dodd-Frank Wall Street Reform and Consumer Protection Act (“Dodd-Frank Act”) was signed into law on July 21, 2010. This new law has and will continue to significantly change the current bank regulatory structure and affect the lending, deposit, investment, trading and operating activities of financial institutions and their holding companies, and will fundamentally change the system of regulatory oversight of the Company, including through the creation of the Financial Stability Oversight Council. The Dodd-Frank Act requires various federal agencies to adopt a broad range of new implementing rules and regulations, and to prepare numerous studies and reports for Congress. The federal agencies are given significant discretion in drafting and implementing rules and regulations, and, as a result, many of the details and much of the impact of the Dodd-Frank Act is not yet known. The Dodd-Frank Act, however, could have a material adverse impact on the financial services industry as a whole, as well as on M&amp;T’s business, results of operations, financial condition and liquidity.</w:t>
      </w:r>
    </w:p>
    <w:p>
      <w:pPr>
        <w:spacing w:after="0" w:line="84"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Dodd-Frank Act broadens the base for FDIC insurance assessments. Beginning in the second quarter of 2011, assessments will be based on average consolidated total assets less tangible equity capital of a financial institution. The Dodd-Frank Act also permanently increases the maximum amount of deposit insurance for banks, savings institutions and credit unions to $250,000 per depositor, retroactive to January 1, 2009, and noninterest-bearing transaction accounts have unlimited deposit insurance through December 31, 2013.</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79"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The Dodd-Frank Act established a new Bureau of Consumer Financial Protection with broad powers to supervise and enforce consumer protection laws. The Bureau of Consumer Financial Protection has broad rule-making authority for a wide range of consumer protection laws that apply to all banks and savings institutions, including the authority to prohibit “unfair, deceptive or abusive” acts and practices. The Bureau of Consumer Financial Protection has examination and enforcement authority over all banks and savings institutions with more than $10 billion in assets.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Dodd-Frank Act, among other things:</w:t>
      </w:r>
    </w:p>
    <w:p>
      <w:pPr>
        <w:spacing w:after="0" w:line="117" w:lineRule="exact"/>
        <w:rPr>
          <w:sz w:val="20"/>
          <w:szCs w:val="20"/>
          <w:color w:val="auto"/>
        </w:rPr>
      </w:pPr>
    </w:p>
    <w:p>
      <w:pPr>
        <w:ind w:left="660" w:right="340" w:hanging="314"/>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Weakens the federal preemption rules that have been applicable for national banks and gives state attorneys general the ability to enforce federal consumer protection laws;</w:t>
      </w:r>
    </w:p>
    <w:p>
      <w:pPr>
        <w:spacing w:after="0" w:line="75"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Amends the Electronic Fund Transfer Act (“EFTA”) which has resulted in, among other things, the Federal Reserve Board issuing rules aimed at limiting debit-card interchange fees;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40" w:hanging="314"/>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Applies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w:t>
      </w:r>
    </w:p>
    <w:p>
      <w:pPr>
        <w:spacing w:after="0" w:line="86" w:lineRule="exact"/>
        <w:rPr>
          <w:rFonts w:ascii="Arial" w:cs="Arial" w:eastAsia="Arial" w:hAnsi="Arial"/>
          <w:sz w:val="18"/>
          <w:szCs w:val="18"/>
          <w:b w:val="1"/>
          <w:bCs w:val="1"/>
          <w:color w:val="auto"/>
        </w:rPr>
      </w:pPr>
    </w:p>
    <w:p>
      <w:pPr>
        <w:ind w:left="660" w:right="28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Provides for an increase in the FDIC assessment for depository institutions with assets of $10 billion or more and increases the minimum reserve ratio for the deposit insurance fund from 1.15% to 1.35%;</w:t>
      </w:r>
    </w:p>
    <w:p>
      <w:pPr>
        <w:spacing w:after="0" w:line="75" w:lineRule="exact"/>
        <w:rPr>
          <w:rFonts w:ascii="Arial" w:cs="Arial" w:eastAsia="Arial" w:hAnsi="Arial"/>
          <w:sz w:val="18"/>
          <w:szCs w:val="18"/>
          <w:b w:val="1"/>
          <w:bCs w:val="1"/>
          <w:color w:val="auto"/>
        </w:rPr>
      </w:pPr>
    </w:p>
    <w:p>
      <w:pPr>
        <w:ind w:left="660" w:right="58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Imposes comprehensive regulation of the over-the-counter derivatives market, which would include certain provisions that would effectively prohibit insured depository institutions from conducting certain derivatives businesses in the institution itself;</w:t>
      </w:r>
    </w:p>
    <w:p>
      <w:pPr>
        <w:spacing w:after="0" w:line="75"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75" w:lineRule="exact"/>
        <w:rPr>
          <w:rFonts w:ascii="Arial" w:cs="Arial" w:eastAsia="Arial" w:hAnsi="Arial"/>
          <w:sz w:val="18"/>
          <w:szCs w:val="18"/>
          <w:b w:val="1"/>
          <w:bCs w:val="1"/>
          <w:color w:val="auto"/>
        </w:rPr>
      </w:pPr>
    </w:p>
    <w:p>
      <w:pPr>
        <w:ind w:left="660" w:right="120" w:hanging="314"/>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Provides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86"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Creates the Financial Stability Oversight Council, which will recommend to the Federal Reserve Board increasingly strict rules for capital, leverage, liquidity, risk management and other requirements as companies grow in size and complexity.</w:t>
      </w:r>
    </w:p>
    <w:p>
      <w:pPr>
        <w:spacing w:after="0" w:line="62"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environment in which banking organizations will operate after the financial crisis, including legislative and regulatory changes affecting capital, liquidity, supervision, permissible activities, corporate governance and compensation, changes in fiscal policy and steps to eliminate government support for banking organizations, may have long-term effects on the business model and profitability of banking organizations, the full extent of which cannot now be foreseen. Many aspects of the Dodd-Frank Act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could increase the costs associated with deposits as well as place limitations on certain revenues those deposits may generate. Provisions in the legislation that revoke the Tier 1 capital treatment of trust preferred securities and otherwise require revisions to the capital requirements of M&amp;T and M&amp;T Bank could require M&amp;T and M&amp;T Bank to seek other sources of capital in the future. The impact of new rules relating to overdraft fee practices is included herein under the heading “Other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business combinations and other acquisitions, the Company had goodwill and core deposit and other intangible assets totaling $3.6 billion at March 31, 2011 and $3.7 billion at each of March 31, 2010 and December 31, 2010. Included in such intangible assets was goodwill of $3.5 billion at each of those respective dates. Amortization of core deposit and other intangible assets, after tax effect, was $7 million ($.06 per diluted common share) during the first quarter of 2011, $10 million ($.08 per diluted common share) during the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year-earlier quarter and $8 million ($.07 per diluted common share) in the final quarter of 2010.</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Net operating income totaled $216 million in the recently completed quarter, compared with $161 million in the first quarter of 2010. Diluted net operating earnings per common share for the recent quarter were $1.67, compared with $1.23 in the initial 2010 quarter. Net operating income and diluted net operating earnings per common share were $196 million and $1.52, respectively, in the fourth quarter of 2010.</w:t>
      </w:r>
    </w:p>
    <w:p>
      <w:pPr>
        <w:spacing w:after="0" w:line="73"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Net operating income in the first quarter of 2011 represented an annualized rate of return on average tangible assets of 1.36%, compared with 1.00% and 1.20% in the first and fourth quarters of 2010, respectively. Net operating income expressed as an annualized return on average tangible common equity was 20.16% in the recently completed quarter, compared with 17.34% in the year-earlier quarter and 18.43% in the last quarter of 2010.</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Taxable-equivalent net interest income aggregated $575 million in the first quarter of 2011, up 2% from $562 million in the year-earlier quarter, but down slightly from $580 million in the fourth quarter of 2010. The improvement in the recent quarter’s total as compared with the first quarter of 2010 reflects a 14 basis point (hundredths of one percent) widening of the Company’s net interest margin, or taxable-equivalent net interest income expressed as an annualized percentage of average earning assets, partially offset by lower average earning assets, which declined $900 million, or 1%, to $59.4 billion from $60.3 billion in the first quarter of 2010. The decline in net interest income from the fourth quarter of 2010 reflects the impact of fewer days in the recent quarter, offset, in part, by a 7 basis point widening of the net interest margin. The net interest margin was 3.92% in the initial 2011 quarter, compared with 3.78% in the year-earlier period and 3.85% in the fourth quarter of 2010.</w:t>
      </w:r>
    </w:p>
    <w:p>
      <w:pPr>
        <w:spacing w:after="0" w:line="70" w:lineRule="exact"/>
        <w:rPr>
          <w:sz w:val="20"/>
          <w:szCs w:val="20"/>
          <w:color w:val="auto"/>
        </w:rPr>
      </w:pPr>
    </w:p>
    <w:p>
      <w:pPr>
        <w:ind w:right="100" w:firstLine="215"/>
        <w:spacing w:after="0" w:line="255" w:lineRule="auto"/>
        <w:rPr>
          <w:sz w:val="20"/>
          <w:szCs w:val="20"/>
          <w:color w:val="auto"/>
        </w:rPr>
      </w:pPr>
      <w:r>
        <w:rPr>
          <w:rFonts w:ascii="Arial" w:cs="Arial" w:eastAsia="Arial" w:hAnsi="Arial"/>
          <w:sz w:val="18"/>
          <w:szCs w:val="18"/>
          <w:color w:val="auto"/>
        </w:rPr>
        <w:t>Average loans and leases were $52.0 billion in the first quarter of 2011, compared with $51.9 billion in the initial quarter of 2010. Commercial loans and leases averaged $13.6 billion in the first 2011 quarter, up 1% from $13.4 billion in the year-earlier quarter. Average commercial real estate loans increased to $21.0 billion in the recent quarter from $20.9 billion in the first quarter of 2010. The Company’s residential real estate loan portfolio averaged $6.1 billion in the first quarter of 2011, up $313 million or 5% from $5.7 billion in the corresponding quarter of 2010. Included in that portfolio were loans held for sale, which averaged $192 million in the recently completed quarter, compared with $404 million in the first quarter of 2010. Excluding loans held for sale, average residential real estate loans increased $525 million or 10% from the first quarter of 2010 to the first quarter of 2011. The rise in average residential real estate loans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reflects the Company’s decision to retain for portfolio during the fourth quarter of 2010 and a portion of the first quarter of 2011 a higher proportion of originated loans rather than selling them. Average consumer loans and leases totaled $11.3 billion in the recent quarter, down $590 million or 5% from $11.9 billion in the year-earlier period due largely to lower average balances of automobile loans and home equity loans.</w:t>
      </w:r>
    </w:p>
    <w:p>
      <w:pPr>
        <w:spacing w:after="0" w:line="39" w:lineRule="exact"/>
        <w:rPr>
          <w:sz w:val="20"/>
          <w:szCs w:val="20"/>
          <w:color w:val="auto"/>
        </w:rPr>
      </w:pPr>
    </w:p>
    <w:p>
      <w:pPr>
        <w:ind w:right="60" w:firstLine="215"/>
        <w:spacing w:after="0" w:line="291" w:lineRule="auto"/>
        <w:rPr>
          <w:sz w:val="20"/>
          <w:szCs w:val="20"/>
          <w:color w:val="auto"/>
        </w:rPr>
      </w:pPr>
      <w:r>
        <w:rPr>
          <w:rFonts w:ascii="Arial" w:cs="Arial" w:eastAsia="Arial" w:hAnsi="Arial"/>
          <w:sz w:val="16"/>
          <w:szCs w:val="16"/>
          <w:color w:val="auto"/>
        </w:rPr>
        <w:t>Average loan balances in the recent quarter rose $830 million, or 2%, from the fourth quarter of 2010. Average balances of commercial loans and leases rose $559 million, or 4%, in the recent quarter, while average commercial real estate balances increased $379 million, or 2%, from the fourth quarter of 2010. Average residential real estate loan balances increased $144 million, or 2% and average consumer loans declined $253 million or 2%, as compared with 2010’s final quarter. The Company experienced growth due to improved demand for commercial loans and commercial real estate loans, while certain of the other loan portfolios have been allowed to decline where the Company has decided it does not want to pursue growth. Examples of those portfolios include residential real estate construction loans, Alt-A residential mortgage loans, indirect automobile loans outside of the Company’s footprint and out-of-footprint home equity loans. The accompanying table summarizes quarterly changes in the major components of the loan and lease portfolio.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9"/>
              </w:rPr>
              <w:t>4th Qtr.</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13,573</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21,003</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51,972</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5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investment securities portfolio averaged $7.2 billion during the first quarter of 2011, down from $8.2 billion in the year-earlier quarter and</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$321 million below the $7.5 billion average in 2010’s final quarter. The decline in such securities from the initial quarter of 2010 largely reflects maturities and paydowns of mortgage-backed securities and maturities of federal agency notes. As compared with the fourth quarter of 2010, recent quarter maturities and paydowns of mortgage-backed securities were the most significant contributors to the lower average investment security balances. The investment securities portfolio is largely comprised of residential mortgage-backed securities and CMOs, debt securities issued by municipalities, capital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Near the end of the recent quarter, the Company sold residential mortgage-backed securities guaranteed by Fannie Mae and Freddie Mac that were held in the available-for-sale portfolio. Those securities had an amortized cost of approximately $484 million, but because the transactions occurred near the end of the recent quarter they did not have a significant effect on average balances.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An other-than-temporary impairment charge of $16 million (pre-tax) was recognized in the first quarter of 2011 related to certain privately issued CMOs. Other-than-temporary impairment charges of $27 million (pre-tax) and $28 million (pre-tax) were recognized during the first and the fourth quarters of 2010, respectively. Those charges were also predominantly related to the Company’s portfolio of privately issued CMOs. Poor economic conditions, high unemployment and depressed real estate values are significant factors contributing to the recognition of the other-than-temporary impairment charges. A further discussion of fair values of investment securities is included herein under the heading “Capital.” Additional information about the investment securities portfolio is included in notes 3 and 12 of Notes to Financial Statements.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agreements to resell securities. Those other earning assets in the aggregate averaged $240 million in the recently completed quarter,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$211 million and $1.1 billion in the first and fourth quarters of 2010, respectively. Reflected in those balances were purchases of investment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to resell, which averaged $2 million, $15 million and $772 million during the three-month periods ended March 31, 2011, March 31,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respectively. The higher level of resell agreements in the fourth quarter of 2010 as compared with the first quarters of 2011 and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need to fulfill collateral requirements associated with certain seasonal municipal deposits. Agreements to resell securities, of which there were none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at March 31, 2011 or December 31, 2010, are accounted for similar to collateralized loans, with changes in market value of the collateral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monitored by the Company to ensure sufficient coverage. The amounts of investment securities and other earning assets held by the Company are influenced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such factors as demand for loans, which generally yield more than investment securities and other earning assets, ongoing repayments, the level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deposits, and management of balance sheet size and resulting capital ratios.</w:t>
      </w:r>
    </w:p>
    <w:p>
      <w:pPr>
        <w:spacing w:after="0" w:line="103"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As a result of the changes described herein, average earning assets aggregated $59.4 billion in the first quarter of 2011, compared with $60.3 billion in the year-earlier period. Average earning assets totaled $59.7 billion in the fourth quarter of 2010.</w:t>
      </w:r>
    </w:p>
    <w:p>
      <w:pPr>
        <w:spacing w:after="0" w:line="6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most significant source of funding for the Company is core deposits. During 2010 and prior years, the Company considered noninterest-bearing deposits, interest-bearing transaction accounts, savings deposits and domestic time deposits under $100,000 as core deposits. A provision of the Dodd-Frank Act permanently increased the maximum amount of FDIC deposit insurance for financial institutions to $250,000 per depositor. That maximum was $100,000 per depositor until 2009, when it was raised to $250,000 temporarily through December 31, 2013. As a result of the permanently increased deposit insurance coverage, effective December 31, 2010 the Company considers time deposits under $250,000 as core deposits. The Company’s branch network is its principal source of core deposits, which generally carry lower interest rates than wholesale funds of comparable maturities. Certificates of deposit under $250,000 generated on a nationwide basis by M&amp;T Bank, National Association (“M&amp;T Bank, N.A.”), a wholly owned bank subsidiary of M&amp;T, are also included in core deposits. Core deposits averaged $46.2 billion in the first quarter of 2011, up 8% from $42.9 billion in the similar 2010 quarter and 3% higher than $45.0 billion in the fourth quarter of 2010. The change in the Company’s definition of core deposits to include time deposits from $100,000 to $250,000 resulted in an increase in average core deposits in the first quarter of 2011 of approximately $970 million. The growth in core deposits since the first quarter of 2010 was due, in part, to the lack of attractive alternative investments available to the Company’s customers resulting from lower interest rates and from the economic environment in the U.S. The low</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4"/>
          </w:tcPr>
          <w:p>
            <w:pPr>
              <w:ind w:left="420"/>
              <w:spacing w:after="0"/>
              <w:rPr>
                <w:sz w:val="20"/>
                <w:szCs w:val="20"/>
                <w:color w:val="auto"/>
              </w:rPr>
            </w:pPr>
            <w:r>
              <w:rPr>
                <w:rFonts w:ascii="Arial" w:cs="Arial" w:eastAsia="Arial" w:hAnsi="Arial"/>
                <w:sz w:val="14"/>
                <w:szCs w:val="14"/>
                <w:color w:val="auto"/>
              </w:rPr>
              <w:t>Percent increase from</w:t>
            </w: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1"/>
              </w:rPr>
              <w:t>1st Qtr.</w:t>
            </w:r>
          </w:p>
        </w:tc>
        <w:tc>
          <w:tcPr>
            <w:tcW w:w="1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1st Qtr.</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4th Qtr.</w:t>
            </w:r>
          </w:p>
        </w:tc>
      </w:tr>
      <w:tr>
        <w:trPr>
          <w:trHeight w:val="167"/>
        </w:trPr>
        <w:tc>
          <w:tcPr>
            <w:tcW w:w="7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2011</w:t>
            </w:r>
          </w:p>
        </w:tc>
        <w:tc>
          <w:tcPr>
            <w:tcW w:w="68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2010</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600</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26,367</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14,501</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7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46,166</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7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60" w:hanging="452"/>
        <w:spacing w:after="0" w:line="308" w:lineRule="auto"/>
        <w:tabs>
          <w:tab w:leader="none" w:pos="4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Average time deposits considered core deposits in the first quarter of 2011 represented time deposits less than $250,000. In the prior periods presented, average time deposits considered core deposits were those with balances less than $100,000.</w:t>
      </w:r>
    </w:p>
    <w:p>
      <w:pPr>
        <w:spacing w:after="0" w:line="38" w:lineRule="exact"/>
        <w:rPr>
          <w:sz w:val="20"/>
          <w:szCs w:val="20"/>
          <w:color w:val="auto"/>
        </w:rPr>
      </w:pPr>
    </w:p>
    <w:p>
      <w:pPr>
        <w:ind w:right="200" w:firstLine="225"/>
        <w:spacing w:after="0" w:line="285" w:lineRule="auto"/>
        <w:rPr>
          <w:sz w:val="20"/>
          <w:szCs w:val="20"/>
          <w:color w:val="auto"/>
        </w:rPr>
      </w:pPr>
      <w:r>
        <w:rPr>
          <w:rFonts w:ascii="Arial" w:cs="Arial" w:eastAsia="Arial" w:hAnsi="Arial"/>
          <w:sz w:val="16"/>
          <w:szCs w:val="16"/>
          <w:color w:val="auto"/>
        </w:rPr>
        <w:t>In addition to core deposits, domestic time deposits of $250,000 or more, deposits originated through the Company’s Cayman Islands branch office, and brokered deposits provide sources of funding for the Company. Domestic time deposits over $250,000, excluding brokered certificates of deposit, averaged $520 million during the first quarter of 2011. Similar time deposits over $100,000 averaged $1.8 billion and $1.6 billion in the first and fourth quarters of 2010, respectively. Cayman Islands branch deposits averaged $1.2 billion for each of the quarters ended March 31, 2011 and 2010, and $809 million during the quarter ended December 31, 2010. Average brokered time deposits totaled $482 million during the recently completed quarter, compared with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$785 million and $508 million in the first and fourth quarters of 2010, respectively. The Company also had brokered NOW and brokered money-market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 accounts, which in the aggregate averaged $1.3 billion during the first quarter of 2011, compared with $678 million in the year-earlier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billion in the fourth quarter of 2010. The significant increases in such average brokered deposit balances since the first quarter of 2010 reflect 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uncertain economic markets and the desire of brokerage firms to earn reasonable yields while ensuring that customer deposits were fully insured. Cayman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Islands branch deposits and brokered deposits have been used by the Company as alternatives to short-term borrowings. Additional amounts of Cayman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Islands branch deposits or brokered deposits may be added in the future depending on market conditions, including demand by customers and other investors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those deposits, and the cost of funds available from alternative sources at the time.</w:t>
      </w:r>
    </w:p>
    <w:p>
      <w:pPr>
        <w:spacing w:after="0" w:line="103"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and others as sources of funding. Short-term borrowings averaged $1.3 billion in the first quarter of 2011, compared with $2.4 billion in the year-earlier quarter and $1.4 billion in the final quarter of 2010. Included in short-term borrowings were unsecured federal funds borrowings, which generally mature on the next business day, which averaged $1.2 billion in the recent quarter, compared with $2.1 billion and $1.3 billion in the first and fourth quarters of 2010, respectively. Overnight federal funds borrowings represented the largest component of short-term borrowings and were obtained from a wide variety of banks and other financial institutions. Overnight federal funds borrowings totaled $407 million and $1.7 billion at March 31, 2011 and 2010, respectively, and $826 million at December 31, 2010. Average short-term borrowings included borrowings from the Federal Home Loan Bank (“FHLB”) of New York and the FHLB of Atlanta, which totaled $19 million during the recent quarter, compared with $100 million and $16 million in the first and fourth quarters of 2010,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91" w:lineRule="auto"/>
        <w:rPr>
          <w:sz w:val="20"/>
          <w:szCs w:val="20"/>
          <w:color w:val="auto"/>
        </w:rPr>
      </w:pPr>
      <w:r>
        <w:rPr>
          <w:rFonts w:ascii="Arial" w:cs="Arial" w:eastAsia="Arial" w:hAnsi="Arial"/>
          <w:sz w:val="16"/>
          <w:szCs w:val="16"/>
          <w:color w:val="auto"/>
        </w:rPr>
        <w:t>Long-term borrowings averaged $7.4 billion in the first quarter of 2011, compared with $10.2 billion in the similar 2010 quarter and $8.1 billion in the fourth quarter of 2010. Included in average long-term borrowings were amounts borrowed from the FHLBs of $2.5 billion in the recent quarter, and</w:t>
      </w:r>
    </w:p>
    <w:p>
      <w:pPr>
        <w:spacing w:after="0" w:line="268" w:lineRule="auto"/>
        <w:rPr>
          <w:sz w:val="20"/>
          <w:szCs w:val="20"/>
          <w:color w:val="auto"/>
        </w:rPr>
      </w:pPr>
      <w:r>
        <w:rPr>
          <w:rFonts w:ascii="Arial" w:cs="Arial" w:eastAsia="Arial" w:hAnsi="Arial"/>
          <w:sz w:val="17"/>
          <w:szCs w:val="17"/>
          <w:color w:val="auto"/>
        </w:rPr>
        <w:t>$5.1 billion and $3.3 billion in the first and fourth quarters of 2010, respectively, and subordinated capital notes of $1.7 billion in each of the two most recent quarters and $1.9 billion in the three-month period ended March 31, 2010. The Company has utilized interest rate swap agreements to modify the repricing characteristics of certain components of long-term debt. As of March 31, 2011,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March 31, 2011, March 31, 2010 and December 31, 2010. Additional information regarding junior subordinated debentures is provided in note 5 of Notes to Financial Statements. Also included in long-term borrowings were agreements to repurchase securities, which averaged $1.6 billion during each of the first quarters of 2011 and 2010 and the fourth quarter of 2010. The agreements have various repurchase dates through 2017, however, the contractual maturities of the underlying securities extend beyond such repurchase dates.</w:t>
      </w:r>
    </w:p>
    <w:p>
      <w:pPr>
        <w:spacing w:after="0" w:line="74"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3.69% in the first quarter of 2011 and 3.55% in the year-earlier quarter. The yield on earning assets during the recent quarter was 4.60%, up 1 basis point from 4.59% in the first quarter of 2010, while the rate paid on interest-bearing liabilities decreased 13 basis points to .91% from 1.04%. In the fourth quarter of 2010, the net interest spread was 3.61%, the yield on earning assets was 4.58% and the rate paid on interest-bearing liabilities was .97%. The improvement in the net interest spread in the recent quarter as compared with the first and fourth quarters of 2010 was due largely to declines in the rates paid on deposits. Those lower rates reflect the impact of the Federal Reserve’s monetary policies on both short-term and long-term interest rates. The Federal Open Market Committee has noted that economic conditions continue to warrant low levels for the federal funds rate.</w:t>
      </w:r>
    </w:p>
    <w:p>
      <w:pPr>
        <w:spacing w:after="0" w:line="58"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$15.5 billion in the first quarter of 2011, compared with $13.7 billion and $15.2 billion in the first and fourth quarters of 2010, respectively. The rise in net interest free funds in the two most recent quarters as compared with the first quarter of 2010 was largely the result of higher average balances of noninterest-bearing deposits. Such deposits averaged $14.5 billion in the recent quarter, compared with $13.3 billion and $14.3 billion in the first and fourth quarters of 2010, respectively. Goodwill and core deposit and other intangible assets averaged $3.6 billion during the quarter ended March 31, 2011, compared with $3.7 billion during each of the quarters ended March 31, 2010 and December 31, 2010. The cash surrender value of bank owned life insurance averaged $1.5 billion in each of the quarters ended March 31, 2011, March 31, 2010 and December 31, 2010. Increases in the cash surrender value of bank owned life insurance and benefits received are not included in interest income, but rather are recorded in “other revenues from operations.” The contribution of net interest-free funds to net interest margin was .23% in each of the quarters ended March 31, 2011 and 2010, compared with .24% in the fourth quarter of 2010.</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was 3.92% in the first quarter of 2011, compared with 3.78% in the year-earlier quarter and 3.85% in the final quarter of 2010.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5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March 31, 2011 and December 31, 2010, and $1.1 billion at March 31, 2010. Under the terms of those swap agreements, the Company received payments based on the outstanding notional amount at fixed rates and made payments at variable rates. Those swap agreements were designated as fair value hedges of certain fixed rate long-term borrowings and, to a lesser extent at March 31, 2010, certain fixed rate time deposits. There were no interest rate swap agreements designated as cash flow hedges at those respective dates.</w:t>
      </w:r>
    </w:p>
    <w:p>
      <w:pPr>
        <w:spacing w:after="0" w:line="58"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2011 and 2010 and the quarter ended December 31, 2010 were not material to the Company’s results of operations. The estimated aggregate fair value of interest rate swap agreements designated as fair value hedges represented gains of approximately $84 million at March 31, 2011, $67 million at March 31, 2010 and $97 million at December 31, 2010.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2011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$60 million of collateral with the Company.</w:t>
      </w:r>
    </w:p>
    <w:p>
      <w:pPr>
        <w:spacing w:after="0" w:line="6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6.07% and 1.85%, respectively, at March 31, 2011.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60"/>
              <w:spacing w:after="0" w:line="142" w:lineRule="exact"/>
              <w:rPr>
                <w:sz w:val="20"/>
                <w:szCs w:val="20"/>
                <w:color w:val="auto"/>
              </w:rPr>
            </w:pPr>
            <w:r>
              <w:rPr>
                <w:rFonts w:ascii="Arial" w:cs="Arial" w:eastAsia="Arial" w:hAnsi="Arial"/>
                <w:sz w:val="14"/>
                <w:szCs w:val="14"/>
                <w:color w:val="auto"/>
                <w:w w:val="95"/>
              </w:rPr>
              <w:t>Amount</w:t>
            </w:r>
          </w:p>
        </w:tc>
        <w:tc>
          <w:tcPr>
            <w:tcW w:w="680" w:type="dxa"/>
            <w:vAlign w:val="bottom"/>
          </w:tcPr>
          <w:p>
            <w:pPr>
              <w:ind w:left="140"/>
              <w:spacing w:after="0" w:line="142" w:lineRule="exact"/>
              <w:rPr>
                <w:sz w:val="20"/>
                <w:szCs w:val="20"/>
                <w:color w:val="auto"/>
              </w:rPr>
            </w:pPr>
            <w:r>
              <w:rPr>
                <w:rFonts w:ascii="Arial" w:cs="Arial" w:eastAsia="Arial" w:hAnsi="Arial"/>
                <w:sz w:val="14"/>
                <w:szCs w:val="14"/>
                <w:color w:val="auto"/>
              </w:rPr>
              <w:t>Rate(a)</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(9,514)</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(11,252)</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2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.06%</w:t>
            </w: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9,514</w:t>
            </w:r>
          </w:p>
        </w:tc>
        <w:tc>
          <w:tcPr>
            <w:tcW w:w="6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11,252</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900,000</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1,062,241</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r>
        <w:rPr>
          <w:rFonts w:ascii="Arial" w:cs="Arial" w:eastAsia="Arial" w:hAnsi="Arial"/>
          <w:sz w:val="18"/>
          <w:szCs w:val="18"/>
          <w:b w:val="1"/>
          <w:bCs w:val="1"/>
          <w:color w:val="auto"/>
        </w:rPr>
        <w: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Weighted-average rate paid or received on interest rate swap agreements in effect during the period.</w:t>
      </w:r>
    </w:p>
    <w:p>
      <w:pPr>
        <w:spacing w:after="0" w:line="121"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$407 million at March 31, 2011, $1.7 billion at March 31, 2010 and $826 million at December 31, 2010. In general, those borrowings were unsecured and matured on the next business day. As previously noted, Cayman Islands branch deposits and brokered certificates of deposit have been used by the Company as an alternative to short-term borrowings. Cayman Islands branch deposits also generally mature on the next business day and totaled $1.1 billion, $790 million and $1.6 billion at March 31, 2011, March 31, 2010 and December 31, 2010, respectively. Outstanding brokered time deposits at March 31, 2011, March 31, 2010 and December 31, 2010 were $478 million, $732 million and $485 million, respectively. At March 31, 2011, the weighted-average remaining term to maturity of brokered time deposits was 17 months. Certain of those brokered time deposits have provisions that allow for early redemption. The Company also had brokered NOW and brokered money-market deposit accounts which aggregated $1.3 billion at each of March 31, 2011 and December 31, 2010, and $942 million at March 31, 2010. The higher level of such deposits at the two most recent quarter-ends resulted from higher demand for these deposits due to the unsettled economy and the need for brokerage firms to ensure that customer deposits are fully insured while earning a yield on such deposits.</w:t>
      </w:r>
    </w:p>
    <w:p>
      <w:pPr>
        <w:spacing w:after="0" w:line="6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$23 million at March 31, 2011, $20 million at March 31, 2010 and $107 million at December 31, 2010. The total amount of VRDBs outstanding backed by M&amp;T Bank letters of credit was $1.9 billion at each of March 31, 2011 and 2010, compared with $2.0 billion at December 31, 2010. M&amp;T Bank also serves as remarketing agent for most of those bonds.</w:t>
      </w:r>
    </w:p>
    <w:p>
      <w:pPr>
        <w:spacing w:after="0" w:line="70"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0"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$849 million at March 31, 2011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of which there were no borrowings outstanding at March 31, 2011 or at December 31, 2010.</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8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jc w:val="both"/>
        <w:ind w:right="280" w:firstLine="222"/>
        <w:spacing w:after="0" w:line="342" w:lineRule="auto"/>
        <w:rPr>
          <w:sz w:val="20"/>
          <w:szCs w:val="20"/>
          <w:color w:val="auto"/>
        </w:rPr>
      </w:pPr>
      <w:r>
        <w:rPr>
          <w:rFonts w:ascii="Arial" w:cs="Arial" w:eastAsia="Arial" w:hAnsi="Arial"/>
          <w:sz w:val="16"/>
          <w:szCs w:val="16"/>
          <w:color w:val="auto"/>
        </w:rPr>
        <w:t>The accompanying table as of March 31, 2011 and December 31, 2010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right"/>
              <w:ind w:right="58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810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March 31, 2011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79,794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+100 basis points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42,133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(45,808)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-200 basis points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(67,196)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(61,720)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85"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73" w:lineRule="exact"/>
        <w:rPr>
          <w:sz w:val="20"/>
          <w:szCs w:val="20"/>
          <w:color w:val="auto"/>
        </w:rPr>
      </w:pPr>
    </w:p>
    <w:p>
      <w:pPr>
        <w:ind w:right="160" w:firstLine="222"/>
        <w:spacing w:after="0" w:line="288"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61" w:lineRule="exact"/>
        <w:rPr>
          <w:sz w:val="20"/>
          <w:szCs w:val="20"/>
          <w:color w:val="auto"/>
        </w:rPr>
      </w:pPr>
    </w:p>
    <w:p>
      <w:pPr>
        <w:jc w:val="both"/>
        <w:ind w:right="140" w:firstLine="222"/>
        <w:spacing w:after="0" w:line="288" w:lineRule="auto"/>
        <w:rPr>
          <w:sz w:val="20"/>
          <w:szCs w:val="20"/>
          <w:color w:val="auto"/>
        </w:rPr>
      </w:pPr>
      <w:r>
        <w:rPr>
          <w:rFonts w:ascii="Arial" w:cs="Arial" w:eastAsia="Arial" w:hAnsi="Arial"/>
          <w:sz w:val="16"/>
          <w:szCs w:val="16"/>
          <w:color w:val="auto"/>
        </w:rPr>
        <w:t>The notional amounts of interest rate contracts entered into for trading purposes aggregated $12.3 billion at March 31, 2011, compared with $12.8 billion at each of March 31, 2010 and December 31, 2010. The notional amounts of foreign currency and other option and futures contracts entered into for trading purposes totaled $982 million at March 31, 2011, compared with $701 million and $769 million at March 31, 2010 and December 31, 2010, respectively.</w:t>
      </w:r>
    </w:p>
    <w:p>
      <w:pPr>
        <w:ind w:right="60"/>
        <w:spacing w:after="0" w:line="268" w:lineRule="auto"/>
        <w:rPr>
          <w:sz w:val="20"/>
          <w:szCs w:val="20"/>
          <w:color w:val="auto"/>
        </w:rPr>
      </w:pPr>
      <w:r>
        <w:rPr>
          <w:rFonts w:ascii="Arial" w:cs="Arial" w:eastAsia="Arial" w:hAnsi="Arial"/>
          <w:sz w:val="17"/>
          <w:szCs w:val="17"/>
          <w:color w:val="auto"/>
        </w:rPr>
        <w:t>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$414 million and $304 million, respectively, at March 31, 2011, $403 million and $316 million, respectively, at March 31, 2010, and $524 million and $333 million, respectively, at December 31, 2010. Included in trading account assets were assets related to deferred compensation plans totaling $36 million and $34 million at March 31, 2011 and 2010, respectively, and $35 million at December 31, 2010. Changes in the fair value of such assets are recorded as “trading account and foreign exchange gains” in the consolidated statement of income. Included in “other liabilities” in the consolidated balance sheet at March 31, 2011 were $35 million of liabilities related to deferred compensation plans, compared with $36 million at each of March 31, 2010 and December 31, 2010. Changes in the balances of such liabilities due to the valuation of allocated investment options to which the liabilities are indexed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are recorded in “other costs of operations” in the consolidated statement of income.</w:t>
      </w:r>
    </w:p>
    <w:p>
      <w:pPr>
        <w:spacing w:after="0" w:line="117" w:lineRule="exact"/>
        <w:rPr>
          <w:sz w:val="20"/>
          <w:szCs w:val="20"/>
          <w:color w:val="auto"/>
        </w:rPr>
      </w:pPr>
    </w:p>
    <w:p>
      <w:pPr>
        <w:jc w:val="both"/>
        <w:ind w:right="42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10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first quarter of 2011 was $75 million, compared with $105 million in the year-earlier quarter and $85 million in the fourth quarter of 2010. While the levels of the provision subsequent to 2007 have been higher than historical levels, the Company has experienced some improvement in its credit quality metrics over the past five quarters. Nevertheless, generally declining real estate valuations and higher than normal levels of delinquencies and charge-offs have significantly affected the quality of the Company’s residential real estate-related loan portfolios. Specifically, the Company’s Alt-A residential real estate loan portfolio and its residential real estate builder and developer loan portfolio experienced the majority of the credit problems related to the turmoil in the residential real estate market place. The Company also experienced increased levels of commercial and consumer loan charge-offs over the past three years due to, among other things, higher unemployment levels and the recessionary economy. Although nonperforming and criticized loans remain at historically high levels, the Company has seen some early signs of improving economic conditions within the market areas in which it operates.</w:t>
      </w:r>
    </w:p>
    <w:p>
      <w:pPr>
        <w:spacing w:after="0" w:line="61"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Net loan charge-offs were $74 million in the first quarter of 2011, compared with $95 million and $77 million during the three-month periods ended March 31, 2010 and December 31, 2010, respectively. Net charge-offs as an annualized percentage of average loans and leases were .58% in the first quarter of 2011, compared with .74% and .60% in the first and fourth quarters of 2010, respectively. A summary of net charge-offs by loan type follows.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60" w:type="dxa"/>
            <w:vAlign w:val="bottom"/>
            <w:gridSpan w:val="5"/>
          </w:tcPr>
          <w:p>
            <w:pPr>
              <w:spacing w:after="0"/>
              <w:rPr>
                <w:sz w:val="20"/>
                <w:szCs w:val="20"/>
                <w:color w:val="auto"/>
              </w:rPr>
            </w:pPr>
            <w:r>
              <w:rPr>
                <w:rFonts w:ascii="Arial" w:cs="Arial" w:eastAsia="Arial" w:hAnsi="Arial"/>
                <w:sz w:val="14"/>
                <w:szCs w:val="14"/>
                <w:color w:val="auto"/>
              </w:rPr>
              <w:t>First Quarter</w:t>
            </w:r>
          </w:p>
        </w:tc>
        <w:tc>
          <w:tcPr>
            <w:tcW w:w="1400" w:type="dxa"/>
            <w:vAlign w:val="bottom"/>
            <w:gridSpan w:val="3"/>
          </w:tcPr>
          <w:p>
            <w:pPr>
              <w:ind w:left="340"/>
              <w:spacing w:after="0"/>
              <w:rPr>
                <w:sz w:val="20"/>
                <w:szCs w:val="20"/>
                <w:color w:val="auto"/>
              </w:rPr>
            </w:pPr>
            <w:r>
              <w:rPr>
                <w:rFonts w:ascii="Arial" w:cs="Arial" w:eastAsia="Arial" w:hAnsi="Arial"/>
                <w:sz w:val="14"/>
                <w:szCs w:val="14"/>
                <w:color w:val="auto"/>
              </w:rPr>
              <w:t>First Quarter</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Fourth Quarter</w:t>
            </w:r>
          </w:p>
        </w:tc>
      </w:tr>
      <w:tr>
        <w:trPr>
          <w:trHeight w:val="167"/>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11,862</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17,994</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24,230</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30,226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34,719</w:t>
            </w: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14,666</w:t>
            </w:r>
          </w:p>
        </w:tc>
        <w:tc>
          <w:tcPr>
            <w:tcW w:w="320" w:type="dxa"/>
            <w:vAlign w:val="bottom"/>
          </w:tcPr>
          <w:p>
            <w:pPr>
              <w:spacing w:after="0"/>
              <w:rPr>
                <w:sz w:val="18"/>
                <w:szCs w:val="18"/>
                <w:color w:val="auto"/>
              </w:rPr>
            </w:pPr>
          </w:p>
        </w:tc>
        <w:tc>
          <w:tcPr>
            <w:tcW w:w="1400" w:type="dxa"/>
            <w:vAlign w:val="bottom"/>
            <w:gridSpan w:val="3"/>
          </w:tcPr>
          <w:p>
            <w:pPr>
              <w:ind w:left="560"/>
              <w:spacing w:after="0"/>
              <w:rPr>
                <w:sz w:val="20"/>
                <w:szCs w:val="20"/>
                <w:color w:val="auto"/>
              </w:rPr>
            </w:pPr>
            <w:r>
              <w:rPr>
                <w:rFonts w:ascii="Arial" w:cs="Arial" w:eastAsia="Arial" w:hAnsi="Arial"/>
                <w:sz w:val="18"/>
                <w:szCs w:val="18"/>
                <w:color w:val="auto"/>
              </w:rPr>
              <w:t>15,280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15,001</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23,480</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31,009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22,337</w:t>
            </w:r>
          </w:p>
        </w:tc>
      </w:tr>
      <w:tr>
        <w:trPr>
          <w:trHeight w:val="223"/>
        </w:trPr>
        <w:tc>
          <w:tcPr>
            <w:tcW w:w="7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74,238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94,509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76,779</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Included in net charge-offs of commercial real estate loans were charge-offs of loans to residential homebuilders and developers of $18 million in the quarter ended March 31, 2011 compared with $22 million for each of the quarters ended March 31, 2010 and December 31, 2010. Reflected in net charge-offs of residential real estate loans were net charge-offs of Alt-A first mortgage loans of $8 million in each of the quarters ended March 31, 2011, March 31, 2010 and December 31, 2010. Included in net charge-offs of consumer loans and leases were net charge-offs during the quarters ended March 31, 2011, March 31, 2010 and December 31, 2010, respectively, of: indirect automobile loans of $6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million, $10 million and $7 million; recreational vehicle loans of $6 million, $7 million and $5 million; and home equity loans and lines of credit, including Alt-A second lien loans, of $8 million, $9 million and $7 million. Including both first and second lien mortgages, net charge-offs of Alt-A loans totaled $9 million for each of the quarters ended March 31, 2011, March 31, 2010 and December 31, 2010.</w:t>
      </w:r>
    </w:p>
    <w:p>
      <w:pPr>
        <w:spacing w:after="0" w:line="73" w:lineRule="exact"/>
        <w:rPr>
          <w:sz w:val="20"/>
          <w:szCs w:val="20"/>
          <w:color w:val="auto"/>
        </w:rPr>
      </w:pPr>
    </w:p>
    <w:p>
      <w:pPr>
        <w:ind w:right="240" w:firstLine="225"/>
        <w:spacing w:after="0" w:line="286" w:lineRule="auto"/>
        <w:rPr>
          <w:sz w:val="20"/>
          <w:szCs w:val="20"/>
          <w:color w:val="auto"/>
        </w:rPr>
      </w:pPr>
      <w:r>
        <w:rPr>
          <w:rFonts w:ascii="Arial" w:cs="Arial" w:eastAsia="Arial" w:hAnsi="Arial"/>
          <w:sz w:val="16"/>
          <w:szCs w:val="16"/>
          <w:color w:val="auto"/>
        </w:rPr>
        <w:t>Nonaccrual loans totaled $1.21 billion or 2.32% of total loans and leases outstanding at March 31, 2011, compared with $1.34 billion or 2.60% a year earlier and $1.24 billion or 2.38% at December 31, 2010. The decline in nonaccrual loans from March 31, 2010 to the two most recent quarter-ends was largely due to the impact of charge-offs, individually significant payments made in 2010’s second and third quarters by a borrower that operates retirement communities and by a borrower that is a consumer finance and credit insurance company, and the transfer to real estate and other foreclosed assets of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$98 million of collateral related to a commercial real estate loan that was placed in nonaccrual status during the fourth quarter of 2009. Those reductions were partially offset by additional loans being transferred to nonaccrual status. In particular, in the fourth quarter of 2010 such transfers included an $80 million relationship with a residential builder and developer and $66 million of commercial construction loans to an owner/operator of retirement and assisted living facilities. The continuing softness in the residential real estate marketplace has resulted in depressed real estate values and high levels of delinquencies, both for loans to consumers and loans to builders and developers of residential real estate. Despite the recent quarter’s decline in nonaccrual loans, conditions in the U.S. economy have resulted in generally higher levels of nonaccrual loans than historically experienced by the Company.</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Accruing loans past due 90 days or more were $264 million or .51% of total loans and leases at March 31, 2011, compared with $203 million or .40%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March 31, 2010 and $270 million or .52% at December 31, 2010. Those loans included loans guaranteed by government-related entities of $215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$195 million and $214 million at March 31, 2011, March 31, 2010 and December 31, 2010, respectively. Such guaranteed loans included one-to-four family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loans serviced by the Company that were repurchased to reduce associated servicing costs, including a requirement to advance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interest payments that had not been received from individual mortgagors. Despite the loans being purchased by the Company, the insurance or guarantee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applicable government-related entity remains in force. The outstanding principal balances of the repurchased loans are fully guaranteed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government-related entities and totaled $195 million and $179 million as of March 31, 2011 and 2010, respectively, and $191 million at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past due 90 days or more and accruing interest that were guaranteed by government-related entities also included foreign commercial and industrial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supported by the Export-Import Bank of the United States that totaled $11 million at each of March 31, 2011, March 31, 2010 and December 31, 2010.</w:t>
      </w:r>
    </w:p>
    <w:p>
      <w:pPr>
        <w:spacing w:after="0" w:line="126"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Loans obtained in the 2009 and 2010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$89 million at March 31, 2011, or less than .2% of total loans.</w:t>
      </w:r>
    </w:p>
    <w:p>
      <w:pPr>
        <w:spacing w:after="0" w:line="3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an effort to assist borrowers, the Company modified the terms of select loans secured by residential real estate, largely from the Company’s portfolio of Alt-A loans. Included in loans outstanding at March 31, 2011 were $305 million of modified loans, of which $126 million were classified as nonaccrual. The remaining modified loans have demonstrated payment capability consistent with the modified terms and, accordingly, were classified as renegotiated loans and were accruing interest at March 31, 2011. Loan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$296 million at March 31, 2010, of which $109 million were in nonaccrual status, and $308 million as of December 31, 2010, of which $117 million were classified as nonaccrual.</w:t>
      </w:r>
    </w:p>
    <w:p>
      <w:pPr>
        <w:spacing w:after="0" w:line="8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Nonaccrual commercial loans and leases aggregated $173 million at March 31, 2011, $325 million at March 31, 2010 and $187 million at December 31, 2010. The decline in such loans at the two most recent quarter-ends as compared with March 31, 2010 reflects 2010 activity consisting of $62 million of payments related to a single borrower that operates retirement communities and the payoffs of a $37 million loan to a consumer finance and credit insurance company and a $36 million loan to a borrower in the commercial real estate sector.</w:t>
      </w:r>
    </w:p>
    <w:p>
      <w:pPr>
        <w:spacing w:after="0" w:line="79"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Commercial real estate loans classified as nonaccrual totaled $658 million at March 31, 2011, $641 million at March 31, 2010 and $682 million at December 31, 2010. Reflected in such nonaccrual loans were loans to residential homebuilders and developers aggregating $320 million and $307 million at March 31, 2011 and 2010, respectively, and $346 million at December 31, 2010. Information about the location of nonaccrual and charged-off loans to residential real estate builders and developers as of and for the three-month period ended March 31, 2011 is presented in the accompanying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20" w:lineRule="exact"/>
        <w:rPr>
          <w:sz w:val="20"/>
          <w:szCs w:val="20"/>
          <w:color w:val="auto"/>
        </w:rPr>
      </w:pPr>
    </w:p>
    <w:p>
      <w:pPr>
        <w:ind w:left="9840"/>
        <w:spacing w:after="0"/>
        <w:rPr>
          <w:sz w:val="20"/>
          <w:szCs w:val="20"/>
          <w:color w:val="auto"/>
        </w:rPr>
      </w:pPr>
      <w:r>
        <w:rPr>
          <w:rFonts w:ascii="Arial" w:cs="Arial" w:eastAsia="Arial" w:hAnsi="Arial"/>
          <w:sz w:val="14"/>
          <w:szCs w:val="14"/>
          <w:color w:val="auto"/>
        </w:rPr>
        <w:t>Quarter ended</w:t>
      </w:r>
    </w:p>
    <w:p>
      <w:pPr>
        <w:ind w:left="9800"/>
        <w:spacing w:after="0"/>
        <w:rPr>
          <w:sz w:val="20"/>
          <w:szCs w:val="20"/>
          <w:color w:val="auto"/>
        </w:rPr>
      </w:pPr>
      <w:r>
        <w:rPr>
          <w:rFonts w:ascii="Arial" w:cs="Arial" w:eastAsia="Arial" w:hAnsi="Arial"/>
          <w:sz w:val="14"/>
          <w:szCs w:val="14"/>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-3175</wp:posOffset>
            </wp:positionV>
            <wp:extent cx="39789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left="9800"/>
        <w:spacing w:after="0" w:line="233" w:lineRule="auto"/>
        <w:rPr>
          <w:sz w:val="20"/>
          <w:szCs w:val="20"/>
          <w:color w:val="auto"/>
        </w:rPr>
      </w:pPr>
      <w:r>
        <w:rPr>
          <w:rFonts w:ascii="Arial" w:cs="Arial" w:eastAsia="Arial" w:hAnsi="Arial"/>
          <w:sz w:val="14"/>
          <w:szCs w:val="14"/>
          <w:color w:val="auto"/>
        </w:rPr>
        <w:t>Net charge-offs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ind w:left="240"/>
              <w:spacing w:after="0" w:line="122" w:lineRule="exact"/>
              <w:rPr>
                <w:sz w:val="20"/>
                <w:szCs w:val="20"/>
                <w:color w:val="auto"/>
              </w:rPr>
            </w:pPr>
            <w:r>
              <w:rPr>
                <w:rFonts w:ascii="Arial" w:cs="Arial" w:eastAsia="Arial" w:hAnsi="Arial"/>
                <w:sz w:val="14"/>
                <w:szCs w:val="14"/>
                <w:color w:val="auto"/>
              </w:rPr>
              <w:t>March 31, 2011</w:t>
            </w: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4"/>
                <w:szCs w:val="14"/>
                <w:color w:val="auto"/>
                <w:w w:val="98"/>
              </w:rPr>
              <w:t>Annualized</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0"/>
              </w:rPr>
              <w:t>Percent of</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Outstanding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balances(a)</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260,817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32,457</w:t>
            </w:r>
          </w:p>
        </w:tc>
        <w:tc>
          <w:tcPr>
            <w:tcW w:w="16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12.44%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179,262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85,243</w:t>
            </w:r>
          </w:p>
        </w:tc>
        <w:tc>
          <w:tcPr>
            <w:tcW w:w="1640" w:type="dxa"/>
            <w:vAlign w:val="bottom"/>
            <w:gridSpan w:val="3"/>
          </w:tcPr>
          <w:p>
            <w:pPr>
              <w:ind w:left="760"/>
              <w:spacing w:after="0"/>
              <w:rPr>
                <w:sz w:val="20"/>
                <w:szCs w:val="20"/>
                <w:color w:val="auto"/>
              </w:rPr>
            </w:pPr>
            <w:r>
              <w:rPr>
                <w:rFonts w:ascii="Arial" w:cs="Arial" w:eastAsia="Arial" w:hAnsi="Arial"/>
                <w:sz w:val="18"/>
                <w:szCs w:val="18"/>
                <w:color w:val="auto"/>
              </w:rPr>
              <w:t>47.55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10,912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709,536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176,243</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24.84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205,045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43,708</w:t>
            </w:r>
          </w:p>
        </w:tc>
        <w:tc>
          <w:tcPr>
            <w:tcW w:w="1640" w:type="dxa"/>
            <w:vAlign w:val="bottom"/>
            <w:gridSpan w:val="3"/>
          </w:tcPr>
          <w:p>
            <w:pPr>
              <w:ind w:left="760"/>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3,464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1,354,660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337,651</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24.93%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18,054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Includes approximately $53 million of loans not secured by real estate, of which approximately $17 million are in nonaccrual status.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Residential real estate loans classified as nonaccrual were $289 million at March 31, 2011, compared with $282 million at March 31, 2010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$279 million at December 31, 2010. Depressed real estate values and high levels of delinquencies have contributed to the higher than historical levels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residential real estate loans classified as nonaccrual and to the elevated level of charge-offs, largely in the Company’s Alt-A portfolio. Included in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real estate loans classified as nonaccrual were Alt-A loans of $111 million, $114 million and $106 million at March 31, 2011, March 31, 2010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respectively. Residential real estate loans past due 90 days or more and accruing interest totaled $195 million at March 31, 2011,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with $181 million a year earlier and $192 million at December 31, 2010. A substantial portion of such amounts related to guaranteed loans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repurchased from government-related entities. Information about the location of nonaccrual and charged-off residential real estate loans as of and for the quarter ended March 31, 2011 is presented in the accompanying table.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Nonaccrual consumer loans and leases aggregated $91 million at each of March 31, 2011 and December 31, 2010, compared with $92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2010. As a percentage of consumer loan balances outstanding, nonaccrual consumer loans and leases were .81% at March 31, 2011,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 and .79% at March 31, 2010 and December 31, 2010, respectively. Included in nonaccrual consumer loans and leases at March 31, 2011,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2010 and December 31, 2010 were indirect automobile loans of $30 million, $35 million and $32 million, respectively; recreational vehicle loans of</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$13 million, $16 million and $13 million, respectively; and outstanding balances of home equity loans and lines of credit, including second lien, Alt-A loans, of $44 million, $37 million and $43 million, respectively. Consumer loans delinquent 30-89 days at March 31, 2011 totaled $96 million, compared with $108 million and $120 million at March 31, 2010 and December 31, 2010, respectively. Consumer loans past due 90 days or more and accruing interest totaled $4 million at each of March 31, 2011 and December 31, 2010, compared with $3 million at March 31, 2010. Information about the location of nonaccrual and charged-off home equity loans and lines of credit as of and for the quarter-ended March 31, 2011 is presented in the accompanying table.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4"/>
          </w:tcPr>
          <w:p>
            <w:pPr>
              <w:jc w:val="center"/>
              <w:ind w:right="340"/>
              <w:spacing w:after="0" w:line="142" w:lineRule="exact"/>
              <w:rPr>
                <w:sz w:val="20"/>
                <w:szCs w:val="20"/>
                <w:color w:val="auto"/>
              </w:rPr>
            </w:pPr>
            <w:r>
              <w:rPr>
                <w:rFonts w:ascii="Arial" w:cs="Arial" w:eastAsia="Arial" w:hAnsi="Arial"/>
                <w:sz w:val="14"/>
                <w:szCs w:val="14"/>
                <w:color w:val="auto"/>
                <w:w w:val="92"/>
              </w:rPr>
              <w:t>March 31, 2011</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3"/>
          </w:tcPr>
          <w:p>
            <w:pPr>
              <w:jc w:val="center"/>
              <w:ind w:right="92"/>
              <w:spacing w:after="0" w:line="123"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4"/>
                <w:szCs w:val="14"/>
                <w:color w:val="auto"/>
                <w:w w:val="94"/>
              </w:rPr>
              <w:t>(recoveries)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March 31, 2011</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0"/>
              </w:rPr>
              <w:t>Percent of</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w w:val="97"/>
              </w:rPr>
              <w:t>Outstanding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balances</w:t>
            </w:r>
          </w:p>
        </w:tc>
        <w:tc>
          <w:tcPr>
            <w:tcW w:w="2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2,422,411</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49,694</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2.05%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797,504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18,228</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1,164,031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41,985</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1,200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1,111,204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59,099</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3,255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5,495,150</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169,006</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5,416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8.47%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16,892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19.44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32,817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62,723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9,103</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14.51%</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90,725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17,698</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19.51%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110,357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17,588</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1,641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6,086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597,087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110,789</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18.55%</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8,369</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2,825</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326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22,157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6.11%</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32,458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181,228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144,485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359,681</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5,150</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863,562</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2,413</w:t>
            </w:r>
          </w:p>
        </w:tc>
        <w:tc>
          <w:tcPr>
            <w:tcW w:w="16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152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558,095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534,828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1,972,473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4,927</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78,887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972</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83,104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147,473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2,572</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325,622</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5,676</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1,630,946</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16,912</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3,172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551,133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1,486,008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1,605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73,480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3,741,567</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27,243</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0.73%</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5,860</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Real estate and other foreclosed assets were $218 million and $95 million at March 31, 2011 and March 31, 2010, and $220 million at December 31, 2010. The increase at the two most recent quarter-ends as compared with March 31, 2010 reflects the $98 million addition in the second quarter of 2010 of a commercial real estate property located in New York City. Excluding that property, at March 31, 2011, the Company’s holding of residential real estate-related properties comprised 74% of the remaining foreclosed assets.</w:t>
      </w:r>
    </w:p>
    <w:p>
      <w:pPr>
        <w:spacing w:after="0" w:line="79"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70"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2011</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760"/>
              <w:spacing w:after="0"/>
              <w:rPr>
                <w:sz w:val="20"/>
                <w:szCs w:val="20"/>
                <w:color w:val="auto"/>
              </w:rPr>
            </w:pPr>
            <w:r>
              <w:rPr>
                <w:rFonts w:ascii="Arial" w:cs="Arial" w:eastAsia="Arial" w:hAnsi="Arial"/>
                <w:sz w:val="14"/>
                <w:szCs w:val="14"/>
                <w:color w:val="auto"/>
                <w:w w:val="91"/>
              </w:rPr>
              <w:t>2010 Quarters</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First Quarter</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Third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1,211,111</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1,239,194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1,099,560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1,090,135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218,203</w:t>
            </w:r>
          </w:p>
        </w:tc>
        <w:tc>
          <w:tcPr>
            <w:tcW w:w="6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220,049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192,600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192,631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95,362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1,429,314</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1,459,243</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1,292,160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1,282,766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1,435,354</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264,480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269,593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214,769</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203,081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203,443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241,190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233,342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233,671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228,847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220,885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w w:val="95"/>
              </w:rPr>
              <w:t>Government guaranteed loans included in totals above: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69,353</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56,787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38,232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40,271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00"/>
              <w:spacing w:after="0"/>
              <w:rPr>
                <w:sz w:val="20"/>
                <w:szCs w:val="20"/>
                <w:color w:val="auto"/>
              </w:rPr>
            </w:pPr>
            <w:r>
              <w:rPr>
                <w:rFonts w:ascii="Arial" w:cs="Arial" w:eastAsia="Arial" w:hAnsi="Arial"/>
                <w:sz w:val="18"/>
                <w:szCs w:val="18"/>
                <w:color w:val="auto"/>
              </w:rPr>
              <w:t>Accruing loans past due 90 days or more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214,505</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214,111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194,223</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187,682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Outstanding customer balance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206,253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219,477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113,964</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130,808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Carrying amount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88,589</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97,019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52,728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61,524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2.32%</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2.38%</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2.16%</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2.13%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and other foreclosed assets</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and leases, net of 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Predominantly residential mortgage loans.</w:t>
      </w:r>
    </w:p>
    <w:p>
      <w:pPr>
        <w:spacing w:after="0" w:line="76"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Accruing loans that were impaired at acquisition date and recorded at fair value.</w:t>
      </w:r>
    </w:p>
    <w:p>
      <w:pPr>
        <w:spacing w:after="0" w:line="117" w:lineRule="exact"/>
        <w:rPr>
          <w:sz w:val="20"/>
          <w:szCs w:val="20"/>
          <w:color w:val="auto"/>
        </w:rPr>
      </w:pPr>
    </w:p>
    <w:p>
      <w:pPr>
        <w:jc w:val="both"/>
        <w:ind w:right="680" w:firstLine="225"/>
        <w:spacing w:after="0" w:line="312"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2" w:lineRule="exact"/>
        <w:rPr>
          <w:sz w:val="20"/>
          <w:szCs w:val="20"/>
          <w:color w:val="auto"/>
        </w:rPr>
      </w:pPr>
    </w:p>
    <w:p>
      <w:pPr>
        <w:ind w:right="60" w:firstLine="8"/>
        <w:spacing w:after="0" w:line="253"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concentrations of commercial real estate loans in the Company’s loan portfolio;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83"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2011 in light of: (i) residential real estate values and the level of delinquencies of residential real estate loans;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continue to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or stagnant regions of upstate New York and central Pennsylvania. Approximately one-half of the Company’s loans are to customers in upstate New York and Pennsylvania. Home prices in upstate New York and central Pennsylvania were largely unchanged in 2009 and 2010, in contrast to declines in values in many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expanded its normal loan review process to conduct detailed reviews of all loans to residential real estate builders and developers that exceeded $2.5 million. Those credit reviews often resulted in commencement of intensified collection efforts, including foreclosure.</w:t>
      </w:r>
    </w:p>
    <w:p>
      <w:pPr>
        <w:spacing w:after="0" w:line="6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utilizes an extensive loan grading system which is applied to all commercial and commercial real estate loans. On a quarterly basis, the Company’s loan review department reviews commercial and commercial real estate loans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the Company’s potential courses of action are reviewed. To the extent that these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7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second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58"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Loans acquired in connection with 2009 and 2010 acquisition transactions were recorded at fair value with no carry-over of any previously recorded allowance for credit losses. Determining the fair value of the acquired loans required estimating cash flows expected to be collected on the loans and discounting those cash flows at then current interest rates. The excess of cash flows expected at acquisition over the estimated fair value is being recognized as interest income over the lives of the loans. The difference between contractually required payments at acquisition and the cash flows expected to be collected at acquisition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Management believes that the allowance for credit losses at March 31, 2011 was adequate to absorb credit losses inherent in the portfolio as of that date. The allowance for credit losses was $904 million, or 1.73% of total loans and leases at March 31, 2011, compared with $891 million or 1.73% at the end of the first quarter of 2010 and $903 million or 1.74% at December 31, 2010. The ratio of the allowance to total loans and leases reflects the impact of loans obtained in 2009 and 2010 acquisition transactions that have been recorded at estimated fair value based on estimated cash flows expected to be received on those loans. Those cash flows reflect the impact of expected defaults on customer repayment performance. Excluding the effect of such loans, the allowance for credit losses related to the Company’s legacy loans (that is, total loans excluding loans acquired during 2009 and 2010) expressed as a percentage of such legacy loans was 1.81% at March 31, 2011, compared with 1.82% at December 31, 2010 and 1.86% at March 31, 2010.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75% at March 31, 2011, compared with 67% a year earlier and 73% at December 31, 2010.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 income totaled $314 million in the first quarter of 2011, compared with $258 million in the corresponding 2010 quarter and $287 million in the fourth quarter of 2010. Reflected in those amounts were net gains on investment securities of $23 million in the recent quarter, compared with net losses on investment securities of $26 million in the first quarter of 2010 and $27 million in the last 2010 quarter. During the initial 2011 quarter, the Company sold residential mortgage-backed securities guaranteed by Fannie Mae and Freddie Mac held in its available-for-sale investment securities portfolio having an amortized cost of $484 million, resulting in a gain of $39 million. Included in net securities gains and losses in each of the quarters were other-than-temporary impairment charges of $16 million in the recent quarter, $27 million in the year-earlier quarter and $28 million in the fourth quarter of 2010. Those other-than-temporary impairment charges were predominantly related to the Company’s holdings of privately issued CMOs and reflect the impact of lower real estate values and higher delinquencies on real estate loans underlying those impaired securities. Also reflected in noninterest income during the fourth quarter of 2010 was the $28 million gain related to the K Bank acquisition transaction.</w:t>
      </w:r>
    </w:p>
    <w:p>
      <w:pPr>
        <w:spacing w:after="0" w:line="74"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Excluding gains and losses from bank investment securities (including other-than-temporary impairment losses) and the acquisition-related gain, other income aggregated $291 million, $284 million and $286 million in the three-month periods ended March 31, 2011, March 31, 2010 and December 31, 2010, respectively. Contributing to the improvement of such income in the recent quarter as compared with the first quarter of 2010 were higher commercial mortgage banking revenues, letter of credit and other credit-related fees, trading account and foreign exchange gains, and other operating revenues. Partially offsetting those improvements were lower consumer service charges on deposit accounts. The lower level of such revenues was attributable to new regulations that went into effect during the third quarter of 2010. As compared with the final quarter of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higher residential mortgage banking revenues during the recent quarter were partially offset by lower trading account and foreign exchange gains.</w:t>
      </w:r>
    </w:p>
    <w:p>
      <w:pPr>
        <w:spacing w:after="0" w:line="12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Mortgage banking revenues totaled $45 million in the recently completed quarter, up from $41 million in the year-earlier quarter and $35 million in the fourth quarter of 2010.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$29 million in each of the first quarters of 2011 and 2010, compared with $16 million in 2010’s fourth quarter. The increase in residential mortgage banking revenues in the recent quarter as compared with the final quarter of 2010 reflects an $11 million decline in costs related to obligations to repurchase previously sold loans.</w:t>
      </w:r>
    </w:p>
    <w:p>
      <w:pPr>
        <w:spacing w:after="0" w:line="8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New commitments to originate residential mortgage loans to be sold were approximately $468 million in the recent quarter, compared with $1.0 billion in the first quarter of 2010 and $553 million in the final 2010 quarter. Similarly, closed residential mortgage loans originated for sale to other investors were approximately $371 million in the recent quarter, compared with $1.0 billion and $1.1 billion during the three-month periods ended March 31, 2010 and December 31, 2010,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$9 million in the first quarter of 2011, compared with a gain of $8 million in the first quarter of 2010 and a loss of $4 million in the fourth quarter of 2010.</w:t>
      </w:r>
    </w:p>
    <w:p>
      <w:pPr>
        <w:spacing w:after="0" w:line="70"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periods ended March 31, 2011, March 31, 2010 and December 31, 2010 were reduced by $3 million, $8 million and $14 million, respectively, related to actual and anticipated settlements of repurchase obligations.</w:t>
      </w:r>
    </w:p>
    <w:p>
      <w:pPr>
        <w:spacing w:after="0" w:line="7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Late in the third quarter of 2010, the Company began to originate certain residential real estate loans to be held in its loan portfolio, rather than continuing to sell such loans. During the fourth quarter of 2010 and the first quarter of 2011, the Company added approximately $700 million of loans to its portfolio of residential real estate loans. In general, the loans conformed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In March 2011, the Company resumed originating for sale the majority of new residential real estate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Loans held for sale that are secured by residential real estate aggregated $143 million and $353 million at March 31, 2011 and 2010, respectively,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$341 million at December 31, 2010. Commitments to sell residential mortgage loans and commitments to originate residential mortgage loans for sale at pre-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rates were $422 million and $438 million, respectively, at March 31, 2011, compared with $785 million and $640 million at March 31,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$458 million and $162 million, respectively, at December 31, 2010. Net unrealized gains on residential mortgage loans held for sale, commitments to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and commitments to originate loans for sale were $10 million and $14 million at March 31, 2011 and March 31, 2010, respectively, and $11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Changes in such net unrealized gains and losses are recorded in mortgage banking revenues and resulted in net decreases in revenue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$237 thousand in the first quarter of 2011, $1 million in the year-earlier quarter and $16 million in the final quarter of 2010.</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Revenues from servicing residential mortgage loans for others were $20 million during each of the quarters ended March 31, 2011, March 31, 2010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Included in such servicing revenues were amounts related to purchased servicing rights associated with small balance commercial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mortgage loans, which totaled $6 million in each of the first quarter of 2011 and the fourth quarter of 2010, and $7 million in the initial 2010 quarter.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 loans serviced for others were $21.4 billion at March 31, 2011, $21.7 billion at March 31, 2010 and $21.1 billion at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the small balance commercial mortgage loans noted above of approximately $5.1 billion at March 31, 2011, $5.8 billion at March 31, 2010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$5.2 billion at December 31, 2010. Capitalized residential mortgage servicing assets, net of any applicable valuation allowance for impairment,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$112 million at March 31, 2011, compared with $133 million at March 31, 2010 and $118 million at December 31, 2010. There was no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possible impairment of capitalized residential mortgage servicing assets on those respective dates. Included in capitalized residential mortgage servicing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were $23 million at March 31, 2011, $36 million at March 31, 2010 and $26 million at December 31, 2010 of purchased servicing rights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small balance commercial mortgage loans noted above. Servicing rights for the small balance commercial mortgage loans were purchased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Bayview Lending Group, LLC (“BLG”) or its affiliates. In addition, at March 31, 2011, capitalized servicing rights included $8 million for servicing rights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 $3.5 billion of residential real estate loans that were purchased from affiliates of BLG. Additional information about the Company’s relationship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BLG and its affiliates is provided in note 15 of Notes to Financial Statements.</w:t>
      </w:r>
    </w:p>
    <w:p>
      <w:pPr>
        <w:spacing w:after="0" w:line="103"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Commercial mortgage banking revenues totaled $16 million in the recent quarter, $12 million in the first quarter of 2010 and $19 million in the final 2010 quarter. Included in such amounts were revenues from loan origination and sales activities of $11 million and $8 million in the quarters ended March 31, 2011 and 2010, respectively, and $14 million in the last quarter of 2010. Commercial mortgage loan servicing revenues were $5 million in each of the two most recent quarters and $4 million in the initial quarter of 2010. Capitalized commercial mortgage servicing assets totaled $45 million at March 31, 2011, compared with $37 million and $43 million at March 31 and December 31, 2010, respectively. Commercial mortgage loans serviced for other investors totaled $8.3 billion, $7.5 billion and $8.1 billion at March 31, 2011, March 31, 2010 and December 31, 2010, respectively, and included $1.6 billion,</w:t>
      </w:r>
    </w:p>
    <w:p>
      <w:pPr>
        <w:spacing w:after="0" w:line="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$1.4 billion and $1.6 billion, respectively, of loan balances for which investors had recourse to the Company if such balances are ultimately uncollectible. Commitments to sell commercial mortgage loans and commitments to originate commercial mortgage loans for sale were $468 million and $423 million, respectively, at March 31, 2011, $131 million and $61 million, respectively, at March 31, 2010 and $276 million and $73 million, respectively, at December 31, 2010. Commercial mortgage loans held for sale at March 31, 2011 and 2010 were $45 million and $70 million, respectively, and $204 million at December 31, 2010.</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Service charges on deposit accounts aggregated $110 million in the first quarter of 2011, compared with $120 million in the year-earlier quarter and $111 million in the fourth quarter of 2010. The decline in such fees in the two most recent quarters as compared with the first quarter of 2010 was due predominantly to the new regulations that went into effect during the third quarter of 2010. The Federal Reserve and other bank regulators have adopted regulations requiring expanded disclosure of overdraft and other fees assessed to consumers and have issued guidance that requires consumers to elect to be subject to fees for certain deposit account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Trust income aggregated $29 million in the initial 2011 quarter, compared with $31 million in each of the first and fourth quarters of 2010.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waived certain fees in order to continue to pay customers a yield on their investments in proprietary money-market mutual funds. Those waived fees totaled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 million during each of the three-month periods ended March 31, 2011 and March 31, 2010, compared with $4 million during the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December 31, 2010. Brokerage services income, which includes revenues from the sale of mutual funds and annuities and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brokerage fees, totaled $14 million and $13 million in the first quarters of 2011 and 2010, respectively, and $12 million in the final quarter of 2010.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 and foreign exchange activity resulted in gains of $8 million during the quarter ended March 31, 2011, $5 million in the year-earlier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in the fourth quarter of 2010. Contributing to the higher level of such revenues in the recent quarter as compared with the initial quarter of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net increases in the market values of trading account assets held in connection with deferred compensation plans. The higher level of trading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foreign exchange gains in the fourth quarter of 2010 as compared with the recent quarter was due to higher new volumes of interest rate swap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executed on behalf of commercial customers. The Company enters into interest rate and foreign exchange contracts with customers who need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services and concomitantly enters into offsetting trading positions with third parties to minimize the risks involved with these types of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notional amount of interest rate, foreign exchange and other contracts entered into by the Company for trading account purposes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included in note 10 of Notes to Financial Statements and herein under the heading “Taxable-equivalent Net Interest Income.” Trading account 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interest rate and foreign exchange contracts totaled $4 million in the first quarter of 2011, compared with $2 million and $7 million in the first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quarters of 2010, respectively.</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Including other-than-temporary impairment losses, during the first quarter of 2011 the Company recognized net gains on investment securities of</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$23 million, compared with net losses of $26 million in the year-earlier quarter and $27 million in the fourth quarter of 2010. During the recent quarter, the Company realized gains of $39 million from the sale of residential mortgage-backed securities guaranteed by Fannie Mae and Freddie Mac held in the available-for-sale investment securities portfolio. Such securities had an amortized cost of approximately $484 million. Other-than-temporary impairment charges of $16 million, $27 million and $28 million were recorded in the quarters ended March 31, 2011, March 31, 2010 and December 31, 2010, respectively. The impairment charges were predominantly related to certain privately issued CMOs backed by real estate loans.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70" w:lineRule="exact"/>
        <w:rPr>
          <w:sz w:val="20"/>
          <w:szCs w:val="20"/>
          <w:color w:val="auto"/>
        </w:rPr>
      </w:pPr>
    </w:p>
    <w:p>
      <w:pPr>
        <w:ind w:firstLine="225"/>
        <w:spacing w:after="0" w:line="282" w:lineRule="auto"/>
        <w:rPr>
          <w:sz w:val="20"/>
          <w:szCs w:val="20"/>
          <w:color w:val="auto"/>
        </w:rPr>
      </w:pPr>
      <w:r>
        <w:rPr>
          <w:rFonts w:ascii="Arial" w:cs="Arial" w:eastAsia="Arial" w:hAnsi="Arial"/>
          <w:sz w:val="16"/>
          <w:szCs w:val="16"/>
          <w:color w:val="auto"/>
        </w:rPr>
        <w:t>M&amp;T’s share of the operating losses of BLG in each the two most recent quarters was a loss of $7 million, compared with a loss of $6 million in the first quarter of 2010. The operating losses of BLG in the respective quarters resulted from higher provisions for losses associated with securitized loans and other loans held by BLG.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has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In assessing M&amp;T’s investment in BLG for other-than-temporary impairment at March 31, 2011, the Company projected no further commercial mortgage origination and securitization activities by BLG. With respect to mortgage assets held by BLG and its affiliates, M&amp;T estimated future cash flows from those assets using various assumptions for future defaults and loss severities to arrive at an expected amount of cash flows that could be available for BLG to distribute to M&amp;T. As of March 31, 2011, the weighted-average assumption of projected default percentage on the underlying mortgage loan collateral supporting those mortgage assets was 33% and the weighted-average loss severity assumption was 70%. Lastly, M&amp;T considered different scenarios of projected cash flows that could be generated by the asset management and servicing operations of BLG’s affiliates. M&amp;T is contractually entitled to participate in distributions from those affiliates. Such estimates were derived from company-provided forecasts of financial results and through discussions with their senior management with respect to longer-term projections of growth in assets under management and asset servicing portfolios. M&amp;T then discounted the various projections using discount rates that ranged from 8% to 17%. Upon evaluation of those results, management concluded that M&amp;T’s investment in BLG was not other-than-temporarily impaired at March 31, 2011. Nevertheless, if BLG is not able to realize sufficient cash flows for the benefit of M&amp;T, the Company may be required to recognize an other-than-temporary impairment charge in a future period for some portion of the</w:t>
      </w:r>
    </w:p>
    <w:p>
      <w:pPr>
        <w:spacing w:after="0" w:line="1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$212 million book value of its investment in BLG. Information about the Company’s relationship with BLG and its affiliates is included in note 15 of Notes to Financial Statements.</w:t>
      </w:r>
    </w:p>
    <w:p>
      <w:pPr>
        <w:spacing w:after="0" w:line="76"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Other revenues from operations totaled $91 million in the first quarter of 2011, compared with $79 million in the corresponding 2010 period and $119 million in the fourth quarter of 2010. Reflected in such revenues in the fourth quarter of 2010 was the $28 million gain recorded on the K Bank acquisition transaction. Included in other revenues from operations were the following significant components. Letter of credit and other credit-related fees totaled $33 million in the recent quarter, $29 million in the first quarter of 2010 and $32 million in 2010’s final quarter. Tax-exempt income from bank owned life insurance, which includes increases in the cash surrender value of life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insurance policies and benefits received, totaled $13 million during each of the two most recent quarters, compared with $12 million in the first quarter of 2010. Revenues from merchant discount and credit card fees were $13 million and $11 million in the quarters ended March 31, 2011 and 2010, and $12 million in the quarter ended December 31, 2010. Insurance-related sales commissions and other revenues totaled $12 million, $11 million and</w:t>
      </w:r>
    </w:p>
    <w:p>
      <w:pPr>
        <w:ind w:right="240"/>
        <w:spacing w:after="0" w:line="261" w:lineRule="auto"/>
        <w:rPr>
          <w:sz w:val="20"/>
          <w:szCs w:val="20"/>
          <w:color w:val="auto"/>
        </w:rPr>
      </w:pPr>
      <w:r>
        <w:rPr>
          <w:rFonts w:ascii="Arial" w:cs="Arial" w:eastAsia="Arial" w:hAnsi="Arial"/>
          <w:sz w:val="18"/>
          <w:szCs w:val="18"/>
          <w:color w:val="auto"/>
        </w:rPr>
        <w:t>$10 million in the first quarters of 2011 and 2010 and the fourth quarter of 2010, respectively. No other revenue source contributed more than $5 million to “other revenues from operations” in any of the quarterly periods discussed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Other expense totaled $500 million in the first quarter of 2011, 2% higher than $489 million in the year-earlier quarter and 6% above $469 million in the fourth quarter of 2010. Included in the amounts noted above are expenses considered by management to be “nonoperating” in nature consisting of amortization of core deposit and other intangible assets of $12 million and $16 million in the first quarters of 2011 and 2010, respectively, and $13 million in the final 2010 quarter, and merger-related expenses of $4 million and $771 thousand in the three-month periods ended March 31, 2011 and December 31, 2010, respectively. There were no merger-related expenses in the first quarter of 2010. Exclusive of these nonoperating expenses, noninterest operating expenses totaled $483 million in the first three months of 2011, compared with $473 million and $455 million in the first and fourth quarters of 2010, respectively. The higher level of such expenses in the recent quarter as compared with the year-earlier quarter was due largely to increased costs for advertising, processing and other professional services. The rise in expenses from the fourth quarter of 2010 was predominantly the result of seasonally higher stock-based compensation, payroll-related taxes and benefits costs. Table 2 provides a reconciliation of other expense to noninterest operating expense.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aggregated $266 million in the recent quarter, compared with $264 million in the first quarter of 2010 and</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$243 million in 2010’s fourth quarter. Contributing to the increase in salaries and employee benefits expense in the recent quarter as compared with the fourth quarter of 2010 were higher stock-based compensation and payroll-related taxes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2011 and 2010 included $8 million and $7 million, respectively, that would have been recognized over the normal four-year vesting period if not for the accelerated expense recognition provisions of GAAP. That acceleration had no effect on the value of stock-based compensation awarded to employees. Salaries and benefits expense included stock-based compensation of $20 million in each of the quarters ended March 31, 2011 and March 31, 2010 and $11 million in the quarter ended December 31, 2010. The number of full-time equivalent employees was 12,715 at March 31, 2011, compared with 13,226 and 12,802 at March 31, 2010 and December 31, 2010, respectively.</w:t>
      </w:r>
    </w:p>
    <w:p>
      <w:pPr>
        <w:spacing w:after="0" w:line="58"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Excluding the nonoperating expenses described earlier from each quarter, nonpersonnel operating expenses were $217 million and $209 million in the quarters ended March 31, 2011 and March 31, 2010, respectively, and $212 million in the fourth quarter of 2010. The rise in such expenses in the recent quarter as compared with the year-earlier quarter was due, in part, to higher costs for advertising, processing and other professional services. Nonpersonnel operating expenses in 2010’s fourth quarter reflected a $6 million reversal of the valuation allowance for impairment of capitalized residential mortgage servicing rights.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efficiency ratio, or noninterest operating expenses (as defined above) divided by the sum of taxable-equivalent net interest income and noninterest income (exclusive of gains and losses from bank investment securities and gains on merger transactions), measures the relationship of noninterest operating expenses to revenues. The Company’s efficiency ratio was 55.8% in the first quarter of 2011, compared with 55.9% in the year-earlier period and 52.5% in the fourth quarter of 2010. Noninterest operating expenses used in calculating the efficiency ratio exclude the amortization of core deposit and other intangible assets and the merger-related expenses noted earlier. If charges for amortization of core deposit and other intangible assets were included, the efficiency ratio for the three-month periods ended March 31, 2011, March 31, 2010 and December 31, 2010 would have been 57.2%, 57.8% and 54.1%,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provision for income taxes for each of the quarters ended March 31, 2011 and December 31, 2010 was $102 million, compared with $69 million in the first quarter of 2010. The effective tax rates were 33.2%, 31.3% and 33.4% for the quarters ended March 31, 2011, March 31, 2010 and December 31, 2010,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80"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was $8.5 billion at March 31, 2011, representing 12.53% of total assets, compared with $7.9 billion or 11.57% at March 31, 2010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$8.4 billion or 12.29% at December 31, 2010. Included in shareholders’ equity at those dates was $751.5 million of Series A and Series C Fixed 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Cumulative Perpetual Preferred Stock and warrants to purchase M&amp;T common stock issued as part of the U.S. Treasury Capital Purchase Program.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stock totaling $600 million was issued by M&amp;T in the fourth quarter of 2008 and the Series C preferred stock totaling $151.5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assumed by M&amp;T in a 2009 acquisition. The financial statement value of the Series A and Series C preferred stock was $717 million at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$706 million at March 31, 2010 and $714 million at December 31, 2010. The Series A and Series C preferred stock pays quarterly cumulative cash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5% per annum for five years after the initial 2008 issuance dates and 9% per annum thereafter. That preferred stock is redeemable at the option of M&amp;T,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regulatory approval. M&amp;T also obtained another series of preferred stock as part of a 2009 acquisition that was converted to $26.5 million of M&amp;T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Mandatory Convertible Non-Cumulative Preferred Stock, liquidation preference of $1,000 per share. The Series B Preferred Stock paid quarterly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at a rate of 10% per annum. In accordance with their terms, on April 1, 2011, the 26,500 shares of the Series B Preferred Stock converted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433,144 shares of M&amp;T common stock.</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Common shareholders’ equity was $7.8 billion, or $64.43 per share, at March 31, 2011, compared with $7.2 billion, or $60.40 per share, at March 31, 2010 and $7.6 billion, or $63.54 per share, at December 31, 2010. Tangible equity per common share, which excludes goodwill and core deposit and other intangible assets and applicable deferred tax balances, was $34.38 at March 31, 2011, $29.59 at March 31, 2010 and $33.26 at December 31, 2010. The Company’s ratio of tangible common equity to tangible assets was 6.44% at March 31, 2011, compared with 5.43% a year earlier and 6.19% at December 31, 2010. Reconciliations of total common shareholders’ equity and tangible common equity and total assets and tangible assets as of each of those respective dates are presented in table 2.</w:t>
      </w:r>
    </w:p>
    <w:p>
      <w:pPr>
        <w:spacing w:after="0" w:line="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available-for-sale, unrealized losses on held-to-maturity securities for which an other-than-temporary impairment charge has been recognized, gains or losses associated with interest rate swap agreements designated as cash flow hedges, and adjustments to reflect the funded status of defined benefit pension and other postretirement plans. Net unrealized losses on investment securities, net of applicable tax effect, were $79 million, or $.66 per common share, at March 31, 2011, compared with similar losses of $140 million, or $1.18 per common share, at March 31, 2010 and $85 million, or $.71 per common share, at December 31, 2010. Such unrealized losses represent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and the remaining unrealized losses on held-to-maturity securities for which an other-than-temporary impairment charge has been recognized. Information about unrealized gains and losses as of March 31, 2011 and December 31, 2010 is included in note 3 of Notes to Financial Statements.</w:t>
      </w:r>
    </w:p>
    <w:p>
      <w:pPr>
        <w:spacing w:after="0" w:line="7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Reflected in net unrealized losses at March 31, 2011 were pre tax-effect unrealized losses of $266 million on available-for-sale investment securities with an amortized cost of $1.5 billion and pre tax-effect unrealized gains of $189 million on securities with an amortized cost of $3.4 billion. The pre tax-effect unrealized losses reflect $222 million of losses on privately issued residential mortgage-backed securities with an amortized cost of $1.2 billion and an estimated fair value of $1.0 billion (considered Level 3 valuations) and $38 million of losses on trust preferred securities issued by financial institutions, securities backed by trust preferred securities issued by financial institutions and other entities, and other debt securities having an amortized cost of $161 million and an estimated fair value of $123 million (generally considered Level 2 valuations).</w:t>
      </w:r>
    </w:p>
    <w:p>
      <w:pPr>
        <w:spacing w:after="0" w:line="70"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March 31, 2011. As with any accounting estimate or other data, changes in fair values and investment ratings may occur at any time.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center"/>
              <w:ind w:right="548"/>
              <w:spacing w:after="0"/>
              <w:rPr>
                <w:sz w:val="20"/>
                <w:szCs w:val="20"/>
                <w:color w:val="auto"/>
              </w:rPr>
            </w:pPr>
            <w:r>
              <w:rPr>
                <w:rFonts w:ascii="Arial" w:cs="Arial" w:eastAsia="Arial" w:hAnsi="Arial"/>
                <w:sz w:val="14"/>
                <w:szCs w:val="14"/>
                <w:color w:val="auto"/>
              </w:rPr>
              <w:t>Net</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6"/>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740"/>
              <w:spacing w:after="0" w:line="123" w:lineRule="exact"/>
              <w:rPr>
                <w:sz w:val="20"/>
                <w:szCs w:val="20"/>
                <w:color w:val="auto"/>
              </w:rPr>
            </w:pPr>
            <w:r>
              <w:rPr>
                <w:rFonts w:ascii="Arial" w:cs="Arial" w:eastAsia="Arial" w:hAnsi="Arial"/>
                <w:sz w:val="14"/>
                <w:szCs w:val="14"/>
                <w:color w:val="auto"/>
                <w:w w:val="95"/>
              </w:rPr>
              <w:t>Amortized</w:t>
            </w:r>
          </w:p>
        </w:tc>
        <w:tc>
          <w:tcPr>
            <w:tcW w:w="1460" w:type="dxa"/>
            <w:vAlign w:val="bottom"/>
            <w:gridSpan w:val="2"/>
          </w:tcPr>
          <w:p>
            <w:pPr>
              <w:jc w:val="right"/>
              <w:ind w:right="940"/>
              <w:spacing w:after="0" w:line="123" w:lineRule="exact"/>
              <w:rPr>
                <w:sz w:val="20"/>
                <w:szCs w:val="20"/>
                <w:color w:val="auto"/>
              </w:rPr>
            </w:pPr>
            <w:r>
              <w:rPr>
                <w:rFonts w:ascii="Arial" w:cs="Arial" w:eastAsia="Arial" w:hAnsi="Arial"/>
                <w:sz w:val="14"/>
                <w:szCs w:val="14"/>
                <w:color w:val="auto"/>
              </w:rPr>
              <w:t>Fair</w:t>
            </w:r>
          </w:p>
        </w:tc>
        <w:tc>
          <w:tcPr>
            <w:tcW w:w="1400" w:type="dxa"/>
            <w:vAlign w:val="bottom"/>
            <w:gridSpan w:val="2"/>
          </w:tcPr>
          <w:p>
            <w:pPr>
              <w:jc w:val="center"/>
              <w:ind w:right="568"/>
              <w:spacing w:after="0" w:line="123" w:lineRule="exact"/>
              <w:rPr>
                <w:sz w:val="20"/>
                <w:szCs w:val="20"/>
                <w:color w:val="auto"/>
              </w:rPr>
            </w:pPr>
            <w:r>
              <w:rPr>
                <w:rFonts w:ascii="Arial" w:cs="Arial" w:eastAsia="Arial" w:hAnsi="Arial"/>
                <w:sz w:val="14"/>
                <w:szCs w:val="14"/>
                <w:color w:val="auto"/>
                <w:w w:val="92"/>
              </w:rPr>
              <w:t>unrealized</w:t>
            </w:r>
          </w:p>
        </w:tc>
        <w:tc>
          <w:tcPr>
            <w:tcW w:w="1000" w:type="dxa"/>
            <w:vAlign w:val="bottom"/>
            <w:gridSpan w:val="2"/>
          </w:tcPr>
          <w:p>
            <w:pPr>
              <w:ind w:left="180"/>
              <w:spacing w:after="0" w:line="123" w:lineRule="exact"/>
              <w:rPr>
                <w:sz w:val="20"/>
                <w:szCs w:val="20"/>
                <w:color w:val="auto"/>
              </w:rPr>
            </w:pPr>
            <w:r>
              <w:rPr>
                <w:rFonts w:ascii="Arial" w:cs="Arial" w:eastAsia="Arial" w:hAnsi="Arial"/>
                <w:sz w:val="14"/>
                <w:szCs w:val="14"/>
                <w:color w:val="auto"/>
              </w:rPr>
              <w:t>AAA</w:t>
            </w:r>
          </w:p>
        </w:tc>
        <w:tc>
          <w:tcPr>
            <w:tcW w:w="360" w:type="dxa"/>
            <w:vAlign w:val="bottom"/>
          </w:tcPr>
          <w:p>
            <w:pPr>
              <w:spacing w:after="0"/>
              <w:rPr>
                <w:sz w:val="10"/>
                <w:szCs w:val="10"/>
                <w:color w:val="auto"/>
              </w:rPr>
            </w:pPr>
          </w:p>
        </w:tc>
        <w:tc>
          <w:tcPr>
            <w:tcW w:w="138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3"/>
              </w:rPr>
              <w:t>Investment</w:t>
            </w:r>
          </w:p>
        </w:tc>
        <w:tc>
          <w:tcPr>
            <w:tcW w:w="660" w:type="dxa"/>
            <w:vAlign w:val="bottom"/>
          </w:tcPr>
          <w:p>
            <w:pPr>
              <w:jc w:val="right"/>
              <w:ind w:right="53"/>
              <w:spacing w:after="0" w:line="123" w:lineRule="exact"/>
              <w:rPr>
                <w:sz w:val="20"/>
                <w:szCs w:val="20"/>
                <w:color w:val="auto"/>
              </w:rPr>
            </w:pPr>
            <w:r>
              <w:rPr>
                <w:rFonts w:ascii="Arial" w:cs="Arial" w:eastAsia="Arial" w:hAnsi="Arial"/>
                <w:sz w:val="14"/>
                <w:szCs w:val="14"/>
                <w:color w:val="auto"/>
              </w:rPr>
              <w:t>Senior</w:t>
            </w:r>
          </w:p>
        </w:tc>
        <w:tc>
          <w:tcPr>
            <w:tcW w:w="160" w:type="dxa"/>
            <w:vAlign w:val="bottom"/>
          </w:tcPr>
          <w:p>
            <w:pPr>
              <w:spacing w:after="0"/>
              <w:rPr>
                <w:sz w:val="10"/>
                <w:szCs w:val="10"/>
                <w:color w:val="auto"/>
              </w:rPr>
            </w:pPr>
          </w:p>
        </w:tc>
      </w:tr>
      <w:tr>
        <w:trPr>
          <w:trHeight w:val="167"/>
        </w:trPr>
        <w:tc>
          <w:tcPr>
            <w:tcW w:w="2780" w:type="dxa"/>
            <w:vAlign w:val="bottom"/>
            <w:gridSpan w:val="3"/>
          </w:tcPr>
          <w:p>
            <w:pPr>
              <w:spacing w:after="0"/>
              <w:rPr>
                <w:sz w:val="20"/>
                <w:szCs w:val="20"/>
                <w:color w:val="auto"/>
              </w:rPr>
            </w:pPr>
            <w:r>
              <w:rPr>
                <w:rFonts w:ascii="Arial" w:cs="Arial" w:eastAsia="Arial" w:hAnsi="Arial"/>
                <w:sz w:val="14"/>
                <w:szCs w:val="14"/>
                <w:color w:val="auto"/>
              </w:rPr>
              <w:t>Collateral type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color w:val="auto"/>
                <w:w w:val="93"/>
              </w:rPr>
              <w:t>cost</w:t>
            </w:r>
          </w:p>
        </w:tc>
        <w:tc>
          <w:tcPr>
            <w:tcW w:w="1460" w:type="dxa"/>
            <w:vAlign w:val="bottom"/>
            <w:gridSpan w:val="2"/>
          </w:tcPr>
          <w:p>
            <w:pPr>
              <w:jc w:val="right"/>
              <w:ind w:right="900"/>
              <w:spacing w:after="0"/>
              <w:rPr>
                <w:sz w:val="20"/>
                <w:szCs w:val="20"/>
                <w:color w:val="auto"/>
              </w:rPr>
            </w:pPr>
            <w:r>
              <w:rPr>
                <w:rFonts w:ascii="Arial" w:cs="Arial" w:eastAsia="Arial" w:hAnsi="Arial"/>
                <w:sz w:val="14"/>
                <w:szCs w:val="14"/>
                <w:color w:val="auto"/>
              </w:rPr>
              <w:t>value</w:t>
            </w:r>
          </w:p>
        </w:tc>
        <w:tc>
          <w:tcPr>
            <w:tcW w:w="1400" w:type="dxa"/>
            <w:vAlign w:val="bottom"/>
            <w:gridSpan w:val="2"/>
          </w:tcPr>
          <w:p>
            <w:pPr>
              <w:jc w:val="center"/>
              <w:ind w:right="548"/>
              <w:spacing w:after="0"/>
              <w:rPr>
                <w:sz w:val="20"/>
                <w:szCs w:val="20"/>
                <w:color w:val="auto"/>
              </w:rPr>
            </w:pPr>
            <w:r>
              <w:rPr>
                <w:rFonts w:ascii="Arial" w:cs="Arial" w:eastAsia="Arial" w:hAnsi="Arial"/>
                <w:sz w:val="14"/>
                <w:szCs w:val="14"/>
                <w:color w:val="auto"/>
                <w:w w:val="90"/>
              </w:rPr>
              <w:t>gains (losses)</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rated</w:t>
            </w:r>
          </w:p>
        </w:tc>
        <w:tc>
          <w:tcPr>
            <w:tcW w:w="36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77"/>
              </w:rPr>
              <w:t>thousands)</w:t>
            </w: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Residential mortgage loans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Prime — Fixed</w:t>
            </w:r>
          </w:p>
        </w:tc>
        <w:tc>
          <w:tcPr>
            <w:tcW w:w="8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81,534</w:t>
            </w:r>
          </w:p>
        </w:tc>
        <w:tc>
          <w:tcPr>
            <w:tcW w:w="146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8"/>
                <w:szCs w:val="18"/>
                <w:color w:val="auto"/>
              </w:rPr>
              <w:t>86,728</w:t>
            </w:r>
          </w:p>
        </w:tc>
        <w:tc>
          <w:tcPr>
            <w:tcW w:w="1400" w:type="dxa"/>
            <w:vAlign w:val="bottom"/>
            <w:tcBorders>
              <w:top w:val="single" w:sz="8" w:color="CCEEFF"/>
            </w:tcBorders>
            <w:gridSpan w:val="2"/>
          </w:tcPr>
          <w:p>
            <w:pPr>
              <w:jc w:val="right"/>
              <w:ind w:right="548"/>
              <w:spacing w:after="0"/>
              <w:rPr>
                <w:sz w:val="20"/>
                <w:szCs w:val="20"/>
                <w:color w:val="auto"/>
              </w:rPr>
            </w:pPr>
            <w:r>
              <w:rPr>
                <w:rFonts w:ascii="Arial" w:cs="Arial" w:eastAsia="Arial" w:hAnsi="Arial"/>
                <w:sz w:val="18"/>
                <w:szCs w:val="18"/>
                <w:color w:val="auto"/>
              </w:rPr>
              <w:t>5,194</w:t>
            </w:r>
          </w:p>
        </w:tc>
        <w:tc>
          <w:tcPr>
            <w:tcW w:w="100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66%</w:t>
            </w:r>
          </w:p>
        </w:tc>
        <w:tc>
          <w:tcPr>
            <w:tcW w:w="1740" w:type="dxa"/>
            <w:vAlign w:val="bottom"/>
            <w:tcBorders>
              <w:top w:val="single" w:sz="8" w:color="CCEEFF"/>
            </w:tcBorders>
            <w:gridSpan w:val="3"/>
          </w:tcPr>
          <w:p>
            <w:pPr>
              <w:jc w:val="right"/>
              <w:ind w:right="560"/>
              <w:spacing w:after="0"/>
              <w:rPr>
                <w:sz w:val="20"/>
                <w:szCs w:val="20"/>
                <w:color w:val="auto"/>
              </w:rPr>
            </w:pPr>
            <w:r>
              <w:rPr>
                <w:rFonts w:ascii="Arial" w:cs="Arial" w:eastAsia="Arial" w:hAnsi="Arial"/>
                <w:sz w:val="18"/>
                <w:szCs w:val="18"/>
                <w:color w:val="auto"/>
              </w:rPr>
              <w:t>68%</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Hybrid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1,339,862</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1,182,372</w:t>
            </w:r>
          </w:p>
        </w:tc>
        <w:tc>
          <w:tcPr>
            <w:tcW w:w="14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(157,490)</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Prime —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1,720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1,548</w:t>
            </w: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(172)</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Fixed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7,371</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8,677</w:t>
            </w:r>
          </w:p>
        </w:tc>
        <w:tc>
          <w:tcPr>
            <w:tcW w:w="14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1,306</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Alt-A — Hybrid ARMs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164,235</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109,254</w:t>
            </w: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(54,981)</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Option ARMs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181</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14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5,207</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3,091</w:t>
            </w: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(2,116)</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1,600,110</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1,391,878</w:t>
            </w:r>
          </w:p>
        </w:tc>
        <w:tc>
          <w:tcPr>
            <w:tcW w:w="14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(208,232)</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r>
      <w:tr>
        <w:trPr>
          <w:trHeight w:val="20"/>
        </w:trPr>
        <w:tc>
          <w:tcPr>
            <w:tcW w:w="1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39"/>
        </w:trPr>
        <w:tc>
          <w:tcPr>
            <w:tcW w:w="278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23,232</w:t>
            </w:r>
          </w:p>
        </w:tc>
        <w:tc>
          <w:tcPr>
            <w:tcW w:w="64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20,467</w:t>
            </w: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(2,765)</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100</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1,623,342</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1,412,345</w:t>
            </w:r>
          </w:p>
        </w:tc>
        <w:tc>
          <w:tcPr>
            <w:tcW w:w="14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(210,997)</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information is as of March 31, 2011.</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Reflecting the credit stress associated with residential mortgage loans, trading activity for privately issued mortgage-backed securities has been reduced. In estimating values for such securities, the Company was significantly restricted in the level of market observable assumptions used in the valuation of its privately issued mortgage-backed securities portfolio. Because of the reduced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March 31, 2011 and December 31, 2010.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$1.4 billion at March 31, 2011 and $1.5 billion at December 31,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at March 31, 2011 was 34%, compared with a 66% weighting on valuations provided by the independent sources. Generally, the range of weights placed on internal valuations were between 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40%. Further information concerning the Company’s valuations of privately issued mortgage-backed securities can be found in note 12 of Notes to Financial Statements.</w:t>
      </w:r>
    </w:p>
    <w:p>
      <w:pPr>
        <w:spacing w:after="0" w:line="6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During the quarter ended March 31, 2011, the Company recognized $16 million (pre-tax) of other-than-temporary impairment losses related to privately issued mortgage-backed securities with an amortized cost basis (before impairment charge) of $196 million. Approximately $8 million of such losses related to mortgage-backed securities in the Company’s held-to-maturity portfolio.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For privately issued residential mortgage-backed securities in the Company’s available-for-sale portfolio, the model utilized assumptions about the underlying performance of the mortgage loan collateral considering recent collateral performance and future assumptions regarding default and loss severity. At March 31, 2011, projected model default percentages on the underlying mortgage loan collateral ranged from 1% to 44% and loss severities ranged from 28% to 72%. For bonds in which the Company has recognized an other-than-temporary impairment charge, the weighted-average percentage of default collateral was 24% and the weighted-average loss severity was 50%. For bonds without other-than-temporary impairment losses, the weighted-average default percentage and loss severity were 11% and 40%, respectively. Underlying mortgage loan collateral cash flows, after considering the impact of estimated credit losses, were distributed by the model to the various securities within the securitization structure to determine the timing and extent of losses at the bond level, if any. Despite continuing high levels of delinquencies and losses in the underlying residential mortgage loan collateral, given credit enhancements resulting from the structures of individual bonds, the Company has concluded that as of March 31, 2011 its remaining privately issued mortgage-backed securities were not other-than-temporarily impaired. Nevertheless, given recent market conditions, it is possible that adverse changes in repayment performance and fair value could occur in the remainder of 2011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w:t>
      </w:r>
    </w:p>
    <w:p>
      <w:pPr>
        <w:spacing w:after="0" w:line="283"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During the first quarter of 2011, the Company recognized an $8 million (pre-tax) other-than-temporary impairment charge related to CMOs in the held-to-maturity portfolio having an amortized cost (before impairment charge) of $14 million. Similar to its evaluation of available-for-sale privately issued mortgage-backed securities, the Company assessed impairment losses on those CMOs by performing internal modeling to estimate bond-specific cash flows, which considered the placement of the bond in the overall securitization structure and the remaining subordination levels. In total, at March 31, 2011 and December 31, 2010, the Company had in its held-to-maturity portfolio CMOs with an amortized cost basis of $300 million and $313 million (after impairment charges), respectively, and a fair value of $199 million and $198 million, respectively.</w:t>
      </w:r>
    </w:p>
    <w:p>
      <w:pPr>
        <w:spacing w:after="0" w:line="70"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At March 31, 2011, the Company also had pre-tax unrealized losses of $38 million on $161 million of trust preferred securities issued by financial institutions, securities backed by trust preferred securities issued by financial institutions and other entities, and other debt securities (reflecting $8 million of unrealized losses on $29 million of securities using a Level 3 valuation). After evaluating the expected repayment performance of financial institutions where trust preferred securities were held directly by the Company or were within CDOs backed by trust preferred securities obtained</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acquisitions, the Company did not recognize any other-than-temporary impairment losses related to those securities during the quarter ended March 31, 2011.</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comparing the amortized cost and fair value of investment securities is included in note 3 of Notes to Financial Statements.</w:t>
      </w:r>
    </w:p>
    <w:p>
      <w:pPr>
        <w:spacing w:after="0" w:line="117"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As of March 31, 2011,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could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75"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$119 million or $.99 per common share, at March 31, 2011, $121 million, or $1.01 per common share, at December 31, 2010, and $116 million, or $.98 per common share, at March 31, 2010.</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Cash dividends declared on M&amp;T’s common stock during the quarter ended March 31, 2011 totaled $85 million, compared with $84 million in each of the quarters ended March 31, 2010 and December 31, 2010, and represented a quarterly dividend payment of $.70 per common share in each of those three quarters. A cash dividend of $7.5 million, or $12.50 per share, was paid in each of the first quarters of 2011 and 2010 in and the fourth quarter of 2010 to the U.S. Treasury on M&amp;T’s Series A Preferred Stock, issued on December 23, 2008. Cash dividends of $663 thousand and $2 million ($25.00 per share and $12.50 per share) were paid on M&amp;T’s Series B and Series C Preferred Stock, respectively, during each of the quarters ended March 31, 2011, March 31, 2010 and December 31, 2010.</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2010 or the first quarter of 2011.</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March 31, 2011, Tier 1 capital included trust preferred securities of $1.1 billion as described in note 5 of Notes to Financial Statements and total capital further included subordinated capital notes of $1.5 billion. Pursuant to the Dodd-Frank Act, trust preferred securities will be phased-out of the definition of Tier 1 capital of bank holding companies.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March 31, 2011 are presented in the accompanying table.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380" w:type="dxa"/>
            <w:vAlign w:val="bottom"/>
            <w:gridSpan w:val="2"/>
          </w:tcPr>
          <w:p>
            <w:pPr>
              <w:jc w:val="right"/>
              <w:ind w:right="88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M&amp;T</w:t>
            </w:r>
          </w:p>
        </w:tc>
      </w:tr>
      <w:tr>
        <w:trPr>
          <w:trHeight w:val="167"/>
        </w:trPr>
        <w:tc>
          <w:tcPr>
            <w:tcW w:w="762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color w:val="auto"/>
                <w:w w:val="92"/>
              </w:rPr>
              <w:t>(Consolidated)</w:t>
            </w:r>
          </w:p>
        </w:tc>
        <w:tc>
          <w:tcPr>
            <w:tcW w:w="1380" w:type="dxa"/>
            <w:vAlign w:val="bottom"/>
            <w:gridSpan w:val="2"/>
          </w:tcPr>
          <w:p>
            <w:pPr>
              <w:jc w:val="right"/>
              <w:ind w:right="900"/>
              <w:spacing w:after="0"/>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Bank, N.A.</w:t>
            </w:r>
          </w:p>
        </w:tc>
      </w:tr>
      <w:tr>
        <w:trPr>
          <w:trHeight w:val="20"/>
        </w:trPr>
        <w:tc>
          <w:tcPr>
            <w:tcW w:w="7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9.76%</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Total capital</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13.38%</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12.46%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30.17%</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38"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Net income earned by the Business Banking segment totaled $26 million in the first three months of 2011, up 4% from $25 million recorded in the first quarter of 2010 and 18% above $22 million in 2010’s fourth quarter. A $5 million decline in the provision for credit losses, resulting from lower net charge-offs of loans, was the most significant factor contributing to the increased net income as compared with the year-earlier quarter. The rise in net income from fourth quarter of 2010 was primarily attributable to a $7 million decrease in the provision for credit losses, due to a decline in net charge-offs of loans.</w:t>
      </w:r>
    </w:p>
    <w:p>
      <w:pPr>
        <w:spacing w:after="0" w:line="46"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Commercial Banking segment recorded net income of $88 million in 2011’s initial quarter, a 15% improvement from the $77 million earned in the similar 2010 quarter and 5% higher than $84 million of net income recorded in the three months ended December 31, 2010. The increase in net income as compared with 2010’s first quarter reflects higher net interest income of $12 million and a $5 million rise in credit-related fees, including fees earned for providing loan syndication services. The improvement in net interest income was due to a 12 basis point widening of the net interest margin on loans, higher average outstanding loan balances of $579 million, and a $1.2 billion increase in average deposit balances. A $6 million decrease in the provision for credit losses, due to lower net charge-offs of loans, was the primary factor contributing to the higher net income earned in the recent quarter as compared with the immediately preceding quarter.</w:t>
      </w:r>
    </w:p>
    <w:p>
      <w:pPr>
        <w:spacing w:after="0" w:line="81"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The Commercial Real Estate segment’s net income aggregated $49 million in 2011’s initial quarter, as compared with $44 million in the year-earlier quarter and $62 million in the fourth quarter of 2010. A $10 million improvement in net interest income, the result of a 32 basis point expansion of the net interest margin on loans, was the most significant contributor to the increase in net income as compared with the year-earlier quarter. The main factor contributing to the recent quarter’s decline in net income as compared with 2010’s fourth quarter was an $18 million rise in the provision for credit losses, resulting from higher net charge-offs of loans.</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Net income in the Discretionary Portfolio segment totaled $16 million in the recent quarter, compared with net losses of $16 million in each of the first and fourth quarters of 2010. Included in this segment’s recent quarter results were $39 million of gains realized on the sale of investment securities, predominantly comprised of residential mortgage-backed securities guaranteed by Fannie Mae and Freddie Mac. Also reflected in this segment’s results were other-than-temporary impairment charges totaling $16 million, $27 million and $28 million recorded in the quarters ended March 31, 2011, March 31, 2010 and December 31, 2010, respectively. Such impairment charges were primarily related to privately issued CMOs. Excluding the impact in each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of the periods of securities gains and impairment charges, the improvement in the recent quarter’s performance as compared with the two earlier quarters was largely attributable to higher net interest income that reflects a widening of the net interest margin on investment securities.</w:t>
      </w:r>
    </w:p>
    <w:p>
      <w:pPr>
        <w:spacing w:after="0" w:line="38"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Residential Mortgage Banking segment’s net income was $5 million in the first quarter of 2011, compared with $595 thousand and $2 million earned in the first and fourth quarters of 2010, respectively. The improvement from the year-earlier quarter reflects an $8 million decrease in the provision for credit losses due largely to lower net charge-offs of loans to builders and developers of residential real estate. The main factors for this segment’s increase in net income in the recent quarter as compared with the immediately preceding quarter include a $9 million decline in the provision for credit losses, the result of lower net charge-offs of loans, and a $3 million reduction in personnel costs. Partially offsetting those favorable factors were a partial reversal of the capitalized mortgage servicing rights valuation allowance in the fourth quarter of 2010 (as compared with no change in such allowance in the recent quarter) and a decrease in net interest income in the first quarter of 2011. The impact of each of those two factors was $3 million. The lower net interest income was predominantly due to a $222 million decrease in average outstanding loan balances and a 22 basis point narrowing of the net interest margin on loans.</w:t>
      </w:r>
    </w:p>
    <w:p>
      <w:pPr>
        <w:spacing w:after="0" w:line="58"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Net contribution from the Retail Banking segment totaled $53 million in the recent quarter, down 11% from the $59 million earned in last year’s first quarter, but 21% improved from $44 million recorded during the quarter ended December 31, 2010. A $9 million decline in fees earned for providing deposit account services and a $4 million decrease in net interest income, the result of a 9 basis point narrowing of the net interest margin on deposits and a</w:t>
      </w:r>
    </w:p>
    <w:p>
      <w:pPr>
        <w:ind w:right="80"/>
        <w:spacing w:after="0" w:line="292" w:lineRule="auto"/>
        <w:rPr>
          <w:sz w:val="20"/>
          <w:szCs w:val="20"/>
          <w:color w:val="auto"/>
        </w:rPr>
      </w:pPr>
      <w:r>
        <w:rPr>
          <w:rFonts w:ascii="Arial" w:cs="Arial" w:eastAsia="Arial" w:hAnsi="Arial"/>
          <w:sz w:val="16"/>
          <w:szCs w:val="16"/>
          <w:color w:val="auto"/>
        </w:rPr>
        <w:t>$610 million decline in average outstanding loan balances, contributed to the recent quarter’s lower net income as compared with the first quarter of 2010. Factors contributing to the rise in net income in the first quarter of 2011 as compared with the fourth quarter of 2010 included: a $5 million increase in net interest income, due to a 13 basis point widening of the net interest margin on deposits and a $330 million rise in average deposit balances, partly offset by a $256 million decrease in average outstanding loan balances; a decline in the provision for credit losses of $4 million, mainly resulting from a decrease in net loan charge-offs; and lower costs for advertising and promotion ($3 million) and professional services ($2 million).</w:t>
      </w:r>
    </w:p>
    <w:p>
      <w:pPr>
        <w:spacing w:after="0" w:line="55"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various components of the “All Other” category resulted in net losses of $31 million and $38 million in the quarters ended March 31, 2011 and 2010, respectively, compared with net income of $6 million recorded in the fourth quarter of 2010. The favorable impact from the Company’s allocation methodologies for internal transfers for funding charges and credits associated with the earning assets and interest-bearing liabilities of the Company’s reportable segments and the provision for credit losses were the main factors contributing to the recent quarter’s lower net loss as compared with the corresponding 2010 quarter. Those factors were partially offset by $4 million of merger-related expenses recorded in the recent quarter. There were no merger-related expenses in the initial 2010 quarter. The decline in net contribution in the first quarter of 2011 as compared with 2010’s final quarter can be attributed to a $32 million increase in personnel costs associated with the business and support units included in the “All Other”</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category and a $27 million net merger-related gain recorded in the fourth quarter of 2010 (compared with the recent quarter’s $4 million of merger-related expenses). The higher personnel costs were largely related to seasonally higher stock-based compensation, payroll-related taxes and employer contributions for retirement savings plan benefits related to incentive compensation payments, and unemployment insurance.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April 2011, the FASB issued amended accounting and disclosure guidance relating to a creditor’s determination of whether a restructuring is a troubled debt restructuring. The amendments clarify the guidance on a creditor’s evaluation of whether it has granted a concession and whether a debtor is experiencing financial difficulties. The amendments are effective for the first interim or annual period beginning on or after June 15, 2011 and should be applied retrospectively to the beginning of the annual period of adoption. As a result of the application of the amendments, receivables previously measured under loss contingency guidance that are newly considered impaired should be disclosed, along with the related allowance for credit losses, as of the end of the period of adoption. For purposes of measuring impairment of those receivables, an entity should apply the amendments prospectively for the first interim or annual period beginning on or after June 15, 2011. The deferred credit risk disclosure guidance issued in July 2010 relating to troubled debt restructurings will now be effective for interim and annual periods beginning on or after June 15, 2011. The Company intends to comply with the new accounting and disclosure requirements.</w:t>
      </w:r>
    </w:p>
    <w:p>
      <w:pPr>
        <w:spacing w:after="0" w:line="89"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In December 2010, the FASB issued amended disclosure guidance relating to the pro forma information for business combinations that occurred in the current reporting period. The amended disclosure states that if an entity presents comparative financial statements, the entity should disclose revenue and earnings of the combined entity as though the business combination(s) that occurred during the current year had occurred as of the beginning of the comparable prior annual reporting period. The guidance is effective prospectively for business combinations for which the acquisition date is on or after the beginning of the first annual reporting period beginning on or after December 15, 2010. The Company intends to comply with the disclosure requirements.</w:t>
      </w:r>
    </w:p>
    <w:p>
      <w:pPr>
        <w:spacing w:after="0" w:line="5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October 2010, the FASB issued amended accounting guidance relating to the goodwill impairment test for reporting units with zero or negative carrying amounts. For those reporting units with zero or negative carrying amounts, an entity is required to perform “Step Two”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guidance is effective for fiscal years, and interim periods within those years, beginning after December 15, 2010. The Company does not anticipate that the adoption of this guidance will have a significant impact on the reporting of its financial position or results of its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we assume no duty to update forward-looking statements.</w:t>
      </w:r>
    </w:p>
    <w:p>
      <w:pPr>
        <w:spacing w:after="0" w:line="63"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Table 1</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2011</w:t>
            </w:r>
          </w:p>
        </w:tc>
        <w:tc>
          <w:tcPr>
            <w:tcW w:w="1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Quarters</w:t>
            </w: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90"/>
              <w:spacing w:after="0" w:line="155" w:lineRule="exact"/>
              <w:rPr>
                <w:sz w:val="20"/>
                <w:szCs w:val="20"/>
                <w:color w:val="auto"/>
              </w:rPr>
            </w:pPr>
            <w:r>
              <w:rPr>
                <w:rFonts w:ascii="Arial" w:cs="Arial" w:eastAsia="Arial" w:hAnsi="Arial"/>
                <w:sz w:val="14"/>
                <w:szCs w:val="14"/>
                <w:color w:val="auto"/>
              </w:rPr>
              <w:t>First Quarter</w:t>
            </w:r>
          </w:p>
        </w:tc>
        <w:tc>
          <w:tcPr>
            <w:tcW w:w="156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color w:val="auto"/>
              </w:rPr>
              <w:t>Fourth</w:t>
            </w:r>
          </w:p>
        </w:tc>
        <w:tc>
          <w:tcPr>
            <w:tcW w:w="1960" w:type="dxa"/>
            <w:vAlign w:val="bottom"/>
            <w:tcBorders>
              <w:bottom w:val="single" w:sz="8" w:color="auto"/>
            </w:tcBorders>
          </w:tcPr>
          <w:p>
            <w:pPr>
              <w:jc w:val="right"/>
              <w:ind w:right="971"/>
              <w:spacing w:after="0" w:line="155" w:lineRule="exact"/>
              <w:rPr>
                <w:sz w:val="20"/>
                <w:szCs w:val="20"/>
                <w:color w:val="auto"/>
              </w:rPr>
            </w:pPr>
            <w:r>
              <w:rPr>
                <w:rFonts w:ascii="Arial" w:cs="Arial" w:eastAsia="Arial" w:hAnsi="Arial"/>
                <w:sz w:val="14"/>
                <w:szCs w:val="14"/>
                <w:color w:val="auto"/>
              </w:rPr>
              <w:t>Third</w:t>
            </w:r>
          </w:p>
        </w:tc>
        <w:tc>
          <w:tcPr>
            <w:tcW w:w="1180" w:type="dxa"/>
            <w:vAlign w:val="bottom"/>
            <w:tcBorders>
              <w:bottom w:val="single" w:sz="8" w:color="auto"/>
            </w:tcBorders>
          </w:tcPr>
          <w:p>
            <w:pPr>
              <w:jc w:val="right"/>
              <w:ind w:right="530"/>
              <w:spacing w:after="0" w:line="155"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673,810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688,855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691,765</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690,889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682,309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98,679</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108,628</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116,032</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117,557</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120,052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575,131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580,227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575,733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573,332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562,257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75,000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85,000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93,000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85,000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105,000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314,420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286,938</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289,899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273,557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257,706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499,571</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469,274</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480,133</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476,068</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314,980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312,891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292,499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285,821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225,601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102,380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102,319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94,619</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90,967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68,723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6,327</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6,130</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5,865</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6,105</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5,923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206,273</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204,442</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192,015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188,749</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 shareholders-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190,121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189,678</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176,789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173,597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136,431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Per common share data</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1.49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Diluted earnings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1.59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1.59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1.48</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1.46</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119,201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118,613</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118,320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118,054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117,765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119,852</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119,503</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119,155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118,878</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118,256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Return on</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1.23%</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1.18%</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1.12%</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Average common shareholders’ equity</w:t>
            </w:r>
          </w:p>
        </w:tc>
        <w:tc>
          <w:tcPr>
            <w:tcW w:w="2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10.16%</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10.03%</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9.56%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9.67%</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margin on average earning 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(taxable-equivalent basis)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3.92%</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3.85%</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3.87%</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Nonaccrual loans to total loans and leases, net of</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2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2.32%</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2.38%</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2.16%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2.13%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57.18%</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54.08%</w:t>
            </w:r>
          </w:p>
        </w:tc>
        <w:tc>
          <w:tcPr>
            <w:tcW w:w="19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54.95%</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54.77%</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57.82%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216,360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196,235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200,225</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197,752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Diluted net operating income per common share</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1.67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1.52</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1.55</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1.53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2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1.36%</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1.20%</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tangible common shareholders’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18.43%</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19.58%</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20.36%</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55.75%</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52.55%</w:t>
            </w:r>
          </w:p>
        </w:tc>
        <w:tc>
          <w:tcPr>
            <w:tcW w:w="19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53.40%</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53.06%</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55.88%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68,045</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68,502</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67,811</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68,334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64,423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64,869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64,167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64,679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59,431</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59,737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59,066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59,811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60,331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7,219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7,541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7,993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8,376</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51,972</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51,141</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50,835</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51,278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51,948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49,680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49,271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47,530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47,932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Common shareholders’ equity (c)</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7,708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7,582</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7,444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7,302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common shareholders’ equity (c)</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4,086</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3,949</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3,800</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3,647</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At end of quarter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67,881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68,021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68,247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68,154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64,263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64,393</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64,609</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64,505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58,822</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59,434</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59,388</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59,368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59,741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6,507</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7,151</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7,663</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8,098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8,105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52,119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51,990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50,792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51,061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51,444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50,548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49,805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48,655</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47,523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47,538</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shareholders’ equity, net of</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undeclared preferred dividends (c)</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7,758</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7,611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7,488</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7,360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Tangible common shareholders’ equity (c)</w:t>
            </w:r>
          </w:p>
        </w:tc>
        <w:tc>
          <w:tcPr>
            <w:tcW w:w="28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4,140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3,983</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3,850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3,711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per common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64.43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63.54</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62.69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61.77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19"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equity per common share</w:t>
            </w:r>
          </w:p>
        </w:tc>
        <w:tc>
          <w:tcPr>
            <w:tcW w:w="2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34.38</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33.26</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32.23</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31.15</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29.59</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price per common share</w:t>
            </w:r>
          </w:p>
        </w:tc>
        <w:tc>
          <w:tcPr>
            <w:tcW w:w="20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High</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  91.05</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87.87</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95.00</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96.15</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85.00</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Low</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84.63</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72.03</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81.08</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74.11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66.32</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Closing</w:t>
            </w:r>
          </w:p>
        </w:tc>
        <w:tc>
          <w:tcPr>
            <w:tcW w:w="2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88.47</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87.05</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81.81</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84.95</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79.38</w:t>
            </w:r>
          </w:p>
        </w:tc>
      </w:tr>
    </w:tbl>
    <w:p>
      <w:pPr>
        <w:spacing w:after="0" w:line="17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76" w:lineRule="exact"/>
        <w:rPr>
          <w:rFonts w:ascii="Arial" w:cs="Arial" w:eastAsia="Arial" w:hAnsi="Arial"/>
          <w:sz w:val="18"/>
          <w:szCs w:val="18"/>
          <w:i w:val="1"/>
          <w:iCs w:val="1"/>
          <w:color w:val="auto"/>
        </w:rPr>
      </w:pPr>
    </w:p>
    <w:p>
      <w:pPr>
        <w:ind w:left="460" w:right="320" w:hanging="452"/>
        <w:spacing w:after="0" w:line="264"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i w:val="1"/>
          <w:iCs w:val="1"/>
          <w:color w:val="auto"/>
        </w:rPr>
      </w:pPr>
    </w:p>
    <w:p>
      <w:pPr>
        <w:ind w:left="460" w:right="160" w:hanging="452"/>
        <w:spacing w:after="0" w:line="342" w:lineRule="auto"/>
        <w:tabs>
          <w:tab w:leader="none" w:pos="4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96" w:lineRule="exact"/>
        <w:rPr>
          <w:rFonts w:ascii="Arial" w:cs="Arial" w:eastAsia="Arial" w:hAnsi="Arial"/>
          <w:sz w:val="16"/>
          <w:szCs w:val="16"/>
          <w:i w:val="1"/>
          <w:iCs w:val="1"/>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w w:val="89"/>
              </w:rPr>
              <w:t>Table 2</w:t>
            </w:r>
          </w:p>
        </w:tc>
      </w:tr>
      <w:tr>
        <w:trPr>
          <w:trHeight w:val="432"/>
        </w:trPr>
        <w:tc>
          <w:tcPr>
            <w:tcW w:w="5780" w:type="dxa"/>
            <w:vAlign w:val="bottom"/>
            <w:gridSpan w:val="4"/>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70"/>
              <w:spacing w:after="0"/>
              <w:rPr>
                <w:sz w:val="20"/>
                <w:szCs w:val="20"/>
                <w:color w:val="auto"/>
              </w:rPr>
            </w:pPr>
            <w:r>
              <w:rPr>
                <w:rFonts w:ascii="Arial" w:cs="Arial" w:eastAsia="Arial" w:hAnsi="Arial"/>
                <w:sz w:val="14"/>
                <w:szCs w:val="14"/>
                <w:color w:val="auto"/>
              </w:rPr>
              <w:t>2011</w:t>
            </w: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color w:val="auto"/>
                <w:w w:val="91"/>
              </w:rPr>
              <w:t>2010 Quarters</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0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First Quarter</w:t>
            </w:r>
          </w:p>
        </w:tc>
        <w:tc>
          <w:tcPr>
            <w:tcW w:w="120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color w:val="auto"/>
              </w:rPr>
              <w:t>Fourth</w:t>
            </w:r>
          </w:p>
        </w:tc>
        <w:tc>
          <w:tcPr>
            <w:tcW w:w="110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Third</w:t>
            </w:r>
          </w:p>
        </w:tc>
        <w:tc>
          <w:tcPr>
            <w:tcW w:w="20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color w:val="auto"/>
              </w:rPr>
              <w:t>Second</w:t>
            </w:r>
          </w:p>
        </w:tc>
        <w:tc>
          <w:tcPr>
            <w:tcW w:w="1320" w:type="dxa"/>
            <w:vAlign w:val="bottom"/>
            <w:tcBorders>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w w:val="86"/>
              </w:rPr>
              <w:t>206,273</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204,442</w:t>
            </w:r>
          </w:p>
        </w:tc>
        <w:tc>
          <w:tcPr>
            <w:tcW w:w="1100" w:type="dxa"/>
            <w:vAlign w:val="bottom"/>
          </w:tcPr>
          <w:p>
            <w:pPr>
              <w:jc w:val="right"/>
              <w:spacing w:after="0"/>
              <w:rPr>
                <w:sz w:val="20"/>
                <w:szCs w:val="20"/>
                <w:color w:val="auto"/>
              </w:rPr>
            </w:pPr>
            <w:r>
              <w:rPr>
                <w:rFonts w:ascii="Arial" w:cs="Arial" w:eastAsia="Arial" w:hAnsi="Arial"/>
                <w:sz w:val="18"/>
                <w:szCs w:val="18"/>
                <w:color w:val="auto"/>
              </w:rPr>
              <w:t>192,015</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188,749</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150,955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7,478</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8,054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9,003</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9,998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(16,730)</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2,609</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86"/>
              </w:rPr>
              <w:t>216,360</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196,235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200,225</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197,752</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160,953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1.59</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1.59</w:t>
            </w: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1.46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.06</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.07</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Merger-related gain (a)</w:t>
            </w:r>
          </w:p>
        </w:tc>
        <w:tc>
          <w:tcPr>
            <w:tcW w:w="28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Diluted net operating earnings per common</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0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1.67</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1.53</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w w:val="86"/>
              </w:rPr>
              <w:t>499,571</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469,274</w:t>
            </w:r>
          </w:p>
        </w:tc>
        <w:tc>
          <w:tcPr>
            <w:tcW w:w="1100" w:type="dxa"/>
            <w:vAlign w:val="bottom"/>
          </w:tcPr>
          <w:p>
            <w:pPr>
              <w:jc w:val="right"/>
              <w:spacing w:after="0"/>
              <w:rPr>
                <w:sz w:val="20"/>
                <w:szCs w:val="20"/>
                <w:color w:val="auto"/>
              </w:rPr>
            </w:pPr>
            <w:r>
              <w:rPr>
                <w:rFonts w:ascii="Arial" w:cs="Arial" w:eastAsia="Arial" w:hAnsi="Arial"/>
                <w:sz w:val="18"/>
                <w:szCs w:val="18"/>
                <w:color w:val="auto"/>
              </w:rPr>
              <w:t>480,133</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476,068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489,362</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 other intangible</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2"/>
              </w:rPr>
              <w:t>(12,314)</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(13,269)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(14,833)</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(16,475)</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(4,295)</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86"/>
              </w:rPr>
              <w:t>482,962</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455,234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466,607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461,235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472,887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8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79</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147</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4,062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4,295</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771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68,045</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68,502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68,334</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(119)</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(160)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64,423</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64,869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64,679</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65,216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8,451</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8,322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8,036</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7,868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(743)</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(734)</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7,708</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7,582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7,302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7,136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(119)</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(160)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4,086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3,949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3,647</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At end of quarter</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67,881</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68,021</w:t>
            </w:r>
          </w:p>
        </w:tc>
        <w:tc>
          <w:tcPr>
            <w:tcW w:w="1100" w:type="dxa"/>
            <w:vAlign w:val="bottom"/>
          </w:tcPr>
          <w:p>
            <w:pPr>
              <w:jc w:val="right"/>
              <w:spacing w:after="0"/>
              <w:rPr>
                <w:sz w:val="20"/>
                <w:szCs w:val="20"/>
                <w:color w:val="auto"/>
              </w:rPr>
            </w:pPr>
            <w:r>
              <w:rPr>
                <w:rFonts w:ascii="Arial" w:cs="Arial" w:eastAsia="Arial" w:hAnsi="Arial"/>
                <w:sz w:val="18"/>
                <w:szCs w:val="18"/>
                <w:color w:val="auto"/>
              </w:rPr>
              <w:t>68,247</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68,154</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68,439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8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(113)</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(126)</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(152)</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64,263</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64,393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64,609</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64,505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64,778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equity</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8,508</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8,358</w:t>
            </w:r>
          </w:p>
        </w:tc>
        <w:tc>
          <w:tcPr>
            <w:tcW w:w="1100" w:type="dxa"/>
            <w:vAlign w:val="bottom"/>
          </w:tcPr>
          <w:p>
            <w:pPr>
              <w:jc w:val="right"/>
              <w:spacing w:after="0"/>
              <w:rPr>
                <w:sz w:val="20"/>
                <w:szCs w:val="20"/>
                <w:color w:val="auto"/>
              </w:rPr>
            </w:pPr>
            <w:r>
              <w:rPr>
                <w:rFonts w:ascii="Arial" w:cs="Arial" w:eastAsia="Arial" w:hAnsi="Arial"/>
                <w:sz w:val="18"/>
                <w:szCs w:val="18"/>
                <w:color w:val="auto"/>
              </w:rPr>
              <w:t>8,232</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8,102</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(743)</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(735)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Undeclared dividends — preferred stock</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(7)</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net of undeclared preferred</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7,758</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7,611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7,360</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(3,525)</w:t>
            </w:r>
          </w:p>
        </w:tc>
        <w:tc>
          <w:tcPr>
            <w:tcW w:w="20" w:type="dxa"/>
            <w:vAlign w:val="bottom"/>
          </w:tcPr>
          <w:p>
            <w:pPr>
              <w:spacing w:after="0"/>
              <w:rPr>
                <w:sz w:val="19"/>
                <w:szCs w:val="19"/>
                <w:color w:val="auto"/>
              </w:rPr>
            </w:pPr>
          </w:p>
        </w:tc>
      </w:tr>
      <w:tr>
        <w:trPr>
          <w:trHeight w:val="111"/>
        </w:trPr>
        <w:tc>
          <w:tcPr>
            <w:tcW w:w="20" w:type="dxa"/>
            <w:vAlign w:val="bottom"/>
          </w:tcPr>
          <w:p>
            <w:pPr>
              <w:spacing w:after="0"/>
              <w:rPr>
                <w:sz w:val="9"/>
                <w:szCs w:val="9"/>
                <w:color w:val="auto"/>
              </w:rPr>
            </w:pPr>
          </w:p>
        </w:tc>
        <w:tc>
          <w:tcPr>
            <w:tcW w:w="40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bl>
    <w:p>
      <w:pPr>
        <w:sectPr>
          <w:pgSz w:w="11900" w:h="16900" w:orient="portrait"/>
          <w:cols w:equalWidth="0" w:num="1">
            <w:col w:w="11420"/>
          </w:cols>
          <w:pgMar w:left="240" w:top="419" w:right="239"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(113)</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(126)</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r>
      <w:tr>
        <w:trPr>
          <w:trHeight w:val="223"/>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9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w:t>
            </w: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23</w:t>
            </w: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w:t>
            </w:r>
          </w:p>
        </w:tc>
      </w:tr>
      <w:tr>
        <w:trPr>
          <w:trHeight w:val="216"/>
        </w:trPr>
        <w:tc>
          <w:tcPr>
            <w:tcW w:w="3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tangible common equity</w:t>
            </w:r>
          </w:p>
        </w:tc>
        <w:tc>
          <w:tcPr>
            <w:tcW w:w="19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  4,140</w:t>
            </w: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3,983</w:t>
            </w:r>
          </w:p>
        </w:tc>
        <w:tc>
          <w:tcPr>
            <w:tcW w:w="15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3,850</w:t>
            </w:r>
          </w:p>
        </w:tc>
        <w:tc>
          <w:tcPr>
            <w:tcW w:w="15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3,711</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3,516</w:t>
            </w:r>
          </w:p>
        </w:tc>
      </w:tr>
    </w:tbl>
    <w:p>
      <w:pPr>
        <w:spacing w:after="0" w:line="17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540"/>
        </w:trPr>
        <w:tc>
          <w:tcPr>
            <w:tcW w:w="788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Average</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w w:val="98"/>
              </w:rPr>
              <w:t>2011 First Quarter</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Average</w:t>
            </w:r>
          </w:p>
        </w:tc>
        <w:tc>
          <w:tcPr>
            <w:tcW w:w="1300" w:type="dxa"/>
            <w:vAlign w:val="bottom"/>
          </w:tcPr>
          <w:p>
            <w:pPr>
              <w:jc w:val="right"/>
              <w:spacing w:after="0"/>
              <w:rPr>
                <w:sz w:val="20"/>
                <w:szCs w:val="20"/>
                <w:color w:val="auto"/>
              </w:rPr>
            </w:pPr>
            <w:r>
              <w:rPr>
                <w:rFonts w:ascii="Arial" w:cs="Arial" w:eastAsia="Arial" w:hAnsi="Arial"/>
                <w:sz w:val="14"/>
                <w:szCs w:val="14"/>
                <w:color w:val="auto"/>
                <w:w w:val="96"/>
              </w:rPr>
              <w:t>2010 Fourth Quarter</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color w:val="auto"/>
                <w:w w:val="99"/>
              </w:rPr>
              <w:t>Average</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Average</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w w:val="99"/>
              </w:rPr>
              <w:t>2010 Third Quarter</w:t>
            </w:r>
          </w:p>
        </w:tc>
        <w:tc>
          <w:tcPr>
            <w:tcW w:w="700" w:type="dxa"/>
            <w:vAlign w:val="bottom"/>
            <w:vMerge w:val="restart"/>
          </w:tcPr>
          <w:p>
            <w:pPr>
              <w:jc w:val="right"/>
              <w:ind w:right="67"/>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20" w:type="dxa"/>
            <w:vAlign w:val="bottom"/>
            <w:gridSpan w:val="2"/>
          </w:tcPr>
          <w:p>
            <w:pPr>
              <w:spacing w:after="0"/>
              <w:rPr>
                <w:sz w:val="20"/>
                <w:szCs w:val="20"/>
                <w:color w:val="auto"/>
              </w:rPr>
            </w:pPr>
            <w:r>
              <w:rPr>
                <w:rFonts w:ascii="Arial" w:cs="Arial" w:eastAsia="Arial" w:hAnsi="Arial"/>
                <w:sz w:val="14"/>
                <w:szCs w:val="14"/>
                <w:i w:val="1"/>
                <w:iCs w:val="1"/>
                <w:color w:val="auto"/>
                <w:w w:val="97"/>
              </w:rPr>
              <w:t>Average balance in millions; interest in thousands</w:t>
            </w: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Balance</w:t>
            </w:r>
          </w:p>
        </w:tc>
        <w:tc>
          <w:tcPr>
            <w:tcW w:w="1240" w:type="dxa"/>
            <w:vAlign w:val="bottom"/>
          </w:tcPr>
          <w:p>
            <w:pPr>
              <w:jc w:val="right"/>
              <w:ind w:right="348"/>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Balance</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Interest</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Interest</w:t>
            </w:r>
          </w:p>
        </w:tc>
        <w:tc>
          <w:tcPr>
            <w:tcW w:w="700" w:type="dxa"/>
            <w:vAlign w:val="bottom"/>
          </w:tcPr>
          <w:p>
            <w:pPr>
              <w:jc w:val="right"/>
              <w:ind w:right="167"/>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etc.</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88"/>
              </w:rPr>
              <w:t>13,573</w:t>
            </w:r>
          </w:p>
        </w:tc>
        <w:tc>
          <w:tcPr>
            <w:tcW w:w="12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$131,619</w:t>
            </w:r>
          </w:p>
        </w:tc>
        <w:tc>
          <w:tcPr>
            <w:tcW w:w="8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3.93%</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13,013</w:t>
            </w:r>
          </w:p>
        </w:tc>
        <w:tc>
          <w:tcPr>
            <w:tcW w:w="130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133,562</w:t>
            </w:r>
          </w:p>
        </w:tc>
        <w:tc>
          <w:tcPr>
            <w:tcW w:w="7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4.07%</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12,856</w:t>
            </w:r>
          </w:p>
        </w:tc>
        <w:tc>
          <w:tcPr>
            <w:tcW w:w="128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128,578</w:t>
            </w:r>
          </w:p>
        </w:tc>
        <w:tc>
          <w:tcPr>
            <w:tcW w:w="700" w:type="dxa"/>
            <w:vAlign w:val="bottom"/>
          </w:tcPr>
          <w:p>
            <w:pPr>
              <w:jc w:val="right"/>
              <w:ind w:right="107"/>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 — commercial</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21,003</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247,276</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4.71</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20,624</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249,720</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4.84</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20,612</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250,038</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Real estate — consumer</w:t>
            </w:r>
          </w:p>
        </w:tc>
        <w:tc>
          <w:tcPr>
            <w:tcW w:w="180" w:type="dxa"/>
            <w:vAlign w:val="bottom"/>
          </w:tcPr>
          <w:p>
            <w:pPr>
              <w:spacing w:after="0"/>
              <w:rPr>
                <w:sz w:val="12"/>
                <w:szCs w:val="12"/>
                <w:color w:val="auto"/>
              </w:rPr>
            </w:pPr>
          </w:p>
        </w:tc>
        <w:tc>
          <w:tcPr>
            <w:tcW w:w="5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6,054</w:t>
            </w:r>
          </w:p>
        </w:tc>
        <w:tc>
          <w:tcPr>
            <w:tcW w:w="12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76,642</w:t>
            </w:r>
          </w:p>
        </w:tc>
        <w:tc>
          <w:tcPr>
            <w:tcW w:w="8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5.06</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5,910</w:t>
            </w:r>
          </w:p>
        </w:tc>
        <w:tc>
          <w:tcPr>
            <w:tcW w:w="130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76,024</w:t>
            </w:r>
          </w:p>
        </w:tc>
        <w:tc>
          <w:tcPr>
            <w:tcW w:w="7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5.15</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5,680</w:t>
            </w:r>
          </w:p>
        </w:tc>
        <w:tc>
          <w:tcPr>
            <w:tcW w:w="128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75,312</w:t>
            </w:r>
          </w:p>
        </w:tc>
        <w:tc>
          <w:tcPr>
            <w:tcW w:w="700" w:type="dxa"/>
            <w:vAlign w:val="bottom"/>
          </w:tcPr>
          <w:p>
            <w:pPr>
              <w:jc w:val="right"/>
              <w:ind w:right="227"/>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11,342</w:t>
            </w:r>
          </w:p>
        </w:tc>
        <w:tc>
          <w:tcPr>
            <w:tcW w:w="12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143,519</w:t>
            </w: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5.13</w:t>
            </w: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11,594</w:t>
            </w:r>
          </w:p>
        </w:tc>
        <w:tc>
          <w:tcPr>
            <w:tcW w:w="13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151,300</w:t>
            </w: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5.18</w:t>
            </w: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11,687</w:t>
            </w:r>
          </w:p>
        </w:tc>
        <w:tc>
          <w:tcPr>
            <w:tcW w:w="12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153,763</w:t>
            </w: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Total loans and leases, net</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88"/>
              </w:rPr>
              <w:t>51,972</w:t>
            </w: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599,056</w:t>
            </w: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4.67</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51,141</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610,606</w:t>
            </w:r>
          </w:p>
        </w:tc>
        <w:tc>
          <w:tcPr>
            <w:tcW w:w="7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4.74</w:t>
            </w:r>
          </w:p>
        </w:tc>
        <w:tc>
          <w:tcPr>
            <w:tcW w:w="7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50,835</w:t>
            </w:r>
          </w:p>
        </w:tc>
        <w:tc>
          <w:tcPr>
            <w:tcW w:w="12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607,691</w:t>
            </w:r>
          </w:p>
        </w:tc>
        <w:tc>
          <w:tcPr>
            <w:tcW w:w="70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115</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36</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.13</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43</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92</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34</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Federal funds sold and agreements to resell</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240" w:type="dxa"/>
            <w:vAlign w:val="bottom"/>
          </w:tcPr>
          <w:p>
            <w:pPr>
              <w:jc w:val="right"/>
              <w:ind w:right="348"/>
              <w:spacing w:after="0"/>
              <w:rPr>
                <w:sz w:val="20"/>
                <w:szCs w:val="20"/>
                <w:color w:val="auto"/>
              </w:rPr>
            </w:pPr>
            <w:r>
              <w:rPr>
                <w:rFonts w:ascii="Arial" w:cs="Arial" w:eastAsia="Arial" w:hAnsi="Arial"/>
                <w:sz w:val="14"/>
                <w:szCs w:val="14"/>
                <w:color w:val="auto"/>
              </w:rPr>
              <w:t>19</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.53</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780</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381</w:t>
            </w:r>
          </w:p>
        </w:tc>
        <w:tc>
          <w:tcPr>
            <w:tcW w:w="780" w:type="dxa"/>
            <w:vAlign w:val="bottom"/>
          </w:tcPr>
          <w:p>
            <w:pPr>
              <w:jc w:val="right"/>
              <w:ind w:right="328"/>
              <w:spacing w:after="0"/>
              <w:rPr>
                <w:sz w:val="20"/>
                <w:szCs w:val="20"/>
                <w:color w:val="auto"/>
              </w:rPr>
            </w:pPr>
            <w:r>
              <w:rPr>
                <w:rFonts w:ascii="Arial" w:cs="Arial" w:eastAsia="Arial" w:hAnsi="Arial"/>
                <w:sz w:val="14"/>
                <w:szCs w:val="14"/>
                <w:color w:val="auto"/>
              </w:rPr>
              <w:t>.19</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41</w:t>
            </w:r>
          </w:p>
        </w:tc>
        <w:tc>
          <w:tcPr>
            <w:tcW w:w="700" w:type="dxa"/>
            <w:vAlign w:val="bottom"/>
          </w:tcPr>
          <w:p>
            <w:pPr>
              <w:jc w:val="right"/>
              <w:ind w:right="227"/>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110</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442</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1.61</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165</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375</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.91</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82</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134</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 Treasury and federal agencies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4,089</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42,078</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4.17</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4,237</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43,246</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4.05</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4,541</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48,018</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ind w:left="200"/>
              <w:spacing w:after="0" w:line="130" w:lineRule="exact"/>
              <w:rPr>
                <w:sz w:val="20"/>
                <w:szCs w:val="20"/>
                <w:color w:val="auto"/>
              </w:rPr>
            </w:pPr>
            <w:r>
              <w:rPr>
                <w:rFonts w:ascii="Arial" w:cs="Arial" w:eastAsia="Arial" w:hAnsi="Arial"/>
                <w:sz w:val="14"/>
                <w:szCs w:val="14"/>
                <w:color w:val="auto"/>
              </w:rPr>
              <w:t>Obligations of states and political</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ind w:left="400"/>
              <w:spacing w:after="0"/>
              <w:rPr>
                <w:sz w:val="20"/>
                <w:szCs w:val="20"/>
                <w:color w:val="auto"/>
              </w:rPr>
            </w:pPr>
            <w:r>
              <w:rPr>
                <w:rFonts w:ascii="Arial" w:cs="Arial" w:eastAsia="Arial" w:hAnsi="Arial"/>
                <w:sz w:val="14"/>
                <w:szCs w:val="14"/>
                <w:color w:val="auto"/>
              </w:rPr>
              <w:t>subdivisions</w:t>
            </w:r>
          </w:p>
        </w:tc>
        <w:tc>
          <w:tcPr>
            <w:tcW w:w="18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1240" w:type="dxa"/>
            <w:vAlign w:val="bottom"/>
          </w:tcPr>
          <w:p>
            <w:pPr>
              <w:jc w:val="right"/>
              <w:ind w:right="348"/>
              <w:spacing w:after="0"/>
              <w:rPr>
                <w:sz w:val="20"/>
                <w:szCs w:val="20"/>
                <w:color w:val="auto"/>
              </w:rPr>
            </w:pPr>
            <w:r>
              <w:rPr>
                <w:rFonts w:ascii="Arial" w:cs="Arial" w:eastAsia="Arial" w:hAnsi="Arial"/>
                <w:sz w:val="14"/>
                <w:szCs w:val="14"/>
                <w:color w:val="auto"/>
              </w:rPr>
              <w:t>3,479</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5.64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1300" w:type="dxa"/>
            <w:vAlign w:val="bottom"/>
          </w:tcPr>
          <w:p>
            <w:pPr>
              <w:jc w:val="right"/>
              <w:ind w:right="368"/>
              <w:spacing w:after="0"/>
              <w:rPr>
                <w:sz w:val="20"/>
                <w:szCs w:val="20"/>
                <w:color w:val="auto"/>
              </w:rPr>
            </w:pPr>
            <w:r>
              <w:rPr>
                <w:rFonts w:ascii="Arial" w:cs="Arial" w:eastAsia="Arial" w:hAnsi="Arial"/>
                <w:sz w:val="14"/>
                <w:szCs w:val="14"/>
                <w:color w:val="auto"/>
              </w:rPr>
              <w:t>3,663</w:t>
            </w:r>
          </w:p>
        </w:tc>
        <w:tc>
          <w:tcPr>
            <w:tcW w:w="780" w:type="dxa"/>
            <w:vAlign w:val="bottom"/>
          </w:tcPr>
          <w:p>
            <w:pPr>
              <w:jc w:val="right"/>
              <w:ind w:right="328"/>
              <w:spacing w:after="0"/>
              <w:rPr>
                <w:sz w:val="20"/>
                <w:szCs w:val="20"/>
                <w:color w:val="auto"/>
              </w:rPr>
            </w:pPr>
            <w:r>
              <w:rPr>
                <w:rFonts w:ascii="Arial" w:cs="Arial" w:eastAsia="Arial" w:hAnsi="Arial"/>
                <w:sz w:val="14"/>
                <w:szCs w:val="14"/>
                <w:color w:val="auto"/>
              </w:rPr>
              <w:t>5.69</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3,740</w:t>
            </w:r>
          </w:p>
        </w:tc>
        <w:tc>
          <w:tcPr>
            <w:tcW w:w="700" w:type="dxa"/>
            <w:vAlign w:val="bottom"/>
          </w:tcPr>
          <w:p>
            <w:pPr>
              <w:jc w:val="right"/>
              <w:ind w:right="227"/>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2,880</w:t>
            </w:r>
          </w:p>
        </w:tc>
        <w:tc>
          <w:tcPr>
            <w:tcW w:w="12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28,700</w:t>
            </w: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4.04</w:t>
            </w: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3,048</w:t>
            </w:r>
          </w:p>
        </w:tc>
        <w:tc>
          <w:tcPr>
            <w:tcW w:w="13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30,541</w:t>
            </w: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3.98</w:t>
            </w: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3,181</w:t>
            </w:r>
          </w:p>
        </w:tc>
        <w:tc>
          <w:tcPr>
            <w:tcW w:w="12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32,107</w:t>
            </w: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Total investment securities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7,219</w:t>
            </w: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74,257</w:t>
            </w: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4.17</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7,541</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77,450</w:t>
            </w:r>
          </w:p>
        </w:tc>
        <w:tc>
          <w:tcPr>
            <w:tcW w:w="7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4.07</w:t>
            </w:r>
          </w:p>
        </w:tc>
        <w:tc>
          <w:tcPr>
            <w:tcW w:w="7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7,993</w:t>
            </w:r>
          </w:p>
        </w:tc>
        <w:tc>
          <w:tcPr>
            <w:tcW w:w="12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83,865</w:t>
            </w:r>
          </w:p>
        </w:tc>
        <w:tc>
          <w:tcPr>
            <w:tcW w:w="70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Total earning assets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59,431</w:t>
            </w:r>
          </w:p>
        </w:tc>
        <w:tc>
          <w:tcPr>
            <w:tcW w:w="12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673,810</w:t>
            </w: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4.60</w:t>
            </w: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59,737</w:t>
            </w:r>
          </w:p>
        </w:tc>
        <w:tc>
          <w:tcPr>
            <w:tcW w:w="13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688,855</w:t>
            </w: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4.58</w:t>
            </w: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59,066</w:t>
            </w:r>
          </w:p>
        </w:tc>
        <w:tc>
          <w:tcPr>
            <w:tcW w:w="12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691,765</w:t>
            </w: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line="155" w:lineRule="exact"/>
              <w:rPr>
                <w:sz w:val="20"/>
                <w:szCs w:val="20"/>
                <w:color w:val="auto"/>
              </w:rPr>
            </w:pPr>
            <w:r>
              <w:rPr>
                <w:rFonts w:ascii="Arial" w:cs="Arial" w:eastAsia="Arial" w:hAnsi="Arial"/>
                <w:sz w:val="14"/>
                <w:szCs w:val="14"/>
                <w:color w:val="auto"/>
              </w:rPr>
              <w:t>Allowance for credit losses</w:t>
            </w:r>
          </w:p>
        </w:tc>
        <w:tc>
          <w:tcPr>
            <w:tcW w:w="180" w:type="dxa"/>
            <w:vAlign w:val="bottom"/>
          </w:tcPr>
          <w:p>
            <w:pPr>
              <w:spacing w:after="0"/>
              <w:rPr>
                <w:sz w:val="13"/>
                <w:szCs w:val="13"/>
                <w:color w:val="auto"/>
              </w:rPr>
            </w:pPr>
          </w:p>
        </w:tc>
        <w:tc>
          <w:tcPr>
            <w:tcW w:w="5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(914)</w:t>
            </w: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(910)</w:t>
            </w: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(908)</w:t>
            </w: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1,091</w:t>
            </w:r>
          </w:p>
        </w:tc>
        <w:tc>
          <w:tcPr>
            <w:tcW w:w="1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1,111</w:t>
            </w:r>
          </w:p>
        </w:tc>
        <w:tc>
          <w:tcPr>
            <w:tcW w:w="1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1,081</w:t>
            </w:r>
          </w:p>
        </w:tc>
        <w:tc>
          <w:tcPr>
            <w:tcW w:w="1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8,437</w:t>
            </w:r>
          </w:p>
        </w:tc>
        <w:tc>
          <w:tcPr>
            <w:tcW w:w="1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8,564</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8,572</w:t>
            </w:r>
          </w:p>
        </w:tc>
        <w:tc>
          <w:tcPr>
            <w:tcW w:w="1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68,045</w:t>
            </w:r>
          </w:p>
        </w:tc>
        <w:tc>
          <w:tcPr>
            <w:tcW w:w="1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68,502</w:t>
            </w:r>
          </w:p>
        </w:tc>
        <w:tc>
          <w:tcPr>
            <w:tcW w:w="1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67,811</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Interest-bearing deposits</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628</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202</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.13</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608</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212</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592</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219</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180" w:type="dxa"/>
            <w:vAlign w:val="bottom"/>
          </w:tcPr>
          <w:p>
            <w:pPr>
              <w:spacing w:after="0"/>
              <w:rPr>
                <w:sz w:val="12"/>
                <w:szCs w:val="12"/>
                <w:color w:val="auto"/>
              </w:rPr>
            </w:pPr>
          </w:p>
        </w:tc>
        <w:tc>
          <w:tcPr>
            <w:tcW w:w="5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88"/>
              </w:rPr>
              <w:t>27,669</w:t>
            </w:r>
          </w:p>
        </w:tc>
        <w:tc>
          <w:tcPr>
            <w:tcW w:w="12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19,239</w:t>
            </w:r>
          </w:p>
        </w:tc>
        <w:tc>
          <w:tcPr>
            <w:tcW w:w="8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.28</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27,545</w:t>
            </w:r>
          </w:p>
        </w:tc>
        <w:tc>
          <w:tcPr>
            <w:tcW w:w="130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21,860</w:t>
            </w:r>
          </w:p>
        </w:tc>
        <w:tc>
          <w:tcPr>
            <w:tcW w:w="7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.31</w:t>
            </w: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26,177</w:t>
            </w:r>
          </w:p>
        </w:tc>
        <w:tc>
          <w:tcPr>
            <w:tcW w:w="128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21,453</w:t>
            </w:r>
          </w:p>
        </w:tc>
        <w:tc>
          <w:tcPr>
            <w:tcW w:w="700" w:type="dxa"/>
            <w:vAlign w:val="bottom"/>
          </w:tcPr>
          <w:p>
            <w:pPr>
              <w:jc w:val="right"/>
              <w:ind w:right="227"/>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5,700</w:t>
            </w:r>
          </w:p>
        </w:tc>
        <w:tc>
          <w:tcPr>
            <w:tcW w:w="124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19,071</w:t>
            </w:r>
          </w:p>
        </w:tc>
        <w:tc>
          <w:tcPr>
            <w:tcW w:w="8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1.36</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6,034</w:t>
            </w:r>
          </w:p>
        </w:tc>
        <w:tc>
          <w:tcPr>
            <w:tcW w:w="13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21,232</w:t>
            </w:r>
          </w:p>
        </w:tc>
        <w:tc>
          <w:tcPr>
            <w:tcW w:w="7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1.40</w:t>
            </w: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6,312</w:t>
            </w:r>
          </w:p>
        </w:tc>
        <w:tc>
          <w:tcPr>
            <w:tcW w:w="12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23,309</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Deposits at Cayman Islands office</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1,182</w:t>
            </w:r>
          </w:p>
        </w:tc>
        <w:tc>
          <w:tcPr>
            <w:tcW w:w="124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394</w:t>
            </w:r>
          </w:p>
        </w:tc>
        <w:tc>
          <w:tcPr>
            <w:tcW w:w="80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.14</w:t>
            </w: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809</w:t>
            </w:r>
          </w:p>
        </w:tc>
        <w:tc>
          <w:tcPr>
            <w:tcW w:w="13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352</w:t>
            </w:r>
          </w:p>
        </w:tc>
        <w:tc>
          <w:tcPr>
            <w:tcW w:w="78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.17</w:t>
            </w:r>
          </w:p>
        </w:tc>
        <w:tc>
          <w:tcPr>
            <w:tcW w:w="7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802</w:t>
            </w:r>
          </w:p>
        </w:tc>
        <w:tc>
          <w:tcPr>
            <w:tcW w:w="12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315</w:t>
            </w:r>
          </w:p>
        </w:tc>
        <w:tc>
          <w:tcPr>
            <w:tcW w:w="700" w:type="dxa"/>
            <w:vAlign w:val="bottom"/>
            <w:tcBorders>
              <w:bottom w:val="single" w:sz="8" w:color="auto"/>
            </w:tcBorders>
          </w:tcPr>
          <w:p>
            <w:pPr>
              <w:jc w:val="right"/>
              <w:ind w:right="227"/>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interest-bearing deposits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35,179</w:t>
            </w:r>
          </w:p>
        </w:tc>
        <w:tc>
          <w:tcPr>
            <w:tcW w:w="12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38,906</w:t>
            </w: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.45</w:t>
            </w: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34,996</w:t>
            </w:r>
          </w:p>
        </w:tc>
        <w:tc>
          <w:tcPr>
            <w:tcW w:w="13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43,656</w:t>
            </w: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.49</w:t>
            </w: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33,883</w:t>
            </w:r>
          </w:p>
        </w:tc>
        <w:tc>
          <w:tcPr>
            <w:tcW w:w="12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45,296</w:t>
            </w: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line="155" w:lineRule="exact"/>
              <w:rPr>
                <w:sz w:val="20"/>
                <w:szCs w:val="20"/>
                <w:color w:val="auto"/>
              </w:rPr>
            </w:pPr>
            <w:r>
              <w:rPr>
                <w:rFonts w:ascii="Arial" w:cs="Arial" w:eastAsia="Arial" w:hAnsi="Arial"/>
                <w:sz w:val="14"/>
                <w:szCs w:val="14"/>
                <w:color w:val="auto"/>
              </w:rPr>
              <w:t>Short-term borrowings</w:t>
            </w:r>
          </w:p>
        </w:tc>
        <w:tc>
          <w:tcPr>
            <w:tcW w:w="180" w:type="dxa"/>
            <w:vAlign w:val="bottom"/>
          </w:tcPr>
          <w:p>
            <w:pPr>
              <w:spacing w:after="0"/>
              <w:rPr>
                <w:sz w:val="13"/>
                <w:szCs w:val="13"/>
                <w:color w:val="auto"/>
              </w:rPr>
            </w:pPr>
          </w:p>
        </w:tc>
        <w:tc>
          <w:tcPr>
            <w:tcW w:w="5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1,344</w:t>
            </w:r>
          </w:p>
        </w:tc>
        <w:tc>
          <w:tcPr>
            <w:tcW w:w="124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492</w:t>
            </w:r>
          </w:p>
        </w:tc>
        <w:tc>
          <w:tcPr>
            <w:tcW w:w="80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.15</w:t>
            </w:r>
          </w:p>
        </w:tc>
        <w:tc>
          <w:tcPr>
            <w:tcW w:w="7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1,439</w:t>
            </w:r>
          </w:p>
        </w:tc>
        <w:tc>
          <w:tcPr>
            <w:tcW w:w="130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633</w:t>
            </w:r>
          </w:p>
        </w:tc>
        <w:tc>
          <w:tcPr>
            <w:tcW w:w="7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.17</w:t>
            </w:r>
          </w:p>
        </w:tc>
        <w:tc>
          <w:tcPr>
            <w:tcW w:w="7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1,858</w:t>
            </w:r>
          </w:p>
        </w:tc>
        <w:tc>
          <w:tcPr>
            <w:tcW w:w="12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760</w:t>
            </w:r>
          </w:p>
        </w:tc>
        <w:tc>
          <w:tcPr>
            <w:tcW w:w="700" w:type="dxa"/>
            <w:vAlign w:val="bottom"/>
          </w:tcPr>
          <w:p>
            <w:pPr>
              <w:jc w:val="right"/>
              <w:ind w:right="227"/>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7,368</w:t>
            </w:r>
          </w:p>
        </w:tc>
        <w:tc>
          <w:tcPr>
            <w:tcW w:w="124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59,281</w:t>
            </w: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3.26</w:t>
            </w: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8,141</w:t>
            </w:r>
          </w:p>
        </w:tc>
        <w:tc>
          <w:tcPr>
            <w:tcW w:w="13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64,339</w:t>
            </w: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3.14</w:t>
            </w: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8,948</w:t>
            </w:r>
          </w:p>
        </w:tc>
        <w:tc>
          <w:tcPr>
            <w:tcW w:w="12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69,976</w:t>
            </w: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88"/>
              </w:rPr>
              <w:t>43,891</w:t>
            </w: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98,679</w:t>
            </w: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.91</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44,576</w:t>
            </w: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108,628</w:t>
            </w:r>
          </w:p>
        </w:tc>
        <w:tc>
          <w:tcPr>
            <w:tcW w:w="7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.97</w:t>
            </w:r>
          </w:p>
        </w:tc>
        <w:tc>
          <w:tcPr>
            <w:tcW w:w="7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44,689</w:t>
            </w:r>
          </w:p>
        </w:tc>
        <w:tc>
          <w:tcPr>
            <w:tcW w:w="12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116,032</w:t>
            </w:r>
          </w:p>
        </w:tc>
        <w:tc>
          <w:tcPr>
            <w:tcW w:w="70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14,501</w:t>
            </w:r>
          </w:p>
        </w:tc>
        <w:tc>
          <w:tcPr>
            <w:tcW w:w="1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14,275</w:t>
            </w:r>
          </w:p>
        </w:tc>
        <w:tc>
          <w:tcPr>
            <w:tcW w:w="1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13,647</w:t>
            </w:r>
          </w:p>
        </w:tc>
        <w:tc>
          <w:tcPr>
            <w:tcW w:w="1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1,202</w:t>
            </w:r>
          </w:p>
        </w:tc>
        <w:tc>
          <w:tcPr>
            <w:tcW w:w="1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1,329</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1,294</w:t>
            </w:r>
          </w:p>
        </w:tc>
        <w:tc>
          <w:tcPr>
            <w:tcW w:w="1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59,594</w:t>
            </w:r>
          </w:p>
        </w:tc>
        <w:tc>
          <w:tcPr>
            <w:tcW w:w="1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60,180</w:t>
            </w:r>
          </w:p>
        </w:tc>
        <w:tc>
          <w:tcPr>
            <w:tcW w:w="1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59,630</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Shareholders’ equity</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8,451</w:t>
            </w:r>
          </w:p>
        </w:tc>
        <w:tc>
          <w:tcPr>
            <w:tcW w:w="1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8,322</w:t>
            </w:r>
          </w:p>
        </w:tc>
        <w:tc>
          <w:tcPr>
            <w:tcW w:w="1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8,181</w:t>
            </w:r>
          </w:p>
        </w:tc>
        <w:tc>
          <w:tcPr>
            <w:tcW w:w="1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88"/>
              </w:rPr>
              <w:t>68,045</w:t>
            </w:r>
          </w:p>
        </w:tc>
        <w:tc>
          <w:tcPr>
            <w:tcW w:w="1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68,502</w:t>
            </w:r>
          </w:p>
        </w:tc>
        <w:tc>
          <w:tcPr>
            <w:tcW w:w="1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67,811</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line="155" w:lineRule="exact"/>
              <w:rPr>
                <w:sz w:val="20"/>
                <w:szCs w:val="20"/>
                <w:color w:val="auto"/>
              </w:rPr>
            </w:pPr>
            <w:r>
              <w:rPr>
                <w:rFonts w:ascii="Arial" w:cs="Arial" w:eastAsia="Arial" w:hAnsi="Arial"/>
                <w:sz w:val="14"/>
                <w:szCs w:val="14"/>
                <w:color w:val="auto"/>
              </w:rPr>
              <w:t>Net interest spread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3.69</w:t>
            </w: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3.61</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jc w:val="right"/>
              <w:ind w:right="227"/>
              <w:spacing w:after="0" w:line="155"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.23</w:t>
            </w:r>
          </w:p>
        </w:tc>
        <w:tc>
          <w:tcPr>
            <w:tcW w:w="7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.24</w:t>
            </w:r>
          </w:p>
        </w:tc>
        <w:tc>
          <w:tcPr>
            <w:tcW w:w="7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27"/>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interest income/margin on earning assets</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$575,131</w:t>
            </w:r>
          </w:p>
        </w:tc>
        <w:tc>
          <w:tcPr>
            <w:tcW w:w="8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3.92%</w:t>
            </w:r>
          </w:p>
        </w:tc>
        <w:tc>
          <w:tcPr>
            <w:tcW w:w="7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580,227</w:t>
            </w:r>
          </w:p>
        </w:tc>
        <w:tc>
          <w:tcPr>
            <w:tcW w:w="7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3.85%</w:t>
            </w:r>
          </w:p>
        </w:tc>
        <w:tc>
          <w:tcPr>
            <w:tcW w:w="7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575,733</w:t>
            </w:r>
          </w:p>
        </w:tc>
        <w:tc>
          <w:tcPr>
            <w:tcW w:w="70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540"/>
        </w:trPr>
        <w:tc>
          <w:tcPr>
            <w:tcW w:w="778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jc w:val="right"/>
              <w:ind w:right="171"/>
              <w:spacing w:after="0"/>
              <w:rPr>
                <w:sz w:val="20"/>
                <w:szCs w:val="20"/>
                <w:color w:val="auto"/>
              </w:rPr>
            </w:pPr>
            <w:r>
              <w:rPr>
                <w:rFonts w:ascii="Arial" w:cs="Arial" w:eastAsia="Arial" w:hAnsi="Arial"/>
                <w:sz w:val="14"/>
                <w:szCs w:val="14"/>
                <w:color w:val="auto"/>
              </w:rPr>
              <w:t>2010 Second Quarter</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20" w:type="dxa"/>
            <w:vAlign w:val="bottom"/>
            <w:gridSpan w:val="2"/>
          </w:tcPr>
          <w:p>
            <w:pPr>
              <w:jc w:val="right"/>
              <w:ind w:right="1251"/>
              <w:spacing w:after="0"/>
              <w:rPr>
                <w:sz w:val="20"/>
                <w:szCs w:val="20"/>
                <w:color w:val="auto"/>
              </w:rPr>
            </w:pPr>
            <w:r>
              <w:rPr>
                <w:rFonts w:ascii="Arial" w:cs="Arial" w:eastAsia="Arial" w:hAnsi="Arial"/>
                <w:sz w:val="14"/>
                <w:szCs w:val="14"/>
                <w:color w:val="auto"/>
              </w:rPr>
              <w:t>2010 First Quarter</w:t>
            </w: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88"/>
              </w:rPr>
              <w:t>Average</w:t>
            </w:r>
          </w:p>
        </w:tc>
        <w:tc>
          <w:tcPr>
            <w:tcW w:w="1660" w:type="dxa"/>
            <w:vAlign w:val="bottom"/>
          </w:tcPr>
          <w:p>
            <w:pPr>
              <w:spacing w:after="0"/>
              <w:rPr>
                <w:sz w:val="12"/>
                <w:szCs w:val="12"/>
                <w:color w:val="auto"/>
              </w:rPr>
            </w:pPr>
          </w:p>
        </w:tc>
        <w:tc>
          <w:tcPr>
            <w:tcW w:w="1480" w:type="dxa"/>
            <w:vAlign w:val="bottom"/>
          </w:tcPr>
          <w:p>
            <w:pPr>
              <w:jc w:val="right"/>
              <w:ind w:right="671"/>
              <w:spacing w:after="0" w:line="149" w:lineRule="exact"/>
              <w:rPr>
                <w:sz w:val="20"/>
                <w:szCs w:val="20"/>
                <w:color w:val="auto"/>
              </w:rPr>
            </w:pPr>
            <w:r>
              <w:rPr>
                <w:rFonts w:ascii="Arial" w:cs="Arial" w:eastAsia="Arial" w:hAnsi="Arial"/>
                <w:sz w:val="14"/>
                <w:szCs w:val="14"/>
                <w:color w:val="auto"/>
              </w:rPr>
              <w:t>Average</w:t>
            </w:r>
          </w:p>
        </w:tc>
        <w:tc>
          <w:tcPr>
            <w:tcW w:w="102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Average</w:t>
            </w:r>
          </w:p>
        </w:tc>
        <w:tc>
          <w:tcPr>
            <w:tcW w:w="1160" w:type="dxa"/>
            <w:vAlign w:val="bottom"/>
          </w:tcPr>
          <w:p>
            <w:pPr>
              <w:spacing w:after="0"/>
              <w:rPr>
                <w:sz w:val="12"/>
                <w:szCs w:val="12"/>
                <w:color w:val="auto"/>
              </w:rPr>
            </w:pPr>
          </w:p>
        </w:tc>
        <w:tc>
          <w:tcPr>
            <w:tcW w:w="146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00" w:type="dxa"/>
            <w:vAlign w:val="bottom"/>
          </w:tcPr>
          <w:p>
            <w:pPr>
              <w:spacing w:after="0"/>
              <w:rPr>
                <w:sz w:val="15"/>
                <w:szCs w:val="15"/>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w w:val="86"/>
              </w:rPr>
              <w:t>Balance</w:t>
            </w:r>
          </w:p>
        </w:tc>
        <w:tc>
          <w:tcPr>
            <w:tcW w:w="1660" w:type="dxa"/>
            <w:vAlign w:val="bottom"/>
          </w:tcPr>
          <w:p>
            <w:pPr>
              <w:jc w:val="right"/>
              <w:ind w:right="571"/>
              <w:spacing w:after="0"/>
              <w:rPr>
                <w:sz w:val="20"/>
                <w:szCs w:val="20"/>
                <w:color w:val="auto"/>
              </w:rPr>
            </w:pPr>
            <w:r>
              <w:rPr>
                <w:rFonts w:ascii="Arial" w:cs="Arial" w:eastAsia="Arial" w:hAnsi="Arial"/>
                <w:sz w:val="14"/>
                <w:szCs w:val="14"/>
                <w:color w:val="auto"/>
              </w:rPr>
              <w:t>Interest</w:t>
            </w:r>
          </w:p>
        </w:tc>
        <w:tc>
          <w:tcPr>
            <w:tcW w:w="1480" w:type="dxa"/>
            <w:vAlign w:val="bottom"/>
          </w:tcPr>
          <w:p>
            <w:pPr>
              <w:jc w:val="right"/>
              <w:ind w:right="771"/>
              <w:spacing w:after="0"/>
              <w:rPr>
                <w:sz w:val="20"/>
                <w:szCs w:val="20"/>
                <w:color w:val="auto"/>
              </w:rPr>
            </w:pPr>
            <w:r>
              <w:rPr>
                <w:rFonts w:ascii="Arial" w:cs="Arial" w:eastAsia="Arial" w:hAnsi="Arial"/>
                <w:sz w:val="14"/>
                <w:szCs w:val="14"/>
                <w:color w:val="auto"/>
              </w:rPr>
              <w:t>Rate</w:t>
            </w:r>
          </w:p>
        </w:tc>
        <w:tc>
          <w:tcPr>
            <w:tcW w:w="1020" w:type="dxa"/>
            <w:vAlign w:val="bottom"/>
          </w:tcPr>
          <w:p>
            <w:pPr>
              <w:jc w:val="right"/>
              <w:ind w:right="291"/>
              <w:spacing w:after="0"/>
              <w:rPr>
                <w:sz w:val="20"/>
                <w:szCs w:val="20"/>
                <w:color w:val="auto"/>
              </w:rPr>
            </w:pPr>
            <w:r>
              <w:rPr>
                <w:rFonts w:ascii="Arial" w:cs="Arial" w:eastAsia="Arial" w:hAnsi="Arial"/>
                <w:sz w:val="14"/>
                <w:szCs w:val="14"/>
                <w:color w:val="auto"/>
              </w:rPr>
              <w:t>Balance</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Interest</w:t>
            </w:r>
          </w:p>
        </w:tc>
        <w:tc>
          <w:tcPr>
            <w:tcW w:w="1460" w:type="dxa"/>
            <w:vAlign w:val="bottom"/>
          </w:tcPr>
          <w:p>
            <w:pPr>
              <w:jc w:val="right"/>
              <w:ind w:right="271"/>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Earning assets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13,096</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$ 131,460</w:t>
            </w:r>
          </w:p>
        </w:tc>
        <w:tc>
          <w:tcPr>
            <w:tcW w:w="1480" w:type="dxa"/>
            <w:vAlign w:val="bottom"/>
          </w:tcPr>
          <w:p>
            <w:pPr>
              <w:jc w:val="right"/>
              <w:ind w:right="411"/>
              <w:spacing w:after="0"/>
              <w:rPr>
                <w:sz w:val="20"/>
                <w:szCs w:val="20"/>
                <w:color w:val="auto"/>
              </w:rPr>
            </w:pPr>
            <w:r>
              <w:rPr>
                <w:rFonts w:ascii="Arial" w:cs="Arial" w:eastAsia="Arial" w:hAnsi="Arial"/>
                <w:sz w:val="18"/>
                <w:szCs w:val="18"/>
                <w:color w:val="auto"/>
              </w:rPr>
              <w:t>4.03%</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13,408</w:t>
            </w:r>
          </w:p>
        </w:tc>
        <w:tc>
          <w:tcPr>
            <w:tcW w:w="1160" w:type="dxa"/>
            <w:vAlign w:val="bottom"/>
          </w:tcPr>
          <w:p>
            <w:pPr>
              <w:jc w:val="right"/>
              <w:spacing w:after="0"/>
              <w:rPr>
                <w:sz w:val="20"/>
                <w:szCs w:val="20"/>
                <w:color w:val="auto"/>
              </w:rPr>
            </w:pPr>
            <w:r>
              <w:rPr>
                <w:rFonts w:ascii="Arial" w:cs="Arial" w:eastAsia="Arial" w:hAnsi="Arial"/>
                <w:sz w:val="18"/>
                <w:szCs w:val="18"/>
                <w:color w:val="auto"/>
              </w:rPr>
              <w:t>128,147</w:t>
            </w:r>
          </w:p>
        </w:tc>
        <w:tc>
          <w:tcPr>
            <w:tcW w:w="14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20,759</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240,728</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4.64</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20,867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0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5,653</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75,643</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5.35</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5,742</w:t>
            </w:r>
          </w:p>
        </w:tc>
        <w:tc>
          <w:tcPr>
            <w:tcW w:w="1160" w:type="dxa"/>
            <w:vAlign w:val="bottom"/>
          </w:tcPr>
          <w:p>
            <w:pPr>
              <w:jc w:val="right"/>
              <w:spacing w:after="0"/>
              <w:rPr>
                <w:sz w:val="20"/>
                <w:szCs w:val="20"/>
                <w:color w:val="auto"/>
              </w:rPr>
            </w:pPr>
            <w:r>
              <w:rPr>
                <w:rFonts w:ascii="Arial" w:cs="Arial" w:eastAsia="Arial" w:hAnsi="Arial"/>
                <w:sz w:val="18"/>
                <w:szCs w:val="18"/>
                <w:color w:val="auto"/>
              </w:rPr>
              <w:t>76,283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11,770</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153,728</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5.24</w:t>
            </w:r>
          </w:p>
        </w:tc>
        <w:tc>
          <w:tcPr>
            <w:tcW w:w="10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11,931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154,688</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5.26</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51,278</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601,559</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4.71</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51,948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592,679</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.02</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 resell</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4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11</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159</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.96</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 securities**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4,758</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51,282</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4.32</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4.53</w:t>
            </w:r>
          </w:p>
        </w:tc>
      </w:tr>
      <w:tr>
        <w:trPr>
          <w:trHeight w:val="202"/>
        </w:trPr>
        <w:tc>
          <w:tcPr>
            <w:tcW w:w="20" w:type="dxa"/>
            <w:vAlign w:val="bottom"/>
          </w:tcPr>
          <w:p>
            <w:pPr>
              <w:spacing w:after="0"/>
              <w:rPr>
                <w:sz w:val="17"/>
                <w:szCs w:val="17"/>
                <w:color w:val="auto"/>
              </w:rPr>
            </w:pPr>
          </w:p>
        </w:tc>
        <w:tc>
          <w:tcPr>
            <w:tcW w:w="342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272</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3,963</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5.85</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268</w:t>
            </w:r>
          </w:p>
        </w:tc>
        <w:tc>
          <w:tcPr>
            <w:tcW w:w="1160" w:type="dxa"/>
            <w:vAlign w:val="bottom"/>
          </w:tcPr>
          <w:p>
            <w:pPr>
              <w:jc w:val="right"/>
              <w:spacing w:after="0"/>
              <w:rPr>
                <w:sz w:val="20"/>
                <w:szCs w:val="20"/>
                <w:color w:val="auto"/>
              </w:rPr>
            </w:pPr>
            <w:r>
              <w:rPr>
                <w:rFonts w:ascii="Arial" w:cs="Arial" w:eastAsia="Arial" w:hAnsi="Arial"/>
                <w:sz w:val="18"/>
                <w:szCs w:val="18"/>
                <w:color w:val="auto"/>
              </w:rPr>
              <w:t>3,741</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3,346</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33,910</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4.07</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3,508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36,618</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4.23</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8,376</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89,155</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4.27</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8,172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89,490</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59,811</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690,889</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4.63</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60,331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682,309</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4.59</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(905)</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(900)</w:t>
            </w: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1,068</w:t>
            </w: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1,136</w:t>
            </w: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8,360</w:t>
            </w:r>
          </w:p>
        </w:tc>
        <w:tc>
          <w:tcPr>
            <w:tcW w:w="1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8,316</w:t>
            </w: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68,334</w:t>
            </w: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68,883</w:t>
            </w: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619</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219</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.14</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0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25,942</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21,464</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25,068</w:t>
            </w:r>
          </w:p>
        </w:tc>
        <w:tc>
          <w:tcPr>
            <w:tcW w:w="1160" w:type="dxa"/>
            <w:vAlign w:val="bottom"/>
          </w:tcPr>
          <w:p>
            <w:pPr>
              <w:jc w:val="right"/>
              <w:spacing w:after="0"/>
              <w:rPr>
                <w:sz w:val="20"/>
                <w:szCs w:val="20"/>
                <w:color w:val="auto"/>
              </w:rPr>
            </w:pPr>
            <w:r>
              <w:rPr>
                <w:rFonts w:ascii="Arial" w:cs="Arial" w:eastAsia="Arial" w:hAnsi="Arial"/>
                <w:sz w:val="18"/>
                <w:szCs w:val="18"/>
                <w:color w:val="auto"/>
              </w:rPr>
              <w:t>20,449</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6,789</w:t>
            </w:r>
          </w:p>
        </w:tc>
        <w:tc>
          <w:tcPr>
            <w:tcW w:w="16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26,254</w:t>
            </w:r>
          </w:p>
        </w:tc>
        <w:tc>
          <w:tcPr>
            <w:tcW w:w="148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1.55</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7,210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Cayman Islands office</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972</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376</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1,237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34,322</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48,313</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.56</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34,100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50,420</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1,763</w:t>
            </w:r>
          </w:p>
        </w:tc>
        <w:tc>
          <w:tcPr>
            <w:tcW w:w="1660" w:type="dxa"/>
            <w:vAlign w:val="bottom"/>
          </w:tcPr>
          <w:p>
            <w:pPr>
              <w:jc w:val="right"/>
              <w:ind w:right="431"/>
              <w:spacing w:after="0"/>
              <w:rPr>
                <w:sz w:val="20"/>
                <w:szCs w:val="20"/>
                <w:color w:val="auto"/>
              </w:rPr>
            </w:pPr>
            <w:r>
              <w:rPr>
                <w:rFonts w:ascii="Arial" w:cs="Arial" w:eastAsia="Arial" w:hAnsi="Arial"/>
                <w:sz w:val="18"/>
                <w:szCs w:val="18"/>
                <w:color w:val="auto"/>
              </w:rPr>
              <w:t>726</w:t>
            </w: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2,367</w:t>
            </w:r>
          </w:p>
        </w:tc>
        <w:tc>
          <w:tcPr>
            <w:tcW w:w="1160" w:type="dxa"/>
            <w:vAlign w:val="bottom"/>
          </w:tcPr>
          <w:p>
            <w:pPr>
              <w:jc w:val="right"/>
              <w:spacing w:after="0"/>
              <w:rPr>
                <w:sz w:val="20"/>
                <w:szCs w:val="20"/>
                <w:color w:val="auto"/>
              </w:rPr>
            </w:pPr>
            <w:r>
              <w:rPr>
                <w:rFonts w:ascii="Arial" w:cs="Arial" w:eastAsia="Arial" w:hAnsi="Arial"/>
                <w:sz w:val="18"/>
                <w:szCs w:val="18"/>
                <w:color w:val="auto"/>
              </w:rPr>
              <w:t>887</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9,454</w:t>
            </w:r>
          </w:p>
        </w:tc>
        <w:tc>
          <w:tcPr>
            <w:tcW w:w="16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68,518</w:t>
            </w: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2.91</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10,160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2.74</w:t>
            </w: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45,539</w:t>
            </w: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117,557</w:t>
            </w:r>
          </w:p>
        </w:tc>
        <w:tc>
          <w:tcPr>
            <w:tcW w:w="14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1.04</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46,627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120,052</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13,610</w:t>
            </w: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13,294</w:t>
            </w:r>
          </w:p>
        </w:tc>
        <w:tc>
          <w:tcPr>
            <w:tcW w:w="1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1,149</w:t>
            </w:r>
          </w:p>
        </w:tc>
        <w:tc>
          <w:tcPr>
            <w:tcW w:w="16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1,094</w:t>
            </w:r>
          </w:p>
        </w:tc>
        <w:tc>
          <w:tcPr>
            <w:tcW w:w="1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60,298</w:t>
            </w: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61,015</w:t>
            </w: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8,036</w:t>
            </w:r>
          </w:p>
        </w:tc>
        <w:tc>
          <w:tcPr>
            <w:tcW w:w="1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7,868</w:t>
            </w:r>
          </w:p>
        </w:tc>
        <w:tc>
          <w:tcPr>
            <w:tcW w:w="1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shareholders’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68,334</w:t>
            </w:r>
          </w:p>
        </w:tc>
        <w:tc>
          <w:tcPr>
            <w:tcW w:w="16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68,883</w:t>
            </w:r>
          </w:p>
        </w:tc>
        <w:tc>
          <w:tcPr>
            <w:tcW w:w="1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spread</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80" w:type="dxa"/>
            <w:vAlign w:val="bottom"/>
          </w:tcPr>
          <w:p>
            <w:pPr>
              <w:jc w:val="right"/>
              <w:ind w:right="571"/>
              <w:spacing w:after="0"/>
              <w:rPr>
                <w:sz w:val="20"/>
                <w:szCs w:val="20"/>
                <w:color w:val="auto"/>
              </w:rPr>
            </w:pPr>
            <w:r>
              <w:rPr>
                <w:rFonts w:ascii="Arial" w:cs="Arial" w:eastAsia="Arial" w:hAnsi="Arial"/>
                <w:sz w:val="18"/>
                <w:szCs w:val="18"/>
                <w:color w:val="auto"/>
              </w:rPr>
              <w:t>3.59</w:t>
            </w: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$ 573,332</w:t>
            </w: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3.84%</w:t>
            </w: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562,257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bl>
    <w:p>
      <w:pPr>
        <w:spacing w:after="0" w:line="17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40" w:firstLine="233"/>
        <w:spacing w:after="0" w:line="312" w:lineRule="auto"/>
        <w:tabs>
          <w:tab w:leader="none" w:pos="47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2011.</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2011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80" w:hanging="247"/>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29"/>
        </w:numPr>
        <w:rPr>
          <w:rFonts w:ascii="Arial" w:cs="Arial" w:eastAsia="Arial" w:hAnsi="Arial"/>
          <w:sz w:val="18"/>
          <w:szCs w:val="18"/>
          <w:color w:val="auto"/>
        </w:r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rPr>
              <w:t>(d)Maximum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6"/>
              </w:rPr>
              <w:t>(c)Total</w:t>
            </w:r>
          </w:p>
        </w:tc>
        <w:tc>
          <w:tcPr>
            <w:tcW w:w="6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6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6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w:t>
            </w:r>
          </w:p>
        </w:tc>
        <w:tc>
          <w:tcPr>
            <w:tcW w:w="6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(a)Total</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6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(b)Average</w:t>
            </w: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6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of Shares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Price Paid</w:t>
            </w: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6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(or Units)</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per Share</w:t>
            </w:r>
          </w:p>
        </w:tc>
        <w:tc>
          <w:tcPr>
            <w:tcW w:w="6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6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500" w:type="dxa"/>
            <w:vAlign w:val="bottom"/>
            <w:gridSpan w:val="3"/>
          </w:tcPr>
          <w:p>
            <w:pPr>
              <w:jc w:val="center"/>
              <w:ind w:left="1334"/>
              <w:spacing w:after="0"/>
              <w:rPr>
                <w:sz w:val="20"/>
                <w:szCs w:val="20"/>
                <w:color w:val="auto"/>
              </w:rPr>
            </w:pPr>
            <w:r>
              <w:rPr>
                <w:rFonts w:ascii="Arial" w:cs="Arial" w:eastAsia="Arial" w:hAnsi="Arial"/>
                <w:sz w:val="14"/>
                <w:szCs w:val="14"/>
                <w:color w:val="auto"/>
                <w:w w:val="90"/>
              </w:rPr>
              <w:t>Purchased (1)</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rPr>
              <w:t>(or Unit)</w:t>
            </w:r>
          </w:p>
        </w:tc>
        <w:tc>
          <w:tcPr>
            <w:tcW w:w="6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66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2011</w:t>
            </w:r>
          </w:p>
        </w:tc>
        <w:tc>
          <w:tcPr>
            <w:tcW w:w="2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85,279</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6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February 1 - February 28, 2011</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10,170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89.83</w:t>
            </w:r>
          </w:p>
        </w:tc>
        <w:tc>
          <w:tcPr>
            <w:tcW w:w="660" w:type="dxa"/>
            <w:vAlign w:val="bottom"/>
          </w:tcPr>
          <w:p>
            <w:pPr>
              <w:spacing w:after="0"/>
              <w:rPr>
                <w:sz w:val="24"/>
                <w:szCs w:val="24"/>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2011</w:t>
            </w:r>
          </w:p>
        </w:tc>
        <w:tc>
          <w:tcPr>
            <w:tcW w:w="20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vMerge w:val="restart"/>
          </w:tcPr>
          <w:p>
            <w:pPr>
              <w:jc w:val="right"/>
              <w:spacing w:after="0"/>
              <w:rPr>
                <w:sz w:val="20"/>
                <w:szCs w:val="20"/>
                <w:color w:val="auto"/>
              </w:rPr>
            </w:pPr>
            <w:r>
              <w:rPr>
                <w:rFonts w:ascii="Arial" w:cs="Arial" w:eastAsia="Arial" w:hAnsi="Arial"/>
                <w:sz w:val="18"/>
                <w:szCs w:val="18"/>
                <w:color w:val="auto"/>
              </w:rPr>
              <w:t>95,449</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2"/>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87.07</w:t>
            </w:r>
          </w:p>
        </w:tc>
        <w:tc>
          <w:tcPr>
            <w:tcW w:w="660" w:type="dxa"/>
            <w:vAlign w:val="bottom"/>
          </w:tcPr>
          <w:p>
            <w:pPr>
              <w:spacing w:after="0" w:line="20" w:lineRule="exact"/>
              <w:rPr>
                <w:sz w:val="1"/>
                <w:szCs w:val="1"/>
                <w:color w:val="auto"/>
              </w:rPr>
            </w:pPr>
          </w:p>
        </w:tc>
        <w:tc>
          <w:tcPr>
            <w:tcW w:w="680" w:type="dxa"/>
            <w:vAlign w:val="bottom"/>
            <w:vMerge w:val="restart"/>
          </w:tcPr>
          <w:p>
            <w:pPr>
              <w:ind w:left="50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gridSpan w:val="2"/>
            <w:vMerge w:val="continue"/>
          </w:tcPr>
          <w:p>
            <w:pPr>
              <w:spacing w:after="0"/>
              <w:rPr>
                <w:sz w:val="24"/>
                <w:szCs w:val="24"/>
                <w:color w:val="auto"/>
              </w:rPr>
            </w:pPr>
          </w:p>
        </w:tc>
        <w:tc>
          <w:tcPr>
            <w:tcW w:w="28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120" w:hanging="452"/>
        <w:spacing w:after="0" w:line="31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40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400"/>
        <w:spacing w:after="0"/>
        <w:rPr>
          <w:sz w:val="20"/>
          <w:szCs w:val="20"/>
          <w:color w:val="auto"/>
        </w:rPr>
      </w:pPr>
      <w:r>
        <w:rPr>
          <w:rFonts w:ascii="Arial" w:cs="Arial" w:eastAsia="Arial" w:hAnsi="Arial"/>
          <w:sz w:val="14"/>
          <w:szCs w:val="14"/>
          <w:color w:val="auto"/>
        </w:rPr>
        <w:t>Exhibit</w:t>
      </w:r>
    </w:p>
    <w:p>
      <w:pPr>
        <w:jc w:val="center"/>
        <w:ind w:right="10400"/>
        <w:spacing w:after="0" w:line="231" w:lineRule="auto"/>
        <w:rPr>
          <w:sz w:val="20"/>
          <w:szCs w:val="20"/>
          <w:color w:val="auto"/>
        </w:rPr>
      </w:pPr>
      <w:r>
        <w:rPr>
          <w:rFonts w:ascii="Arial" w:cs="Arial" w:eastAsia="Arial" w:hAnsi="Arial"/>
          <w:sz w:val="14"/>
          <w:szCs w:val="14"/>
          <w:color w:val="auto"/>
        </w:rPr>
        <w:t>No.</w:t>
      </w:r>
    </w:p>
    <w:tbl>
      <w:tblPr>
        <w:tblLayout w:type="fixed"/>
        <w:tblInd w:w="0" w:type="dxa"/>
        <w:tblCellMar>
          <w:top w:w="0" w:type="dxa"/>
          <w:left w:w="0" w:type="dxa"/>
          <w:bottom w:w="0" w:type="dxa"/>
          <w:right w:w="0" w:type="dxa"/>
        </w:tblCellMar>
      </w:tblPr>
      <w:tr>
        <w:trPr>
          <w:trHeight w:val="230"/>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104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411"/>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April 29, 2011</w:t>
      </w:r>
      <w:r>
        <w:rPr>
          <w:sz w:val="20"/>
          <w:szCs w:val="20"/>
          <w:color w:val="auto"/>
        </w:rPr>
        <w:tab/>
      </w:r>
      <w:r>
        <w:rPr>
          <w:rFonts w:ascii="Arial" w:cs="Arial" w:eastAsia="Arial" w:hAnsi="Arial"/>
          <w:sz w:val="16"/>
          <w:szCs w:val="16"/>
          <w:color w:val="auto"/>
        </w:rPr>
        <w:t>By: /s/ René F. Jones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400" w:type="dxa"/>
            <w:vAlign w:val="bottom"/>
          </w:tcPr>
          <w:p>
            <w:pPr>
              <w:ind w:left="424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46"/>
        </w:trPr>
        <w:tc>
          <w:tcPr>
            <w:tcW w:w="8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10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0400" w:type="dxa"/>
            <w:vAlign w:val="bottom"/>
            <w:vMerge w:val="restart"/>
          </w:tcPr>
          <w:p>
            <w:pPr>
              <w:ind w:left="3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c>
          <w:tcPr>
            <w:tcW w:w="0" w:type="dxa"/>
            <w:vAlign w:val="bottom"/>
          </w:tcPr>
          <w:p>
            <w:pPr>
              <w:spacing w:after="0"/>
              <w:rPr>
                <w:sz w:val="1"/>
                <w:szCs w:val="1"/>
                <w:color w:val="auto"/>
              </w:rPr>
            </w:pPr>
          </w:p>
        </w:tc>
      </w:tr>
      <w:tr>
        <w:trPr>
          <w:trHeight w:val="224"/>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400" w:type="dxa"/>
            <w:vAlign w:val="bottom"/>
          </w:tcPr>
          <w:p>
            <w:pPr>
              <w:ind w:left="340"/>
              <w:spacing w:after="0"/>
              <w:rPr>
                <w:sz w:val="20"/>
                <w:szCs w:val="20"/>
                <w:color w:val="auto"/>
              </w:rPr>
            </w:pPr>
            <w:r>
              <w:rPr>
                <w:rFonts w:ascii="Arial" w:cs="Arial" w:eastAsia="Arial" w:hAnsi="Arial"/>
                <w:sz w:val="18"/>
                <w:szCs w:val="18"/>
                <w:color w:val="auto"/>
              </w:rPr>
              <w:t>XBRL Taxonomy Definition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9" w:lineRule="exact"/>
        <w:rPr>
          <w:rFonts w:ascii="Arial" w:cs="Arial" w:eastAsia="Arial" w:hAnsi="Arial"/>
          <w:sz w:val="18"/>
          <w:szCs w:val="18"/>
          <w:color w:val="auto"/>
        </w:rPr>
      </w:pPr>
    </w:p>
    <w:p>
      <w:pPr>
        <w:ind w:left="5620" w:hanging="101"/>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220"/>
          </w:cols>
          <w:pgMar w:left="240" w:top="419" w:right="4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8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460" w:right="200" w:hanging="452"/>
        <w:spacing w:after="0" w:line="308"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8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460" w:right="20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5469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20" w:hanging="43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2011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20" w:hanging="43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2011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27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2011</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lowerLetter"/>
      <w:start w:val="1"/>
    </w:lvl>
    <w:lvl w:ilvl="1">
      <w:lvlJc w:val="left"/>
      <w:lvlText w:val="-"/>
      <w:numFmt w:val="bullet"/>
      <w:start w:val="1"/>
    </w:lvl>
  </w:abstractNum>
  <w:abstractNum w:abstractNumId="3">
    <w:nsid w:val="2D1D5AE9"/>
    <w:multiLevelType w:val="hybridMultilevel"/>
    <w:lvl w:ilvl="0">
      <w:lvlJc w:val="left"/>
      <w:lvlText w:val="%1."/>
      <w:numFmt w:val="decimal"/>
      <w:start w:val="6"/>
    </w:lvl>
    <w:lvl w:ilvl="1">
      <w:lvlJc w:val="left"/>
      <w:lvlText w:val="•"/>
      <w:numFmt w:val="bullet"/>
      <w:start w:val="1"/>
    </w:lvl>
  </w:abstractNum>
  <w:abstractNum w:abstractNumId="4">
    <w:nsid w:val="6763845E"/>
    <w:multiLevelType w:val="hybridMultilevel"/>
    <w:lvl w:ilvl="0">
      <w:lvlJc w:val="left"/>
      <w:lvlText w:val="(%1)"/>
      <w:numFmt w:val="lowerLetter"/>
      <w:start w:val="1"/>
    </w:lvl>
    <w:lvl w:ilvl="1">
      <w:lvlJc w:val="left"/>
      <w:lvlText w:val="-"/>
      <w:numFmt w:val="bullet"/>
      <w:start w:val="1"/>
    </w:lvl>
  </w:abstractNum>
  <w:abstractNum w:abstractNumId="5">
    <w:nsid w:val="75A2A8D4"/>
    <w:multiLevelType w:val="hybridMultilevel"/>
    <w:lvl w:ilvl="0">
      <w:lvlJc w:val="left"/>
      <w:lvlText w:val="(%1)"/>
      <w:numFmt w:val="lowerLetter"/>
      <w:start w:val="1"/>
    </w:lvl>
    <w:lvl w:ilvl="1">
      <w:lvlJc w:val="left"/>
      <w:lvlText w:val="-"/>
      <w:numFmt w:val="bullet"/>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lvl w:ilvl="1">
      <w:lvlJc w:val="left"/>
      <w:lvlText w:val="-"/>
      <w:numFmt w:val="bullet"/>
      <w:start w:val="1"/>
    </w:lvl>
  </w:abstractNum>
  <w:abstractNum w:abstractNumId="9">
    <w:nsid w:val="B03E0C6"/>
    <w:multiLevelType w:val="hybridMultilevel"/>
    <w:lvl w:ilvl="0">
      <w:lvlJc w:val="left"/>
      <w:lvlText w:val="(%1)"/>
      <w:numFmt w:val="lowerLetter"/>
      <w:start w:val="1"/>
    </w:lvl>
    <w:lvl w:ilvl="1">
      <w:lvlJc w:val="left"/>
      <w:lvlText w:val="-"/>
      <w:numFmt w:val="bullet"/>
      <w:start w:val="1"/>
    </w:lvl>
  </w:abstractNum>
  <w:abstractNum w:abstractNumId="10">
    <w:nsid w:val="189A769B"/>
    <w:multiLevelType w:val="hybridMultilevel"/>
    <w:lvl w:ilvl="0">
      <w:lvlJc w:val="left"/>
      <w:lvlText w:val="(%1)"/>
      <w:numFmt w:val="lowerLetter"/>
      <w:start w:val="1"/>
    </w:lvl>
    <w:lvl w:ilvl="1">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Roman"/>
      <w:start w:val="3"/>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lvl w:ilvl="1">
      <w:lvlJc w:val="left"/>
      <w:lvlText w:val="-"/>
      <w:numFmt w:val="bullet"/>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3"/>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lvl w:ilvl="1">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2019-12-10T00:46:31Z</dcterms:created>
  <dcterms:modified xsi:type="dcterms:W3CDTF">2019-12-10T00:46:31Z</dcterms:modified>
</cp:coreProperties>
</file>