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New York</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5"/>
              </w:rPr>
              <w:t>One M &amp; T Plaza</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Buffalo, New York</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14203</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(716) 842-5445</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0" w:lineRule="exact"/>
        <w:rPr>
          <w:sz w:val="24"/>
          <w:szCs w:val="24"/>
          <w:color w:val="auto"/>
        </w:rPr>
      </w:pPr>
    </w:p>
    <w:p>
      <w:pPr>
        <w:sectPr>
          <w:pgSz w:w="11900" w:h="16838" w:orient="portrait"/>
          <w:cols w:equalWidth="0" w:num="5">
            <w:col w:w="7980" w:space="160"/>
            <w:col w:w="160" w:space="100"/>
            <w:col w:w="240" w:space="180"/>
            <w:col w:w="160" w:space="100"/>
            <w:col w:w="2340"/>
          </w:cols>
          <w:pgMar w:left="240" w:top="230"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April 30, 2013: 129,008,896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60" w:type="dxa"/>
            <w:vAlign w:val="bottom"/>
            <w:gridSpan w:val="13"/>
          </w:tcPr>
          <w:p>
            <w:pPr>
              <w:jc w:val="center"/>
              <w:ind w:right="4240"/>
              <w:spacing w:after="0"/>
              <w:rPr>
                <w:sz w:val="20"/>
                <w:szCs w:val="20"/>
                <w:color w:val="auto"/>
              </w:rPr>
            </w:pPr>
            <w:r>
              <w:rPr>
                <w:rFonts w:ascii="Arial" w:cs="Arial" w:eastAsia="Arial" w:hAnsi="Arial"/>
                <w:sz w:val="18"/>
                <w:szCs w:val="18"/>
                <w:color w:val="auto"/>
                <w:w w:val="96"/>
              </w:rPr>
              <w:t>M&amp;T BANK CORPORATION</w:t>
            </w:r>
          </w:p>
        </w:tc>
        <w:tc>
          <w:tcPr>
            <w:tcW w:w="260" w:type="dxa"/>
            <w:vAlign w:val="bottom"/>
          </w:tcPr>
          <w:p>
            <w:pPr>
              <w:spacing w:after="0"/>
              <w:rPr>
                <w:sz w:val="17"/>
                <w:szCs w:val="17"/>
                <w:color w:val="auto"/>
              </w:rPr>
            </w:pPr>
          </w:p>
        </w:tc>
      </w:tr>
      <w:tr>
        <w:trPr>
          <w:trHeight w:val="35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gridSpan w:val="4"/>
          </w:tcPr>
          <w:p>
            <w:pPr>
              <w:jc w:val="center"/>
              <w:ind w:right="660"/>
              <w:spacing w:after="0"/>
              <w:rPr>
                <w:sz w:val="20"/>
                <w:szCs w:val="20"/>
                <w:color w:val="auto"/>
              </w:rPr>
            </w:pPr>
            <w:r>
              <w:rPr>
                <w:rFonts w:ascii="Arial" w:cs="Arial" w:eastAsia="Arial" w:hAnsi="Arial"/>
                <w:sz w:val="18"/>
                <w:szCs w:val="18"/>
                <w:color w:val="auto"/>
                <w:w w:val="91"/>
              </w:rPr>
              <w:t>FORM 10-Q</w:t>
            </w:r>
          </w:p>
        </w:tc>
        <w:tc>
          <w:tcPr>
            <w:tcW w:w="4240" w:type="dxa"/>
            <w:vAlign w:val="bottom"/>
            <w:gridSpan w:val="8"/>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gridSpan w:val="15"/>
          </w:tcPr>
          <w:p>
            <w:pPr>
              <w:jc w:val="center"/>
              <w:ind w:right="3660"/>
              <w:spacing w:after="0"/>
              <w:rPr>
                <w:sz w:val="20"/>
                <w:szCs w:val="20"/>
                <w:color w:val="auto"/>
              </w:rPr>
            </w:pPr>
            <w:r>
              <w:rPr>
                <w:rFonts w:ascii="Arial" w:cs="Arial" w:eastAsia="Arial" w:hAnsi="Arial"/>
                <w:sz w:val="18"/>
                <w:szCs w:val="18"/>
                <w:color w:val="auto"/>
                <w:w w:val="88"/>
              </w:rPr>
              <w:t>For the Quarterly Period Ended March 31, 2013</w:t>
            </w:r>
          </w:p>
        </w:tc>
        <w:tc>
          <w:tcPr>
            <w:tcW w:w="260" w:type="dxa"/>
            <w:vAlign w:val="bottom"/>
          </w:tcPr>
          <w:p>
            <w:pPr>
              <w:spacing w:after="0"/>
              <w:rPr>
                <w:sz w:val="24"/>
                <w:szCs w:val="24"/>
                <w:color w:val="auto"/>
              </w:rPr>
            </w:pPr>
          </w:p>
        </w:tc>
      </w:tr>
      <w:tr>
        <w:trPr>
          <w:trHeight w:val="459"/>
        </w:trPr>
        <w:tc>
          <w:tcPr>
            <w:tcW w:w="384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2"/>
              </w:rPr>
              <w:t>Table of Contents of Information Required in Report</w:t>
            </w:r>
          </w:p>
        </w:tc>
        <w:tc>
          <w:tcPr>
            <w:tcW w:w="180" w:type="dxa"/>
            <w:vAlign w:val="bottom"/>
          </w:tcPr>
          <w:p>
            <w:pPr>
              <w:spacing w:after="0"/>
              <w:rPr>
                <w:sz w:val="24"/>
                <w:szCs w:val="24"/>
                <w:color w:val="auto"/>
              </w:rPr>
            </w:pPr>
          </w:p>
        </w:tc>
        <w:tc>
          <w:tcPr>
            <w:tcW w:w="3380" w:type="dxa"/>
            <w:vAlign w:val="bottom"/>
            <w:tcBorders>
              <w:top w:val="single" w:sz="8" w:color="auto"/>
            </w:tcBorders>
            <w:gridSpan w:val="9"/>
          </w:tcPr>
          <w:p>
            <w:pPr>
              <w:spacing w:after="0"/>
              <w:rPr>
                <w:sz w:val="24"/>
                <w:szCs w:val="24"/>
                <w:color w:val="auto"/>
              </w:rPr>
            </w:pPr>
          </w:p>
        </w:tc>
        <w:tc>
          <w:tcPr>
            <w:tcW w:w="3660" w:type="dxa"/>
            <w:vAlign w:val="bottom"/>
            <w:gridSpan w:val="6"/>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96"/>
        </w:trPr>
        <w:tc>
          <w:tcPr>
            <w:tcW w:w="11060" w:type="dxa"/>
            <w:vAlign w:val="bottom"/>
            <w:gridSpan w:val="28"/>
          </w:tcPr>
          <w:p>
            <w:pPr>
              <w:spacing w:after="0"/>
              <w:rPr>
                <w:sz w:val="20"/>
                <w:szCs w:val="20"/>
                <w:color w:val="auto"/>
              </w:rPr>
            </w:pPr>
            <w:r>
              <w:rPr>
                <w:rFonts w:ascii="Arial" w:cs="Arial" w:eastAsia="Arial" w:hAnsi="Arial"/>
                <w:sz w:val="18"/>
                <w:szCs w:val="18"/>
                <w:color w:val="auto"/>
              </w:rPr>
              <w:t>Part I. FINANCIAL INFORMATION</w:t>
            </w:r>
          </w:p>
        </w:tc>
        <w:tc>
          <w:tcPr>
            <w:tcW w:w="260" w:type="dxa"/>
            <w:vAlign w:val="bottom"/>
          </w:tcPr>
          <w:p>
            <w:pPr>
              <w:spacing w:after="0"/>
              <w:rPr>
                <w:sz w:val="24"/>
                <w:szCs w:val="24"/>
                <w:color w:val="auto"/>
              </w:rPr>
            </w:pPr>
          </w:p>
        </w:tc>
      </w:tr>
      <w:tr>
        <w:trPr>
          <w:trHeight w:val="286"/>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96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SHEET—March 31, 2013 and December 31, 2012</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INCOME—Three months ended March 31, 2013 and 2012</w:t>
              </w:r>
            </w:hyperlink>
          </w:p>
        </w:tc>
        <w:tc>
          <w:tcPr>
            <w:tcW w:w="274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COMPREHENSIVE INCOME—Three months ended March 31, 2013 and 2012</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60" w:type="dxa"/>
            <w:vAlign w:val="bottom"/>
            <w:tcBorders>
              <w:top w:val="single" w:sz="8" w:color="0000EE"/>
            </w:tcBorders>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FLOWS—Three months ended March 31, 2013 and 2012</w:t>
              </w:r>
            </w:hyperlink>
          </w:p>
        </w:tc>
        <w:tc>
          <w:tcPr>
            <w:tcW w:w="124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25"/>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CHANGES IN SHAREHOLDERS’ EQUITY—Three months ended March 31, 2013 and</w:t>
              </w:r>
            </w:hyperlink>
          </w:p>
        </w:tc>
        <w:tc>
          <w:tcPr>
            <w:tcW w:w="2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2012</w:t>
              </w:r>
            </w:hyperlink>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NOTES TO FINANCIAL STATEMENTS</w:t>
              </w:r>
            </w:hyperlink>
          </w:p>
        </w:tc>
        <w:tc>
          <w:tcPr>
            <w:tcW w:w="6620" w:type="dxa"/>
            <w:vAlign w:val="bottom"/>
            <w:gridSpan w:val="1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63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Management’s Discussion and Analysis of Financial Condition and Results of Operations.</w:t>
              </w:r>
            </w:hyperlink>
          </w:p>
        </w:tc>
        <w:tc>
          <w:tcPr>
            <w:tcW w:w="326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Quantitative and Qualitative Disclosures About Market Risk.</w:t>
              </w:r>
            </w:hyperlink>
          </w:p>
        </w:tc>
        <w:tc>
          <w:tcPr>
            <w:tcW w:w="530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9600" w:type="dxa"/>
            <w:vAlign w:val="bottom"/>
            <w:gridSpan w:val="2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3"/>
        </w:trPr>
        <w:tc>
          <w:tcPr>
            <w:tcW w:w="11060" w:type="dxa"/>
            <w:vAlign w:val="bottom"/>
            <w:gridSpan w:val="28"/>
          </w:tcPr>
          <w:p>
            <w:pPr>
              <w:spacing w:after="0"/>
              <w:rPr>
                <w:sz w:val="20"/>
                <w:szCs w:val="20"/>
                <w:color w:val="auto"/>
              </w:rPr>
            </w:pPr>
            <w:r>
              <w:rPr>
                <w:rFonts w:ascii="Arial" w:cs="Arial" w:eastAsia="Arial" w:hAnsi="Arial"/>
                <w:sz w:val="18"/>
                <w:szCs w:val="18"/>
                <w:color w:val="auto"/>
              </w:rPr>
              <w:t>Part II. OTHER INFORMATION</w:t>
            </w:r>
          </w:p>
        </w:tc>
        <w:tc>
          <w:tcPr>
            <w:tcW w:w="260" w:type="dxa"/>
            <w:vAlign w:val="bottom"/>
          </w:tcPr>
          <w:p>
            <w:pPr>
              <w:spacing w:after="0"/>
              <w:rPr>
                <w:sz w:val="24"/>
                <w:szCs w:val="24"/>
                <w:color w:val="auto"/>
              </w:rPr>
            </w:pPr>
          </w:p>
        </w:tc>
      </w:tr>
      <w:tr>
        <w:trPr>
          <w:trHeight w:val="286"/>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94">
              <w:r>
                <w:rPr>
                  <w:rFonts w:ascii="Arial" w:cs="Arial" w:eastAsia="Arial" w:hAnsi="Arial"/>
                  <w:sz w:val="18"/>
                  <w:szCs w:val="18"/>
                  <w:color w:val="0000EE"/>
                  <w:w w:val="85"/>
                </w:rPr>
                <w:t>Legal Proceedings.</w:t>
              </w:r>
            </w:hyperlink>
          </w:p>
        </w:tc>
        <w:tc>
          <w:tcPr>
            <w:tcW w:w="8260" w:type="dxa"/>
            <w:vAlign w:val="bottom"/>
            <w:gridSpan w:val="2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94">
              <w:r>
                <w:rPr>
                  <w:rFonts w:ascii="Arial" w:cs="Arial" w:eastAsia="Arial" w:hAnsi="Arial"/>
                  <w:sz w:val="18"/>
                  <w:szCs w:val="18"/>
                  <w:color w:val="0000EE"/>
                  <w:w w:val="85"/>
                </w:rPr>
                <w:t>Risk Factors.</w:t>
              </w:r>
            </w:hyperlink>
          </w:p>
        </w:tc>
        <w:tc>
          <w:tcPr>
            <w:tcW w:w="8680" w:type="dxa"/>
            <w:vAlign w:val="bottom"/>
            <w:gridSpan w:val="2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42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Unregistered Sales of Equity Securities and Use of Proceeds.</w:t>
              </w:r>
            </w:hyperlink>
          </w:p>
        </w:tc>
        <w:tc>
          <w:tcPr>
            <w:tcW w:w="532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9600" w:type="dxa"/>
            <w:vAlign w:val="bottom"/>
            <w:gridSpan w:val="2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Defaults Upon Senior Securities.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2300" w:type="dxa"/>
            <w:vAlign w:val="bottom"/>
            <w:tcBorders>
              <w:top w:val="single" w:sz="8" w:color="0000EE"/>
            </w:tcBorders>
            <w:gridSpan w:val="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Mine Safety Disclosures.</w:t>
              </w:r>
            </w:hyperlink>
          </w:p>
        </w:tc>
        <w:tc>
          <w:tcPr>
            <w:tcW w:w="7300" w:type="dxa"/>
            <w:vAlign w:val="bottom"/>
            <w:gridSpan w:val="1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840" w:type="dxa"/>
            <w:vAlign w:val="bottom"/>
            <w:gridSpan w:val="1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46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9600" w:type="dxa"/>
            <w:vAlign w:val="bottom"/>
            <w:gridSpan w:val="2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Exhibits.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1460" w:type="dxa"/>
            <w:vAlign w:val="bottom"/>
            <w:gridSpan w:val="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SIGNATURES</w:t>
              </w:r>
            </w:hyperlink>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60" w:type="dxa"/>
            <w:vAlign w:val="bottom"/>
            <w:gridSpan w:val="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 INDEX</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83"/>
        </w:trPr>
        <w:tc>
          <w:tcPr>
            <w:tcW w:w="10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16"/>
          </w:tcPr>
          <w:p>
            <w:pPr>
              <w:jc w:val="center"/>
              <w:ind w:left="3712"/>
              <w:spacing w:after="0"/>
              <w:rPr>
                <w:sz w:val="20"/>
                <w:szCs w:val="20"/>
                <w:color w:val="auto"/>
              </w:rPr>
            </w:pPr>
            <w:r>
              <w:rPr>
                <w:rFonts w:ascii="Arial" w:cs="Arial" w:eastAsia="Arial" w:hAnsi="Arial"/>
                <w:sz w:val="18"/>
                <w:szCs w:val="18"/>
                <w:color w:val="auto"/>
                <w:w w:val="93"/>
              </w:rPr>
              <w:t>- 2 -</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3"/>
              </w:rPr>
              <w:t>Dollars in thousands, except per share</w:t>
            </w:r>
          </w:p>
        </w:tc>
        <w:tc>
          <w:tcPr>
            <w:tcW w:w="70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w w:val="96"/>
              </w:rPr>
              <w:t>March 31,</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66"/>
        </w:trPr>
        <w:tc>
          <w:tcPr>
            <w:tcW w:w="2260" w:type="dxa"/>
            <w:vAlign w:val="bottom"/>
            <w:tcBorders>
              <w:bottom w:val="single" w:sz="8" w:color="auto"/>
            </w:tcBorders>
            <w:gridSpan w:val="2"/>
            <w:vMerge w:val="continue"/>
          </w:tcPr>
          <w:p>
            <w:pPr>
              <w:spacing w:after="0"/>
              <w:rPr>
                <w:sz w:val="14"/>
                <w:szCs w:val="14"/>
                <w:color w:val="auto"/>
              </w:rPr>
            </w:pPr>
          </w:p>
        </w:tc>
        <w:tc>
          <w:tcPr>
            <w:tcW w:w="7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line="146"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86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8280" w:type="dxa"/>
            <w:vAlign w:val="bottom"/>
            <w:tcBorders>
              <w:top w:val="single" w:sz="8" w:color="CCEEFF"/>
            </w:tcBorders>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Cash and due from banks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1,231,091</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1,983,615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1,304,770</w:t>
            </w:r>
          </w:p>
        </w:tc>
        <w:tc>
          <w:tcPr>
            <w:tcW w:w="860" w:type="dxa"/>
            <w:vAlign w:val="bottom"/>
          </w:tcPr>
          <w:p>
            <w:pPr>
              <w:jc w:val="right"/>
              <w:spacing w:after="0"/>
              <w:rPr>
                <w:sz w:val="20"/>
                <w:szCs w:val="20"/>
                <w:color w:val="auto"/>
              </w:rPr>
            </w:pPr>
            <w:r>
              <w:rPr>
                <w:rFonts w:ascii="Arial" w:cs="Arial" w:eastAsia="Arial" w:hAnsi="Arial"/>
                <w:sz w:val="18"/>
                <w:szCs w:val="18"/>
                <w:color w:val="auto"/>
              </w:rPr>
              <w:t>129,945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594,976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Trading account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420,144</w:t>
            </w:r>
          </w:p>
        </w:tc>
        <w:tc>
          <w:tcPr>
            <w:tcW w:w="860" w:type="dxa"/>
            <w:vAlign w:val="bottom"/>
          </w:tcPr>
          <w:p>
            <w:pPr>
              <w:jc w:val="right"/>
              <w:spacing w:after="0"/>
              <w:rPr>
                <w:sz w:val="20"/>
                <w:szCs w:val="20"/>
                <w:color w:val="auto"/>
              </w:rPr>
            </w:pPr>
            <w:r>
              <w:rPr>
                <w:rFonts w:ascii="Arial" w:cs="Arial" w:eastAsia="Arial" w:hAnsi="Arial"/>
                <w:sz w:val="18"/>
                <w:szCs w:val="18"/>
                <w:color w:val="auto"/>
              </w:rPr>
              <w:t>488,966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Investment securities (includes pledged securities that can be sold or repledged of $1,761,978 at March 31, 2013;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$1,801,842 at December 31, 2012)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80" w:type="dxa"/>
            <w:vAlign w:val="bottom"/>
            <w:gridSpan w:val="2"/>
          </w:tcPr>
          <w:p>
            <w:pPr>
              <w:ind w:left="500"/>
              <w:spacing w:after="0"/>
              <w:rPr>
                <w:sz w:val="20"/>
                <w:szCs w:val="20"/>
                <w:color w:val="auto"/>
              </w:rPr>
            </w:pPr>
            <w:r>
              <w:rPr>
                <w:rFonts w:ascii="Arial" w:cs="Arial" w:eastAsia="Arial" w:hAnsi="Arial"/>
                <w:sz w:val="18"/>
                <w:szCs w:val="18"/>
                <w:color w:val="auto"/>
              </w:rPr>
              <w:t>Available for sale (cost: $4,288,994 at March 31, 2013; $4,643,070 at December 31, 2012)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4,400,742</w:t>
            </w:r>
          </w:p>
        </w:tc>
        <w:tc>
          <w:tcPr>
            <w:tcW w:w="860" w:type="dxa"/>
            <w:vAlign w:val="bottom"/>
          </w:tcPr>
          <w:p>
            <w:pPr>
              <w:jc w:val="right"/>
              <w:spacing w:after="0"/>
              <w:rPr>
                <w:sz w:val="20"/>
                <w:szCs w:val="20"/>
                <w:color w:val="auto"/>
              </w:rPr>
            </w:pPr>
            <w:r>
              <w:rPr>
                <w:rFonts w:ascii="Arial" w:cs="Arial" w:eastAsia="Arial" w:hAnsi="Arial"/>
                <w:sz w:val="18"/>
                <w:szCs w:val="18"/>
                <w:color w:val="auto"/>
              </w:rPr>
              <w:t>4,739,437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Held to maturity (fair value: $910,783 at March 31, 2013; $976,883 at December 31, 2012)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959,199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8280" w:type="dxa"/>
            <w:vAlign w:val="bottom"/>
            <w:gridSpan w:val="2"/>
          </w:tcPr>
          <w:p>
            <w:pPr>
              <w:ind w:left="500"/>
              <w:spacing w:after="0"/>
              <w:rPr>
                <w:sz w:val="20"/>
                <w:szCs w:val="20"/>
                <w:color w:val="auto"/>
              </w:rPr>
            </w:pPr>
            <w:r>
              <w:rPr>
                <w:rFonts w:ascii="Arial" w:cs="Arial" w:eastAsia="Arial" w:hAnsi="Arial"/>
                <w:sz w:val="18"/>
                <w:szCs w:val="18"/>
                <w:color w:val="auto"/>
              </w:rPr>
              <w:t>Other (fair value: $300,890 at March 31, 2013; $302,648 at December 31, 2012)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300,890</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5,660,831</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66,139,206</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66,790,186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Unearned discount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(214,939)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(219,229)</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8280" w:type="dxa"/>
            <w:vAlign w:val="bottom"/>
            <w:gridSpan w:val="2"/>
          </w:tcPr>
          <w:p>
            <w:pPr>
              <w:ind w:left="94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65,924,267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66,570,957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(927,117)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(925,860)</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280" w:type="dxa"/>
            <w:vAlign w:val="bottom"/>
            <w:gridSpan w:val="2"/>
          </w:tcPr>
          <w:p>
            <w:pPr>
              <w:ind w:left="9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64,997,150</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65,645,097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589,570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3,524,625</w:t>
            </w:r>
          </w:p>
        </w:tc>
        <w:tc>
          <w:tcPr>
            <w:tcW w:w="860" w:type="dxa"/>
            <w:vAlign w:val="bottom"/>
          </w:tcPr>
          <w:p>
            <w:pPr>
              <w:jc w:val="right"/>
              <w:spacing w:after="0"/>
              <w:rPr>
                <w:sz w:val="20"/>
                <w:szCs w:val="20"/>
                <w:color w:val="auto"/>
              </w:rPr>
            </w:pPr>
            <w:r>
              <w:rPr>
                <w:rFonts w:ascii="Arial" w:cs="Arial" w:eastAsia="Arial" w:hAnsi="Arial"/>
                <w:sz w:val="18"/>
                <w:szCs w:val="18"/>
                <w:color w:val="auto"/>
              </w:rPr>
              <w:t>3,524,625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4,386,380</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82,811,957</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83,008,803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Noninterest-bearing deposits</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vMerge w:val="continue"/>
          </w:tcPr>
          <w:p>
            <w:pPr>
              <w:spacing w:after="0"/>
              <w:rPr>
                <w:sz w:val="18"/>
                <w:szCs w:val="18"/>
                <w:color w:val="auto"/>
              </w:rPr>
            </w:pPr>
          </w:p>
        </w:tc>
        <w:tc>
          <w:tcPr>
            <w:tcW w:w="82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23,603,971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24,240,802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1,891,621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35,024,025</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33,783,947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4,304,033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266,076</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Total deposits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65,089,726</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65,611,253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374,593</w:t>
            </w:r>
          </w:p>
        </w:tc>
        <w:tc>
          <w:tcPr>
            <w:tcW w:w="860" w:type="dxa"/>
            <w:vAlign w:val="bottom"/>
          </w:tcPr>
          <w:p>
            <w:pPr>
              <w:jc w:val="right"/>
              <w:spacing w:after="0"/>
              <w:rPr>
                <w:sz w:val="20"/>
                <w:szCs w:val="20"/>
                <w:color w:val="auto"/>
              </w:rPr>
            </w:pPr>
            <w:r>
              <w:rPr>
                <w:rFonts w:ascii="Arial" w:cs="Arial" w:eastAsia="Arial" w:hAnsi="Arial"/>
                <w:sz w:val="18"/>
                <w:szCs w:val="18"/>
                <w:color w:val="auto"/>
              </w:rPr>
              <w:t>1,074,482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1,530,118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5,394,563</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72,389,000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72,806,210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20"/>
                <w:szCs w:val="20"/>
                <w:color w:val="auto"/>
              </w:rPr>
            </w:pPr>
            <w:r>
              <w:rPr>
                <w:rFonts w:ascii="Arial" w:cs="Arial" w:eastAsia="Arial" w:hAnsi="Arial"/>
                <w:sz w:val="18"/>
                <w:szCs w:val="18"/>
                <w:color w:val="auto"/>
                <w:w w:val="91"/>
              </w:rPr>
              <w:t>Shareholders’</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w w:val="89"/>
              </w:rPr>
              <w:t>Preferred stock, $1.00 par, 1,000,000 shares authorized; Issued and outstanding: Liquidation preference of $1,000</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equity</w:t>
            </w:r>
          </w:p>
        </w:tc>
        <w:tc>
          <w:tcPr>
            <w:tcW w:w="8280" w:type="dxa"/>
            <w:vAlign w:val="bottom"/>
            <w:gridSpan w:val="2"/>
          </w:tcPr>
          <w:p>
            <w:pPr>
              <w:ind w:left="300"/>
              <w:spacing w:after="0"/>
              <w:rPr>
                <w:sz w:val="20"/>
                <w:szCs w:val="20"/>
                <w:color w:val="auto"/>
              </w:rPr>
            </w:pPr>
            <w:r>
              <w:rPr>
                <w:rFonts w:ascii="Arial" w:cs="Arial" w:eastAsia="Arial" w:hAnsi="Arial"/>
                <w:sz w:val="18"/>
                <w:szCs w:val="18"/>
                <w:color w:val="auto"/>
                <w:w w:val="91"/>
              </w:rPr>
              <w:t>per share: 381,500 shares at March 31, 2013 and December 31, 2012; Liquidation preference of $10,000 per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8280" w:type="dxa"/>
            <w:vAlign w:val="bottom"/>
            <w:gridSpan w:val="2"/>
          </w:tcPr>
          <w:p>
            <w:pPr>
              <w:ind w:left="300"/>
              <w:spacing w:after="0"/>
              <w:rPr>
                <w:sz w:val="20"/>
                <w:szCs w:val="20"/>
                <w:color w:val="auto"/>
              </w:rPr>
            </w:pPr>
            <w:r>
              <w:rPr>
                <w:rFonts w:ascii="Arial" w:cs="Arial" w:eastAsia="Arial" w:hAnsi="Arial"/>
                <w:sz w:val="18"/>
                <w:szCs w:val="18"/>
                <w:color w:val="auto"/>
              </w:rPr>
              <w:t>share: 50,000 shares at March 31, 2013 and December 31, 2012</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874,627</w:t>
            </w:r>
          </w:p>
        </w:tc>
        <w:tc>
          <w:tcPr>
            <w:tcW w:w="860" w:type="dxa"/>
            <w:vAlign w:val="bottom"/>
          </w:tcPr>
          <w:p>
            <w:pPr>
              <w:jc w:val="right"/>
              <w:spacing w:after="0"/>
              <w:rPr>
                <w:sz w:val="20"/>
                <w:szCs w:val="20"/>
                <w:color w:val="auto"/>
              </w:rPr>
            </w:pPr>
            <w:r>
              <w:rPr>
                <w:rFonts w:ascii="Arial" w:cs="Arial" w:eastAsia="Arial" w:hAnsi="Arial"/>
                <w:sz w:val="18"/>
                <w:szCs w:val="18"/>
                <w:color w:val="auto"/>
              </w:rPr>
              <w:t>872,500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Common stock, $.50 par, 250,000,000 shares authorized, 128,952,578 shares issued at March 31, 2013;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128,176,912 shares issued at December 31, 2012</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Common stock issuable, 46,552 shares at March 31, 2013; 57,409 shares at December 31, 2012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2,829</w:t>
            </w:r>
          </w:p>
        </w:tc>
        <w:tc>
          <w:tcPr>
            <w:tcW w:w="8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3,061,783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6,645,195</w:t>
            </w:r>
          </w:p>
        </w:tc>
        <w:tc>
          <w:tcPr>
            <w:tcW w:w="860" w:type="dxa"/>
            <w:vAlign w:val="bottom"/>
          </w:tcPr>
          <w:p>
            <w:pPr>
              <w:jc w:val="right"/>
              <w:spacing w:after="0"/>
              <w:rPr>
                <w:sz w:val="20"/>
                <w:szCs w:val="20"/>
                <w:color w:val="auto"/>
              </w:rPr>
            </w:pPr>
            <w:r>
              <w:rPr>
                <w:rFonts w:ascii="Arial" w:cs="Arial" w:eastAsia="Arial" w:hAnsi="Arial"/>
                <w:sz w:val="18"/>
                <w:szCs w:val="18"/>
                <w:color w:val="auto"/>
              </w:rPr>
              <w:t>6,477,276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(225,953)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280" w:type="dxa"/>
            <w:vAlign w:val="bottom"/>
            <w:gridSpan w:val="2"/>
          </w:tcPr>
          <w:p>
            <w:pPr>
              <w:ind w:left="94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10,422,957</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10,202,593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82,811,957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83,008,803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280" w:type="dxa"/>
            <w:vAlign w:val="bottom"/>
            <w:gridSpan w:val="2"/>
            <w:vMerge w:val="restart"/>
          </w:tcPr>
          <w:p>
            <w:pPr>
              <w:ind w:left="4520"/>
              <w:spacing w:after="0"/>
              <w:rPr>
                <w:sz w:val="20"/>
                <w:szCs w:val="20"/>
                <w:color w:val="auto"/>
              </w:rPr>
            </w:pPr>
            <w:r>
              <w:rPr>
                <w:rFonts w:ascii="Arial" w:cs="Arial" w:eastAsia="Arial" w:hAnsi="Arial"/>
                <w:sz w:val="18"/>
                <w:szCs w:val="18"/>
                <w:color w:val="auto"/>
              </w:rPr>
              <w:t>- 3 -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40" w:type="dxa"/>
            <w:vAlign w:val="bottom"/>
          </w:tcPr>
          <w:p>
            <w:pPr>
              <w:spacing w:after="0"/>
              <w:rPr>
                <w:sz w:val="24"/>
                <w:szCs w:val="24"/>
                <w:color w:val="auto"/>
              </w:rPr>
            </w:pPr>
          </w:p>
        </w:tc>
        <w:tc>
          <w:tcPr>
            <w:tcW w:w="8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760" w:firstLine="3770"/>
        <w:spacing w:after="0" w:line="456" w:lineRule="auto"/>
        <w:rPr>
          <w:sz w:val="20"/>
          <w:szCs w:val="20"/>
          <w:color w:val="auto"/>
        </w:rPr>
      </w:pPr>
      <w:r>
        <w:rPr>
          <w:rFonts w:ascii="Arial" w:cs="Arial" w:eastAsia="Arial" w:hAnsi="Arial"/>
          <w:sz w:val="18"/>
          <w:szCs w:val="18"/>
          <w:color w:val="auto"/>
        </w:rPr>
        <w:t>M&amp;T BANK CORPORATION AND SUBSIDIARIES CONSOLIDATED STATEMENT OF INCOME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2"/>
              </w:rPr>
              <w:t>In thousands, except per share</w:t>
            </w:r>
          </w:p>
        </w:tc>
        <w:tc>
          <w:tcPr>
            <w:tcW w:w="656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5"/>
          </w:tcPr>
          <w:p>
            <w:pPr>
              <w:jc w:val="right"/>
              <w:ind w:right="140"/>
              <w:spacing w:after="0"/>
              <w:rPr>
                <w:sz w:val="20"/>
                <w:szCs w:val="20"/>
                <w:color w:val="auto"/>
              </w:rPr>
            </w:pPr>
            <w:r>
              <w:rPr>
                <w:rFonts w:ascii="Arial" w:cs="Arial" w:eastAsia="Arial" w:hAnsi="Arial"/>
                <w:sz w:val="14"/>
                <w:szCs w:val="14"/>
                <w:color w:val="auto"/>
                <w:w w:val="87"/>
              </w:rPr>
              <w:t>Three months ended March 31</w:t>
            </w:r>
          </w:p>
        </w:tc>
        <w:tc>
          <w:tcPr>
            <w:tcW w:w="0" w:type="dxa"/>
            <w:vAlign w:val="bottom"/>
          </w:tcPr>
          <w:p>
            <w:pPr>
              <w:spacing w:after="0"/>
              <w:rPr>
                <w:sz w:val="1"/>
                <w:szCs w:val="1"/>
                <w:color w:val="auto"/>
              </w:rPr>
            </w:pPr>
          </w:p>
        </w:tc>
      </w:tr>
      <w:tr>
        <w:trPr>
          <w:trHeight w:val="166"/>
        </w:trPr>
        <w:tc>
          <w:tcPr>
            <w:tcW w:w="1800" w:type="dxa"/>
            <w:vAlign w:val="bottom"/>
            <w:tcBorders>
              <w:bottom w:val="single" w:sz="8" w:color="auto"/>
            </w:tcBorders>
            <w:gridSpan w:val="2"/>
            <w:vMerge w:val="continue"/>
          </w:tcPr>
          <w:p>
            <w:pPr>
              <w:spacing w:after="0"/>
              <w:rPr>
                <w:sz w:val="14"/>
                <w:szCs w:val="14"/>
                <w:color w:val="auto"/>
              </w:rPr>
            </w:pPr>
          </w:p>
        </w:tc>
        <w:tc>
          <w:tcPr>
            <w:tcW w:w="65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3"/>
              <w:spacing w:after="0" w:line="146"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760" w:type="dxa"/>
            <w:vAlign w:val="bottom"/>
          </w:tcPr>
          <w:p>
            <w:pPr>
              <w:jc w:val="right"/>
              <w:ind w:right="153"/>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7060" w:type="dxa"/>
            <w:vAlign w:val="bottom"/>
            <w:tcBorders>
              <w:top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Loans and leases, including fees</w:t>
            </w: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682,455</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648,514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Deposits at banks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funds sold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Agreements to resell securities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Trading account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Investment securities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Fully taxable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44,760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62,964</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Exempt from federal taxes</w:t>
            </w:r>
          </w:p>
        </w:tc>
        <w:tc>
          <w:tcPr>
            <w:tcW w:w="1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interest income</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729,975</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w w:val="96"/>
              </w:rPr>
              <w:t>Interest expense</w:t>
            </w: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NOW accounts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7"/>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Savings deposits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13,509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 at Cayman Islands office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Short-term borrowings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borrowings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50,751</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60" w:type="dxa"/>
            <w:vAlign w:val="bottom"/>
          </w:tcPr>
          <w:p>
            <w:pPr>
              <w:ind w:left="520"/>
              <w:spacing w:after="0"/>
              <w:rPr>
                <w:sz w:val="20"/>
                <w:szCs w:val="20"/>
                <w:color w:val="auto"/>
              </w:rPr>
            </w:pPr>
            <w:r>
              <w:rPr>
                <w:rFonts w:ascii="Arial" w:cs="Arial" w:eastAsia="Arial" w:hAnsi="Arial"/>
                <w:sz w:val="18"/>
                <w:szCs w:val="18"/>
                <w:color w:val="auto"/>
              </w:rPr>
              <w:t>Total interest expense</w:t>
            </w: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73,925</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Net interest income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656,050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620,389</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Provision for credit losses</w:t>
            </w:r>
          </w:p>
        </w:tc>
        <w:tc>
          <w:tcPr>
            <w:tcW w:w="1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credit losses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618,050</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Other income</w:t>
            </w: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Mortgage banking revenues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93,103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56,192</w:t>
            </w:r>
          </w:p>
        </w:tc>
        <w:tc>
          <w:tcPr>
            <w:tcW w:w="0" w:type="dxa"/>
            <w:vAlign w:val="bottom"/>
          </w:tcPr>
          <w:p>
            <w:pPr>
              <w:spacing w:after="0"/>
              <w:rPr>
                <w:sz w:val="1"/>
                <w:szCs w:val="1"/>
                <w:color w:val="auto"/>
              </w:rPr>
            </w:pPr>
          </w:p>
        </w:tc>
      </w:tr>
      <w:tr>
        <w:trPr>
          <w:trHeight w:val="217"/>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110,949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108,889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Trust income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121,603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116,953</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Brokerage services income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Trading account and foreign exchange gains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8,927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bank investment securities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Total other-than-temporary impairment (“OTTI”) losses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(1,884)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(20,040)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60" w:type="dxa"/>
            <w:vAlign w:val="bottom"/>
            <w:vMerge w:val="restart"/>
          </w:tcPr>
          <w:p>
            <w:pPr>
              <w:ind w:left="520"/>
              <w:spacing w:after="0"/>
              <w:rPr>
                <w:sz w:val="20"/>
                <w:szCs w:val="20"/>
                <w:color w:val="auto"/>
              </w:rPr>
            </w:pPr>
            <w:r>
              <w:rPr>
                <w:rFonts w:ascii="Arial" w:cs="Arial" w:eastAsia="Arial" w:hAnsi="Arial"/>
                <w:sz w:val="18"/>
                <w:szCs w:val="18"/>
                <w:color w:val="auto"/>
              </w:rPr>
              <w:t>Net OTTI losses recognized in earnings</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(9,800)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in earnings of Bayview Lending Group LLC</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Other revenues from operations</w:t>
            </w:r>
          </w:p>
        </w:tc>
        <w:tc>
          <w:tcPr>
            <w:tcW w:w="1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96,045</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income</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432,882</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Other expense</w:t>
            </w: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Salaries and employee benefits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356,551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346,098</w:t>
            </w:r>
          </w:p>
        </w:tc>
        <w:tc>
          <w:tcPr>
            <w:tcW w:w="0" w:type="dxa"/>
            <w:vAlign w:val="bottom"/>
          </w:tcPr>
          <w:p>
            <w:pPr>
              <w:spacing w:after="0"/>
              <w:rPr>
                <w:sz w:val="1"/>
                <w:szCs w:val="1"/>
                <w:color w:val="auto"/>
              </w:rPr>
            </w:pPr>
          </w:p>
        </w:tc>
      </w:tr>
      <w:tr>
        <w:trPr>
          <w:trHeight w:val="217"/>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and net occupancy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65,159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65,043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Printing, postage and supplies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10,699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core deposit and other intangible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FDIC assessments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19,438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28,949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costs of operations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170,406</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60" w:type="dxa"/>
            <w:vAlign w:val="bottom"/>
          </w:tcPr>
          <w:p>
            <w:pPr>
              <w:ind w:left="520"/>
              <w:spacing w:after="0"/>
              <w:rPr>
                <w:sz w:val="20"/>
                <w:szCs w:val="20"/>
                <w:color w:val="auto"/>
              </w:rPr>
            </w:pPr>
            <w:r>
              <w:rPr>
                <w:rFonts w:ascii="Arial" w:cs="Arial" w:eastAsia="Arial" w:hAnsi="Arial"/>
                <w:sz w:val="18"/>
                <w:szCs w:val="18"/>
                <w:color w:val="auto"/>
              </w:rPr>
              <w:t>Total other expense</w:t>
            </w: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635,596</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415,336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308,417</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141,223</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Net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274,113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206,463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06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 income available to common shareholders</w:t>
            </w: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300" w:type="dxa"/>
            <w:vAlign w:val="bottom"/>
          </w:tcPr>
          <w:p>
            <w:pPr>
              <w:spacing w:after="0"/>
              <w:rPr>
                <w:sz w:val="24"/>
                <w:szCs w:val="24"/>
                <w:color w:val="auto"/>
              </w:rPr>
            </w:pPr>
          </w:p>
        </w:tc>
        <w:tc>
          <w:tcPr>
            <w:tcW w:w="70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255,079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188,236</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255,096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188,241</w:t>
            </w: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Cash dividends per common share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common shares outstanding</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127,669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125,220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128,636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125,616</w:t>
            </w:r>
          </w:p>
        </w:tc>
        <w:tc>
          <w:tcPr>
            <w:tcW w:w="0" w:type="dxa"/>
            <w:vAlign w:val="bottom"/>
          </w:tcPr>
          <w:p>
            <w:pPr>
              <w:spacing w:after="0"/>
              <w:rPr>
                <w:sz w:val="1"/>
                <w:szCs w:val="1"/>
                <w:color w:val="auto"/>
              </w:rPr>
            </w:pPr>
          </w:p>
        </w:tc>
      </w:tr>
      <w:tr>
        <w:trPr>
          <w:trHeight w:val="363"/>
        </w:trPr>
        <w:tc>
          <w:tcPr>
            <w:tcW w:w="1300" w:type="dxa"/>
            <w:vAlign w:val="bottom"/>
          </w:tcPr>
          <w:p>
            <w:pPr>
              <w:spacing w:after="0"/>
              <w:rPr>
                <w:sz w:val="24"/>
                <w:szCs w:val="24"/>
                <w:color w:val="auto"/>
              </w:rPr>
            </w:pPr>
          </w:p>
        </w:tc>
        <w:tc>
          <w:tcPr>
            <w:tcW w:w="7060" w:type="dxa"/>
            <w:vAlign w:val="bottom"/>
            <w:gridSpan w:val="2"/>
          </w:tcPr>
          <w:p>
            <w:pPr>
              <w:ind w:left="4260"/>
              <w:spacing w:after="0"/>
              <w:rPr>
                <w:sz w:val="20"/>
                <w:szCs w:val="20"/>
                <w:color w:val="auto"/>
              </w:rPr>
            </w:pPr>
            <w:r>
              <w:rPr>
                <w:rFonts w:ascii="Arial" w:cs="Arial" w:eastAsia="Arial" w:hAnsi="Arial"/>
                <w:sz w:val="18"/>
                <w:szCs w:val="18"/>
                <w:color w:val="auto"/>
              </w:rPr>
              <w:t>- 4 -</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760" w:firstLine="3770"/>
        <w:spacing w:after="0" w:line="456" w:lineRule="auto"/>
        <w:rPr>
          <w:sz w:val="20"/>
          <w:szCs w:val="20"/>
          <w:color w:val="auto"/>
        </w:rPr>
      </w:pPr>
      <w:r>
        <w:rPr>
          <w:rFonts w:ascii="Arial" w:cs="Arial" w:eastAsia="Arial" w:hAnsi="Arial"/>
          <w:sz w:val="18"/>
          <w:szCs w:val="18"/>
          <w:color w:val="auto"/>
        </w:rPr>
        <w:t>M&amp;T BANK CORPORATION AND SUBSIDIARIES CONSOLIDATED STATEMENT OF COMPREHENSIVE INCOME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716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200"/>
              <w:spacing w:after="0"/>
              <w:rPr>
                <w:sz w:val="20"/>
                <w:szCs w:val="20"/>
                <w:color w:val="auto"/>
              </w:rPr>
            </w:pPr>
            <w:r>
              <w:rPr>
                <w:rFonts w:ascii="Arial" w:cs="Arial" w:eastAsia="Arial" w:hAnsi="Arial"/>
                <w:sz w:val="14"/>
                <w:szCs w:val="14"/>
                <w:color w:val="auto"/>
                <w:w w:val="85"/>
              </w:rPr>
              <w:t>Three months ended March 31</w:t>
            </w:r>
          </w:p>
        </w:tc>
        <w:tc>
          <w:tcPr>
            <w:tcW w:w="0" w:type="dxa"/>
            <w:vAlign w:val="bottom"/>
          </w:tcPr>
          <w:p>
            <w:pPr>
              <w:spacing w:after="0"/>
              <w:rPr>
                <w:sz w:val="1"/>
                <w:szCs w:val="1"/>
                <w:color w:val="auto"/>
              </w:rPr>
            </w:pPr>
          </w:p>
        </w:tc>
      </w:tr>
      <w:tr>
        <w:trPr>
          <w:trHeight w:val="166"/>
        </w:trPr>
        <w:tc>
          <w:tcPr>
            <w:tcW w:w="760" w:type="dxa"/>
            <w:vAlign w:val="bottom"/>
            <w:tcBorders>
              <w:bottom w:val="single" w:sz="8" w:color="auto"/>
            </w:tcBorders>
            <w:vMerge w:val="continue"/>
          </w:tcPr>
          <w:p>
            <w:pPr>
              <w:spacing w:after="0"/>
              <w:rPr>
                <w:sz w:val="14"/>
                <w:szCs w:val="14"/>
                <w:color w:val="auto"/>
              </w:rPr>
            </w:pPr>
          </w:p>
        </w:tc>
        <w:tc>
          <w:tcPr>
            <w:tcW w:w="716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77"/>
              <w:spacing w:after="0" w:line="146"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4"/>
                <w:szCs w:val="14"/>
                <w:color w:val="auto"/>
              </w:rPr>
            </w:pPr>
          </w:p>
        </w:tc>
        <w:tc>
          <w:tcPr>
            <w:tcW w:w="760" w:type="dxa"/>
            <w:vAlign w:val="bottom"/>
          </w:tcPr>
          <w:p>
            <w:pPr>
              <w:jc w:val="right"/>
              <w:ind w:right="155"/>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274,113</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206,463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unrealized gains on investment securities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16"/>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Defined benefit plans liability adjustment</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Total other comprehensive income</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i w:val="1"/>
                <w:iCs w:val="1"/>
                <w:color w:val="auto"/>
              </w:rPr>
              <w:t>Total comprehensive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288,424</w:t>
            </w: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231,646</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5560"/>
              <w:spacing w:after="0"/>
              <w:rPr>
                <w:sz w:val="20"/>
                <w:szCs w:val="20"/>
                <w:color w:val="auto"/>
              </w:rPr>
            </w:pPr>
            <w:r>
              <w:rPr>
                <w:rFonts w:ascii="Arial" w:cs="Arial" w:eastAsia="Arial" w:hAnsi="Arial"/>
                <w:sz w:val="18"/>
                <w:szCs w:val="18"/>
                <w:color w:val="auto"/>
              </w:rPr>
              <w:t>- 5 -</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760" w:firstLine="3770"/>
        <w:spacing w:after="0" w:line="456" w:lineRule="auto"/>
        <w:rPr>
          <w:sz w:val="20"/>
          <w:szCs w:val="20"/>
          <w:color w:val="auto"/>
        </w:rPr>
      </w:pPr>
      <w:r>
        <w:rPr>
          <w:rFonts w:ascii="Arial" w:cs="Arial" w:eastAsia="Arial" w:hAnsi="Arial"/>
          <w:sz w:val="18"/>
          <w:szCs w:val="18"/>
          <w:color w:val="auto"/>
        </w:rPr>
        <w:t>M&amp;T BANK CORPORATION AND SUBSIDIARIES CONSOLIDATED STATEMENT OF CASH FLOWS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240"/>
              <w:spacing w:after="0"/>
              <w:rPr>
                <w:sz w:val="20"/>
                <w:szCs w:val="20"/>
                <w:color w:val="auto"/>
              </w:rPr>
            </w:pPr>
            <w:r>
              <w:rPr>
                <w:rFonts w:ascii="Arial" w:cs="Arial" w:eastAsia="Arial" w:hAnsi="Arial"/>
                <w:sz w:val="14"/>
                <w:szCs w:val="14"/>
                <w:color w:val="auto"/>
                <w:w w:val="86"/>
              </w:rPr>
              <w:t>Three months ended March 31</w:t>
            </w:r>
          </w:p>
        </w:tc>
        <w:tc>
          <w:tcPr>
            <w:tcW w:w="0" w:type="dxa"/>
            <w:vAlign w:val="bottom"/>
          </w:tcPr>
          <w:p>
            <w:pPr>
              <w:spacing w:after="0"/>
              <w:rPr>
                <w:sz w:val="1"/>
                <w:szCs w:val="1"/>
                <w:color w:val="auto"/>
              </w:rPr>
            </w:pPr>
          </w:p>
        </w:tc>
      </w:tr>
      <w:tr>
        <w:trPr>
          <w:trHeight w:val="217"/>
        </w:trPr>
        <w:tc>
          <w:tcPr>
            <w:tcW w:w="20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6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flows from</w:t>
            </w:r>
          </w:p>
        </w:tc>
        <w:tc>
          <w:tcPr>
            <w:tcW w:w="6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credit losses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Depreciation and amortization of premises and equipment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22,027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capitalized servicing rights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13,343</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deferred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Asset write-downs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13,558</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gain on sales of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Net change in accrued interest receivable, payable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(2,872)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other accrued income and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Net change in loans originated for sale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205,643</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trading account assets and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698,398</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539,012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Cash flows from investing</w:t>
            </w:r>
          </w:p>
        </w:tc>
        <w:tc>
          <w:tcPr>
            <w:tcW w:w="6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activities</w:t>
            </w: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investment securities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Available for sale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Proceeds from maturities of investment securities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Available for sale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353,305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Held to maturity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79,164</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Available for sale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(14,597)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Held to maturity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loans and leases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404,142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Net increase in interest-bearing deposits at banks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(1,174,825)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(1,127,080)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Capital expenditures,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(16,671)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real estate acquired in settlement of loans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(14,237)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(25,840)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by investing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(371,773)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(1,683,854)</w:t>
            </w:r>
          </w:p>
        </w:tc>
        <w:tc>
          <w:tcPr>
            <w:tcW w:w="0" w:type="dxa"/>
            <w:vAlign w:val="bottom"/>
          </w:tcPr>
          <w:p>
            <w:pPr>
              <w:spacing w:after="0"/>
              <w:rPr>
                <w:sz w:val="1"/>
                <w:szCs w:val="1"/>
                <w:color w:val="auto"/>
              </w:rPr>
            </w:pPr>
          </w:p>
        </w:tc>
      </w:tr>
      <w:tr>
        <w:trPr>
          <w:trHeight w:val="215"/>
        </w:trPr>
        <w:tc>
          <w:tcPr>
            <w:tcW w:w="2080" w:type="dxa"/>
            <w:vAlign w:val="bottom"/>
            <w:gridSpan w:val="3"/>
          </w:tcPr>
          <w:p>
            <w:pPr>
              <w:spacing w:after="0"/>
              <w:rPr>
                <w:sz w:val="20"/>
                <w:szCs w:val="20"/>
                <w:color w:val="auto"/>
              </w:rPr>
            </w:pPr>
            <w:r>
              <w:rPr>
                <w:rFonts w:ascii="Arial" w:cs="Arial" w:eastAsia="Arial" w:hAnsi="Arial"/>
                <w:sz w:val="18"/>
                <w:szCs w:val="18"/>
                <w:color w:val="auto"/>
                <w:w w:val="99"/>
              </w:rPr>
              <w:t>Cash flows from financing</w:t>
            </w:r>
          </w:p>
        </w:tc>
        <w:tc>
          <w:tcPr>
            <w:tcW w:w="6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8"/>
                <w:szCs w:val="18"/>
                <w:color w:val="auto"/>
              </w:rPr>
              <w:t>activities</w:t>
            </w:r>
          </w:p>
        </w:tc>
        <w:tc>
          <w:tcPr>
            <w:tcW w:w="6560" w:type="dxa"/>
            <w:vAlign w:val="bottom"/>
          </w:tcPr>
          <w:p>
            <w:pPr>
              <w:ind w:left="180"/>
              <w:spacing w:after="0"/>
              <w:rPr>
                <w:sz w:val="20"/>
                <w:szCs w:val="20"/>
                <w:color w:val="auto"/>
              </w:rPr>
            </w:pPr>
            <w:r>
              <w:rPr>
                <w:rFonts w:ascii="Arial" w:cs="Arial" w:eastAsia="Arial" w:hAnsi="Arial"/>
                <w:sz w:val="18"/>
                <w:szCs w:val="18"/>
                <w:color w:val="auto"/>
              </w:rPr>
              <w:t>Net increase (decrease) in deposits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(519,555)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1,522,583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short-term borrowings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(699,889)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Proceeds from long-term borrowings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799,760</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long-term borrowings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Dividends paid—common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(90,788)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paid—preferred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31,528</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(487,173)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560" w:type="dxa"/>
            <w:vAlign w:val="bottom"/>
            <w:vMerge w:val="restart"/>
          </w:tcPr>
          <w:p>
            <w:pPr>
              <w:ind w:left="180"/>
              <w:spacing w:after="0"/>
              <w:rPr>
                <w:sz w:val="20"/>
                <w:szCs w:val="20"/>
                <w:color w:val="auto"/>
              </w:rPr>
            </w:pPr>
            <w:r>
              <w:rPr>
                <w:rFonts w:ascii="Arial" w:cs="Arial" w:eastAsia="Arial" w:hAnsi="Arial"/>
                <w:sz w:val="18"/>
                <w:szCs w:val="18"/>
                <w:color w:val="auto"/>
              </w:rPr>
              <w:t>Net decrease in cash and cash equivalents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(160,548)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(108,305)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1,986,615</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1,826,067</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1,344,092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Supplemental disclosure of</w:t>
            </w:r>
          </w:p>
        </w:tc>
        <w:tc>
          <w:tcPr>
            <w:tcW w:w="6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information</w:t>
            </w: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received during the period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718,296</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72,106</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15"/>
        </w:trPr>
        <w:tc>
          <w:tcPr>
            <w:tcW w:w="2080" w:type="dxa"/>
            <w:vAlign w:val="bottom"/>
            <w:gridSpan w:val="3"/>
          </w:tcPr>
          <w:p>
            <w:pPr>
              <w:spacing w:after="0"/>
              <w:rPr>
                <w:sz w:val="20"/>
                <w:szCs w:val="20"/>
                <w:color w:val="auto"/>
              </w:rPr>
            </w:pPr>
            <w:r>
              <w:rPr>
                <w:rFonts w:ascii="Arial" w:cs="Arial" w:eastAsia="Arial" w:hAnsi="Arial"/>
                <w:sz w:val="18"/>
                <w:szCs w:val="18"/>
                <w:color w:val="auto"/>
                <w:w w:val="99"/>
              </w:rPr>
              <w:t>Supplemental schedule of</w:t>
            </w:r>
          </w:p>
        </w:tc>
        <w:tc>
          <w:tcPr>
            <w:tcW w:w="6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noncash investing and</w:t>
            </w:r>
          </w:p>
        </w:tc>
        <w:tc>
          <w:tcPr>
            <w:tcW w:w="6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6560" w:type="dxa"/>
            <w:vAlign w:val="bottom"/>
          </w:tcPr>
          <w:p>
            <w:pPr>
              <w:ind w:left="180"/>
              <w:spacing w:after="0"/>
              <w:rPr>
                <w:sz w:val="20"/>
                <w:szCs w:val="20"/>
                <w:color w:val="auto"/>
              </w:rPr>
            </w:pPr>
            <w:r>
              <w:rPr>
                <w:rFonts w:ascii="Arial" w:cs="Arial" w:eastAsia="Arial" w:hAnsi="Arial"/>
                <w:sz w:val="18"/>
                <w:szCs w:val="18"/>
                <w:color w:val="auto"/>
              </w:rPr>
              <w:t>Real estate acquired in settlement of loans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8,244</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17,123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560" w:type="dxa"/>
            <w:vAlign w:val="bottom"/>
          </w:tcPr>
          <w:p>
            <w:pPr>
              <w:ind w:left="3480"/>
              <w:spacing w:after="0"/>
              <w:rPr>
                <w:sz w:val="20"/>
                <w:szCs w:val="20"/>
                <w:color w:val="auto"/>
              </w:rPr>
            </w:pPr>
            <w:r>
              <w:rPr>
                <w:rFonts w:ascii="Arial" w:cs="Arial" w:eastAsia="Arial" w:hAnsi="Arial"/>
                <w:sz w:val="18"/>
                <w:szCs w:val="18"/>
                <w:color w:val="auto"/>
              </w:rPr>
              <w:t>- 6 -</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760" w:firstLine="3770"/>
        <w:spacing w:after="0" w:line="518" w:lineRule="auto"/>
        <w:rPr>
          <w:sz w:val="20"/>
          <w:szCs w:val="20"/>
          <w:color w:val="auto"/>
        </w:rPr>
      </w:pPr>
      <w:r>
        <w:rPr>
          <w:rFonts w:ascii="Arial" w:cs="Arial" w:eastAsia="Arial" w:hAnsi="Arial"/>
          <w:sz w:val="16"/>
          <w:szCs w:val="16"/>
          <w:color w:val="auto"/>
        </w:rPr>
        <w:t>M&amp;T BANK CORPORATION AND SUBSIDIARIES CONSOLIDATED STATEMENT OF CHANGES IN SHAREHOLDERS’ EQUITY (Unaudited)</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Accumulated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other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Common</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comprehensive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Preferred</w:t>
            </w:r>
          </w:p>
        </w:tc>
        <w:tc>
          <w:tcPr>
            <w:tcW w:w="16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Common</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stock</w:t>
            </w:r>
          </w:p>
        </w:tc>
        <w:tc>
          <w:tcPr>
            <w:tcW w:w="10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paid-in</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Retained</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income (loss),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40"/>
              <w:spacing w:after="0" w:line="146" w:lineRule="exact"/>
              <w:rPr>
                <w:sz w:val="20"/>
                <w:szCs w:val="20"/>
                <w:color w:val="auto"/>
              </w:rPr>
            </w:pPr>
            <w:r>
              <w:rPr>
                <w:rFonts w:ascii="Arial" w:cs="Arial" w:eastAsia="Arial" w:hAnsi="Arial"/>
                <w:sz w:val="14"/>
                <w:szCs w:val="14"/>
                <w:color w:val="auto"/>
              </w:rPr>
              <w:t>stock</w:t>
            </w:r>
          </w:p>
        </w:tc>
        <w:tc>
          <w:tcPr>
            <w:tcW w:w="160" w:type="dxa"/>
            <w:vAlign w:val="bottom"/>
          </w:tcPr>
          <w:p>
            <w:pPr>
              <w:spacing w:after="0"/>
              <w:rPr>
                <w:sz w:val="14"/>
                <w:szCs w:val="14"/>
                <w:color w:val="auto"/>
              </w:rPr>
            </w:pPr>
          </w:p>
        </w:tc>
        <w:tc>
          <w:tcPr>
            <w:tcW w:w="840" w:type="dxa"/>
            <w:vAlign w:val="bottom"/>
            <w:gridSpan w:val="2"/>
          </w:tcPr>
          <w:p>
            <w:pPr>
              <w:jc w:val="center"/>
              <w:ind w:right="280"/>
              <w:spacing w:after="0" w:line="146" w:lineRule="exact"/>
              <w:rPr>
                <w:sz w:val="20"/>
                <w:szCs w:val="20"/>
                <w:color w:val="auto"/>
              </w:rPr>
            </w:pPr>
            <w:r>
              <w:rPr>
                <w:rFonts w:ascii="Arial" w:cs="Arial" w:eastAsia="Arial" w:hAnsi="Arial"/>
                <w:sz w:val="14"/>
                <w:szCs w:val="14"/>
                <w:color w:val="auto"/>
                <w:w w:val="85"/>
              </w:rPr>
              <w:t>stock</w:t>
            </w:r>
          </w:p>
        </w:tc>
        <w:tc>
          <w:tcPr>
            <w:tcW w:w="820" w:type="dxa"/>
            <w:vAlign w:val="bottom"/>
            <w:gridSpan w:val="2"/>
          </w:tcPr>
          <w:p>
            <w:pPr>
              <w:jc w:val="center"/>
              <w:ind w:right="300"/>
              <w:spacing w:after="0" w:line="146" w:lineRule="exact"/>
              <w:rPr>
                <w:sz w:val="20"/>
                <w:szCs w:val="20"/>
                <w:color w:val="auto"/>
              </w:rPr>
            </w:pPr>
            <w:r>
              <w:rPr>
                <w:rFonts w:ascii="Arial" w:cs="Arial" w:eastAsia="Arial" w:hAnsi="Arial"/>
                <w:sz w:val="14"/>
                <w:szCs w:val="14"/>
                <w:color w:val="auto"/>
                <w:w w:val="85"/>
              </w:rPr>
              <w:t>issuable</w:t>
            </w:r>
          </w:p>
        </w:tc>
        <w:tc>
          <w:tcPr>
            <w:tcW w:w="1040" w:type="dxa"/>
            <w:vAlign w:val="bottom"/>
            <w:gridSpan w:val="2"/>
          </w:tcPr>
          <w:p>
            <w:pPr>
              <w:ind w:left="200"/>
              <w:spacing w:after="0" w:line="146" w:lineRule="exact"/>
              <w:rPr>
                <w:sz w:val="20"/>
                <w:szCs w:val="20"/>
                <w:color w:val="auto"/>
              </w:rPr>
            </w:pPr>
            <w:r>
              <w:rPr>
                <w:rFonts w:ascii="Arial" w:cs="Arial" w:eastAsia="Arial" w:hAnsi="Arial"/>
                <w:sz w:val="14"/>
                <w:szCs w:val="14"/>
                <w:color w:val="auto"/>
              </w:rPr>
              <w:t>capital</w:t>
            </w:r>
          </w:p>
        </w:tc>
        <w:tc>
          <w:tcPr>
            <w:tcW w:w="1060" w:type="dxa"/>
            <w:vAlign w:val="bottom"/>
            <w:gridSpan w:val="2"/>
          </w:tcPr>
          <w:p>
            <w:pPr>
              <w:jc w:val="right"/>
              <w:ind w:right="440"/>
              <w:spacing w:after="0" w:line="146" w:lineRule="exact"/>
              <w:rPr>
                <w:sz w:val="20"/>
                <w:szCs w:val="20"/>
                <w:color w:val="auto"/>
              </w:rPr>
            </w:pPr>
            <w:r>
              <w:rPr>
                <w:rFonts w:ascii="Arial" w:cs="Arial" w:eastAsia="Arial" w:hAnsi="Arial"/>
                <w:sz w:val="14"/>
                <w:szCs w:val="14"/>
                <w:color w:val="auto"/>
              </w:rPr>
              <w:t>earnings</w:t>
            </w:r>
          </w:p>
        </w:tc>
        <w:tc>
          <w:tcPr>
            <w:tcW w:w="1120" w:type="dxa"/>
            <w:vAlign w:val="bottom"/>
            <w:gridSpan w:val="2"/>
          </w:tcPr>
          <w:p>
            <w:pPr>
              <w:jc w:val="center"/>
              <w:ind w:right="300"/>
              <w:spacing w:after="0" w:line="146" w:lineRule="exact"/>
              <w:rPr>
                <w:sz w:val="20"/>
                <w:szCs w:val="20"/>
                <w:color w:val="auto"/>
              </w:rPr>
            </w:pPr>
            <w:r>
              <w:rPr>
                <w:rFonts w:ascii="Arial" w:cs="Arial" w:eastAsia="Arial" w:hAnsi="Arial"/>
                <w:sz w:val="14"/>
                <w:szCs w:val="14"/>
                <w:color w:val="auto"/>
                <w:w w:val="92"/>
              </w:rPr>
              <w:t>net</w:t>
            </w:r>
          </w:p>
        </w:tc>
        <w:tc>
          <w:tcPr>
            <w:tcW w:w="96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2012</w:t>
            </w:r>
          </w:p>
        </w:tc>
        <w:tc>
          <w:tcPr>
            <w:tcW w:w="2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Balance—January 1, 2012</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$ 864,585</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62,842</w:t>
            </w:r>
          </w:p>
        </w:tc>
        <w:tc>
          <w:tcPr>
            <w:tcW w:w="520" w:type="dxa"/>
            <w:vAlign w:val="bottom"/>
          </w:tcPr>
          <w:p>
            <w:pPr>
              <w:jc w:val="right"/>
              <w:spacing w:after="0"/>
              <w:rPr>
                <w:sz w:val="20"/>
                <w:szCs w:val="20"/>
                <w:color w:val="auto"/>
              </w:rPr>
            </w:pPr>
            <w:r>
              <w:rPr>
                <w:rFonts w:ascii="Arial" w:cs="Arial" w:eastAsia="Arial" w:hAnsi="Arial"/>
                <w:sz w:val="18"/>
                <w:szCs w:val="18"/>
                <w:color w:val="auto"/>
              </w:rPr>
              <w:t>4,072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2,828,986</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5,867,165</w:t>
            </w:r>
          </w:p>
        </w:tc>
        <w:tc>
          <w:tcPr>
            <w:tcW w:w="3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(356,441)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9,271,209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25,183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(13,363)</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expense,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207</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Exercises of stock options, net</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183</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19,429</w:t>
            </w:r>
          </w:p>
        </w:tc>
        <w:tc>
          <w:tcPr>
            <w:tcW w:w="3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Directors’ stock plan</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w w:val="93"/>
              </w:rPr>
              <w:t>Deferred compensation plans, net, including dividend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jc w:val="center"/>
              <w:ind w:right="2300"/>
              <w:spacing w:after="0"/>
              <w:rPr>
                <w:sz w:val="20"/>
                <w:szCs w:val="20"/>
                <w:color w:val="auto"/>
              </w:rPr>
            </w:pPr>
            <w:r>
              <w:rPr>
                <w:rFonts w:ascii="Arial" w:cs="Arial" w:eastAsia="Arial" w:hAnsi="Arial"/>
                <w:sz w:val="18"/>
                <w:szCs w:val="18"/>
                <w:color w:val="auto"/>
                <w:w w:val="87"/>
              </w:rPr>
              <w:t>equivalents</w:t>
            </w: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740" w:type="dxa"/>
            <w:vAlign w:val="bottom"/>
          </w:tcPr>
          <w:p>
            <w:pPr>
              <w:jc w:val="right"/>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stock cash dividends—$.70 per share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(89,085)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Balance—March 31, 2012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$ 866,489</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63,238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2,857,556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5,969,236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(331,258)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9,428,688</w:t>
            </w:r>
          </w:p>
        </w:tc>
        <w:tc>
          <w:tcPr>
            <w:tcW w:w="0" w:type="dxa"/>
            <w:vAlign w:val="bottom"/>
          </w:tcPr>
          <w:p>
            <w:pPr>
              <w:spacing w:after="0"/>
              <w:rPr>
                <w:sz w:val="1"/>
                <w:szCs w:val="1"/>
                <w:color w:val="auto"/>
              </w:rPr>
            </w:pPr>
          </w:p>
        </w:tc>
      </w:tr>
      <w:tr>
        <w:trPr>
          <w:trHeight w:val="221"/>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Balance—January 1, 2013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$ 872,500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64,088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3,025,520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6,477,276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(240,264)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10,202,593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274,113</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14,311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288,424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Amortization of preferred stock discount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2,127</w:t>
            </w: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(2,127)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Exercise of 407,542 Series C stock warrants into 186,589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jc w:val="center"/>
              <w:ind w:right="2280"/>
              <w:spacing w:after="0"/>
              <w:rPr>
                <w:sz w:val="20"/>
                <w:szCs w:val="20"/>
                <w:color w:val="auto"/>
              </w:rPr>
            </w:pPr>
            <w:r>
              <w:rPr>
                <w:rFonts w:ascii="Arial" w:cs="Arial" w:eastAsia="Arial" w:hAnsi="Arial"/>
                <w:sz w:val="18"/>
                <w:szCs w:val="18"/>
                <w:color w:val="auto"/>
                <w:w w:val="87"/>
              </w:rPr>
              <w:t>shares of common stock</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expense,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160</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Exercises of stock options, net</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126</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21,444</w:t>
            </w:r>
          </w:p>
        </w:tc>
        <w:tc>
          <w:tcPr>
            <w:tcW w:w="3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Directors’ stock plan</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w w:val="93"/>
              </w:rPr>
              <w:t>Deferred compensation plans, net, including dividend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jc w:val="center"/>
              <w:ind w:right="2300"/>
              <w:spacing w:after="0"/>
              <w:rPr>
                <w:sz w:val="20"/>
                <w:szCs w:val="20"/>
                <w:color w:val="auto"/>
              </w:rPr>
            </w:pPr>
            <w:r>
              <w:rPr>
                <w:rFonts w:ascii="Arial" w:cs="Arial" w:eastAsia="Arial" w:hAnsi="Arial"/>
                <w:sz w:val="18"/>
                <w:szCs w:val="18"/>
                <w:color w:val="auto"/>
                <w:w w:val="87"/>
              </w:rPr>
              <w:t>equivalents</w:t>
            </w: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stock cash dividends—$.70 per share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(90,672)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Balance—March 31, 2013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$ 874,627</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64,476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3,061,783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6,645,195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(225,953)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10,422,957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76"/>
              <w:spacing w:after="0"/>
              <w:rPr>
                <w:sz w:val="20"/>
                <w:szCs w:val="20"/>
                <w:color w:val="auto"/>
              </w:rPr>
            </w:pPr>
            <w:r>
              <w:rPr>
                <w:rFonts w:ascii="Arial" w:cs="Arial" w:eastAsia="Arial" w:hAnsi="Arial"/>
                <w:sz w:val="18"/>
                <w:szCs w:val="18"/>
                <w:color w:val="auto"/>
              </w:rPr>
              <w:t>- 7 -</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2012 Annual Report. In the opinion of management, all adjustments necessary for a fair presentation have been made and were all of a normal recurring nature.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March 31, 2013 total consideration to be paid was valued at approximately $4.4 billion.</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At March 31, 2013, Hudson City had $40.3 billion of assets, including $26.2 billion of loans and $10.6 billion of investment securities, and $35.6 billion of liabilities, including $23.2 billion of deposits. After the merger is completed, M&amp;T forecasts that it will likely repay approximately $12 billion of Hudson City’s long-term borrowings and sell investment securities. The merger has received the approval of the common shareholders of M&amp;T and Hudson City. However, the merger is subject to a number of other conditions, including regulatory approvals. On April 12, 2013, M&amp;T announced that additional time would be required to obtain a regulatory determination on the applications for the proposed merger with Hudson City. M&amp;T has learned that the Federal Reserve has identified certain regulatory concerns with the Company’s procedures, systems and processes related to the Company’s Bank Secrecy Act and anti-money-laundering compliance program. M&amp;T has commenced a major initiative, including the hiring of an outside consulting firm, intended to fully address the Federal Reserve’s concerns. In view of the potential timeframe required to implement this initiative, demonstrate its efficacy to the satisfaction of the Federal Reserve and otherwise meet any other regulatory requirements that may be imposed in connection with these matters, M&amp;T and Hudson City extended the date after which either party may elect to terminate the merger agreement if the merger has not yet been completed from August 27, 2013 to January 31, 2014. There can be no assurances that the merger will be completed by that date. M&amp;T and Hudson City intend to close the merger as soon as possible following the receipt of all necessary regulatory approvals and satisfaction of all other conditions to closing.</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pending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planning for the conversion of systems and/or integration of operations; initial marketing and promotion expenses designed to introduce M&amp;T Bank to its new customers; travel costs; and printing, postage, supplies and other costs of planning for the transaction and commencing operations in new markets and offices. The Company expects to incur additional merger-related expenses during the remainder of 2013.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summary of merger-related expenses in the first quarter of 2013 associated with the pending Hudson City acquisition and in the first quarter of 2012 associated with the May 16, 2011 acquisition of Wilmington Trust Corporation (“Wilmington Trust”) included in the consolidated statement of income follows:</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center"/>
              <w:ind w:left="196"/>
              <w:spacing w:after="0"/>
              <w:rPr>
                <w:sz w:val="20"/>
                <w:szCs w:val="20"/>
                <w:color w:val="auto"/>
              </w:rPr>
            </w:pPr>
            <w:r>
              <w:rPr>
                <w:rFonts w:ascii="Arial" w:cs="Arial" w:eastAsia="Arial" w:hAnsi="Arial"/>
                <w:sz w:val="14"/>
                <w:szCs w:val="14"/>
                <w:color w:val="auto"/>
                <w:w w:val="85"/>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4100" w:type="dxa"/>
            <w:vAlign w:val="bottom"/>
          </w:tcPr>
          <w:p>
            <w:pPr>
              <w:spacing w:after="0"/>
              <w:rPr>
                <w:sz w:val="13"/>
                <w:szCs w:val="13"/>
                <w:color w:val="auto"/>
              </w:rPr>
            </w:pPr>
          </w:p>
        </w:tc>
        <w:tc>
          <w:tcPr>
            <w:tcW w:w="2780" w:type="dxa"/>
            <w:vAlign w:val="bottom"/>
            <w:gridSpan w:val="3"/>
          </w:tcPr>
          <w:p>
            <w:pPr>
              <w:ind w:left="1920"/>
              <w:spacing w:after="0" w:line="159" w:lineRule="exact"/>
              <w:rPr>
                <w:sz w:val="20"/>
                <w:szCs w:val="20"/>
                <w:color w:val="auto"/>
              </w:rPr>
            </w:pPr>
            <w:r>
              <w:rPr>
                <w:rFonts w:ascii="Arial" w:cs="Arial" w:eastAsia="Arial" w:hAnsi="Arial"/>
                <w:sz w:val="14"/>
                <w:szCs w:val="14"/>
                <w:color w:val="auto"/>
                <w:w w:val="86"/>
              </w:rPr>
              <w:t>March 31, 2013</w:t>
            </w:r>
          </w:p>
        </w:tc>
        <w:tc>
          <w:tcPr>
            <w:tcW w:w="1800" w:type="dxa"/>
            <w:vAlign w:val="bottom"/>
            <w:gridSpan w:val="4"/>
          </w:tcPr>
          <w:p>
            <w:pPr>
              <w:ind w:left="840"/>
              <w:spacing w:after="0" w:line="159" w:lineRule="exact"/>
              <w:rPr>
                <w:sz w:val="20"/>
                <w:szCs w:val="20"/>
                <w:color w:val="auto"/>
              </w:rPr>
            </w:pPr>
            <w:r>
              <w:rPr>
                <w:rFonts w:ascii="Arial" w:cs="Arial" w:eastAsia="Arial" w:hAnsi="Arial"/>
                <w:sz w:val="14"/>
                <w:szCs w:val="14"/>
                <w:color w:val="auto"/>
                <w:w w:val="96"/>
              </w:rPr>
              <w:t>March 31, 2012</w:t>
            </w:r>
          </w:p>
        </w:tc>
      </w:tr>
      <w:tr>
        <w:trPr>
          <w:trHeight w:val="142"/>
        </w:trPr>
        <w:tc>
          <w:tcPr>
            <w:tcW w:w="4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Other cost of operations</w:t>
            </w:r>
          </w:p>
        </w:tc>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1"/>
              </w:rPr>
              <w:t>Amortized</w:t>
            </w:r>
          </w:p>
        </w:tc>
        <w:tc>
          <w:tcPr>
            <w:tcW w:w="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unrealized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4"/>
              <w:spacing w:after="0" w:line="159" w:lineRule="exact"/>
              <w:rPr>
                <w:sz w:val="20"/>
                <w:szCs w:val="20"/>
                <w:color w:val="auto"/>
              </w:rPr>
            </w:pPr>
            <w:r>
              <w:rPr>
                <w:rFonts w:ascii="Arial" w:cs="Arial" w:eastAsia="Arial" w:hAnsi="Arial"/>
                <w:sz w:val="14"/>
                <w:szCs w:val="14"/>
                <w:color w:val="auto"/>
              </w:rPr>
              <w:t>cost</w:t>
            </w:r>
          </w:p>
        </w:tc>
        <w:tc>
          <w:tcPr>
            <w:tcW w:w="400" w:type="dxa"/>
            <w:vAlign w:val="bottom"/>
          </w:tcPr>
          <w:p>
            <w:pPr>
              <w:spacing w:after="0"/>
              <w:rPr>
                <w:sz w:val="13"/>
                <w:szCs w:val="13"/>
                <w:color w:val="auto"/>
              </w:rPr>
            </w:pPr>
          </w:p>
        </w:tc>
        <w:tc>
          <w:tcPr>
            <w:tcW w:w="10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3"/>
              </w:rPr>
              <w:t>gains</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355"/>
              <w:spacing w:after="0" w:line="142" w:lineRule="exact"/>
              <w:rPr>
                <w:sz w:val="20"/>
                <w:szCs w:val="20"/>
                <w:color w:val="auto"/>
              </w:rPr>
            </w:pPr>
            <w:r>
              <w:rPr>
                <w:rFonts w:ascii="Arial" w:cs="Arial" w:eastAsia="Arial" w:hAnsi="Arial"/>
                <w:sz w:val="14"/>
                <w:szCs w:val="14"/>
                <w:color w:val="auto"/>
              </w:rPr>
              <w:t>(in thousands)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503</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2,855,716</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174,372</w:t>
            </w: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3,029,910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1,077,879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6,414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1,144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19,799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136,645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2,371</w:t>
            </w:r>
          </w:p>
        </w:tc>
        <w:tc>
          <w:tcPr>
            <w:tcW w:w="640" w:type="dxa"/>
            <w:vAlign w:val="bottom"/>
          </w:tcPr>
          <w:p>
            <w:pPr>
              <w:jc w:val="right"/>
              <w:spacing w:after="0"/>
              <w:rPr>
                <w:sz w:val="20"/>
                <w:szCs w:val="20"/>
                <w:color w:val="auto"/>
              </w:rPr>
            </w:pPr>
            <w:r>
              <w:rPr>
                <w:rFonts w:ascii="Arial" w:cs="Arial" w:eastAsia="Arial" w:hAnsi="Arial"/>
                <w:sz w:val="18"/>
                <w:szCs w:val="18"/>
                <w:color w:val="auto"/>
              </w:rPr>
              <w:t>21,505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4,288,994</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232,472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120,724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4,400,742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180,458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7,003</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532,074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26,003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w:t>
            </w:r>
          </w:p>
        </w:tc>
        <w:tc>
          <w:tcPr>
            <w:tcW w:w="40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959,199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2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300,890</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5,549,083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265,525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202,193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5,612,415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20" w:type="dxa"/>
            <w:vAlign w:val="bottom"/>
            <w:vMerge w:val="restart"/>
          </w:tcPr>
          <w:p>
            <w:pPr>
              <w:jc w:val="right"/>
              <w:ind w:right="832"/>
              <w:spacing w:after="0"/>
              <w:rPr>
                <w:sz w:val="20"/>
                <w:szCs w:val="20"/>
                <w:color w:val="auto"/>
              </w:rPr>
            </w:pPr>
            <w:r>
              <w:rPr>
                <w:rFonts w:ascii="Arial" w:cs="Arial" w:eastAsia="Arial" w:hAnsi="Arial"/>
                <w:sz w:val="18"/>
                <w:szCs w:val="18"/>
                <w:color w:val="auto"/>
              </w:rPr>
              <w:t>- 9 -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86"/>
              </w:rPr>
              <w:t>Estimated</w:t>
            </w: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1"/>
              </w:rPr>
              <w:t>Amortized</w:t>
            </w:r>
          </w:p>
        </w:tc>
        <w:tc>
          <w:tcPr>
            <w:tcW w:w="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unrealized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fair</w:t>
            </w:r>
          </w:p>
        </w:tc>
      </w:t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4"/>
              <w:spacing w:after="0" w:line="159" w:lineRule="exact"/>
              <w:rPr>
                <w:sz w:val="20"/>
                <w:szCs w:val="20"/>
                <w:color w:val="auto"/>
              </w:rPr>
            </w:pPr>
            <w:r>
              <w:rPr>
                <w:rFonts w:ascii="Arial" w:cs="Arial" w:eastAsia="Arial" w:hAnsi="Arial"/>
                <w:sz w:val="14"/>
                <w:szCs w:val="14"/>
                <w:color w:val="auto"/>
              </w:rPr>
              <w:t>cost</w:t>
            </w:r>
          </w:p>
        </w:tc>
        <w:tc>
          <w:tcPr>
            <w:tcW w:w="400" w:type="dxa"/>
            <w:vAlign w:val="bottom"/>
          </w:tcPr>
          <w:p>
            <w:pPr>
              <w:spacing w:after="0"/>
              <w:rPr>
                <w:sz w:val="13"/>
                <w:szCs w:val="13"/>
                <w:color w:val="auto"/>
              </w:rPr>
            </w:pPr>
          </w:p>
        </w:tc>
        <w:tc>
          <w:tcPr>
            <w:tcW w:w="10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3"/>
              </w:rPr>
              <w:t>gains</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9"/>
              </w:rPr>
              <w:t>value</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355"/>
              <w:spacing w:after="0" w:line="142" w:lineRule="exact"/>
              <w:rPr>
                <w:sz w:val="20"/>
                <w:szCs w:val="20"/>
                <w:color w:val="auto"/>
              </w:rPr>
            </w:pPr>
            <w:r>
              <w:rPr>
                <w:rFonts w:ascii="Arial" w:cs="Arial" w:eastAsia="Arial" w:hAnsi="Arial"/>
                <w:sz w:val="14"/>
                <w:szCs w:val="14"/>
                <w:color w:val="auto"/>
              </w:rPr>
              <w:t>(in thousands)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20,375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534</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3,163,210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208,060</w:t>
            </w: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3,371,041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1,133,639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125,647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1,012,886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2,378</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43,228</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19,663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136,603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2,247</w:t>
            </w:r>
          </w:p>
        </w:tc>
        <w:tc>
          <w:tcPr>
            <w:tcW w:w="640" w:type="dxa"/>
            <w:vAlign w:val="bottom"/>
          </w:tcPr>
          <w:p>
            <w:pPr>
              <w:jc w:val="right"/>
              <w:spacing w:after="0"/>
              <w:rPr>
                <w:sz w:val="20"/>
                <w:szCs w:val="20"/>
                <w:color w:val="auto"/>
              </w:rPr>
            </w:pPr>
            <w:r>
              <w:rPr>
                <w:rFonts w:ascii="Arial" w:cs="Arial" w:eastAsia="Arial" w:hAnsi="Arial"/>
                <w:sz w:val="18"/>
                <w:szCs w:val="18"/>
                <w:color w:val="auto"/>
              </w:rPr>
              <w:t>26,900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111,950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4,643,070</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253,619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157,252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4,739,437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182,103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7,647</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189,723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597,340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31,727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629,067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242,378</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40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1,032,276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976,883</w:t>
            </w:r>
          </w:p>
        </w:tc>
        <w:tc>
          <w:tcPr>
            <w:tcW w:w="100" w:type="dxa"/>
            <w:vAlign w:val="bottom"/>
            <w:shd w:val="clear" w:color="auto" w:fill="CCEEFF"/>
          </w:tcPr>
          <w:p>
            <w:pPr>
              <w:spacing w:after="0"/>
              <w:rPr>
                <w:sz w:val="18"/>
                <w:szCs w:val="18"/>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302,648</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5,977,994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293,153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252,179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6,018,968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Gross realized gains and losses from sales of investment securities were not significant for the quarters ended March 31, 2013 and 2012. The Company recognized $10 million and $11 million of pre-tax other-than-temporary impairment (“OTTI”) losses during the quarters ended March 31, 2013 and 2012, respectively, related to privately issued mortgage-backed securities. The impairment charges were recognized in light of deterioration of real estate values and a rise in delinquencies and charge-offs of underlying mortgage loans collateralizing those securities. The OTTI losses represent management’s estimate of credit losses inherent in the debt securities considering projected cash flows using assumptions for delinquency rates, loss severities, and other estimates of future collateral performance.</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Changes in credit losses associated with debt securities for which OTTI losses have been recognized in earnings for the three months ended March 31, 2013 and 2012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40" w:type="dxa"/>
            <w:vAlign w:val="bottom"/>
            <w:gridSpan w:val="2"/>
          </w:tcPr>
          <w:p>
            <w:pPr>
              <w:jc w:val="center"/>
              <w:ind w:left="507"/>
              <w:spacing w:after="0"/>
              <w:rPr>
                <w:sz w:val="20"/>
                <w:szCs w:val="20"/>
                <w:color w:val="auto"/>
              </w:rPr>
            </w:pPr>
            <w:r>
              <w:rPr>
                <w:rFonts w:ascii="Arial" w:cs="Arial" w:eastAsia="Arial" w:hAnsi="Arial"/>
                <w:sz w:val="14"/>
                <w:szCs w:val="14"/>
                <w:color w:val="auto"/>
                <w:w w:val="89"/>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3560" w:type="dxa"/>
            <w:vAlign w:val="bottom"/>
            <w:gridSpan w:val="2"/>
          </w:tcPr>
          <w:p>
            <w:pPr>
              <w:jc w:val="right"/>
              <w:ind w:right="127"/>
              <w:spacing w:after="0" w:line="159" w:lineRule="exact"/>
              <w:rPr>
                <w:sz w:val="20"/>
                <w:szCs w:val="20"/>
                <w:color w:val="auto"/>
              </w:rPr>
            </w:pPr>
            <w:r>
              <w:rPr>
                <w:rFonts w:ascii="Arial" w:cs="Arial" w:eastAsia="Arial" w:hAnsi="Arial"/>
                <w:sz w:val="14"/>
                <w:szCs w:val="14"/>
                <w:color w:val="auto"/>
              </w:rPr>
              <w:t>2013</w:t>
            </w:r>
          </w:p>
        </w:tc>
        <w:tc>
          <w:tcPr>
            <w:tcW w:w="480" w:type="dxa"/>
            <w:vAlign w:val="bottom"/>
          </w:tcPr>
          <w:p>
            <w:pPr>
              <w:spacing w:after="0"/>
              <w:rPr>
                <w:sz w:val="13"/>
                <w:szCs w:val="13"/>
                <w:color w:val="auto"/>
              </w:rPr>
            </w:pPr>
          </w:p>
        </w:tc>
        <w:tc>
          <w:tcPr>
            <w:tcW w:w="60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7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285,399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4"/>
              </w:rPr>
              <w:t>Additions for credit losses not previously recognized</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29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(20,495)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(29,412)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$ 187,114</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267,473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900" w:type="dxa"/>
            <w:vAlign w:val="bottom"/>
            <w:vMerge w:val="restart"/>
          </w:tcPr>
          <w:p>
            <w:pPr>
              <w:jc w:val="right"/>
              <w:ind w:right="2216"/>
              <w:spacing w:after="0"/>
              <w:rPr>
                <w:sz w:val="20"/>
                <w:szCs w:val="20"/>
                <w:color w:val="auto"/>
              </w:rPr>
            </w:pPr>
            <w:r>
              <w:rPr>
                <w:rFonts w:ascii="Arial" w:cs="Arial" w:eastAsia="Arial" w:hAnsi="Arial"/>
                <w:sz w:val="18"/>
                <w:szCs w:val="18"/>
                <w:color w:val="auto"/>
              </w:rPr>
              <w:t>- 10 -</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2013, the amortized cost and estimated fair value of debt securities by contractual maturity were as follows: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color w:val="auto"/>
                <w:w w:val="91"/>
              </w:rPr>
              <w:t>Amortized</w:t>
            </w:r>
          </w:p>
        </w:tc>
        <w:tc>
          <w:tcPr>
            <w:tcW w:w="4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cost</w:t>
            </w:r>
          </w:p>
        </w:tc>
        <w:tc>
          <w:tcPr>
            <w:tcW w:w="420" w:type="dxa"/>
            <w:vAlign w:val="bottom"/>
          </w:tcPr>
          <w:p>
            <w:pPr>
              <w:spacing w:after="0"/>
              <w:rPr>
                <w:sz w:val="13"/>
                <w:szCs w:val="13"/>
                <w:color w:val="auto"/>
              </w:rPr>
            </w:pPr>
          </w:p>
        </w:tc>
        <w:tc>
          <w:tcPr>
            <w:tcW w:w="8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right"/>
              <w:ind w:right="539"/>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24,442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181,932</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238,054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238,970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3,940,009</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4,023,157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4,178,063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4,262,127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190,493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197,465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768,706</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959,199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910,783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40" w:type="dxa"/>
            <w:vAlign w:val="bottom"/>
            <w:vMerge w:val="restart"/>
          </w:tcPr>
          <w:p>
            <w:pPr>
              <w:jc w:val="right"/>
              <w:ind w:right="1992"/>
              <w:spacing w:after="0"/>
              <w:rPr>
                <w:sz w:val="20"/>
                <w:szCs w:val="20"/>
                <w:color w:val="auto"/>
              </w:rPr>
            </w:pPr>
            <w:r>
              <w:rPr>
                <w:rFonts w:ascii="Arial" w:cs="Arial" w:eastAsia="Arial" w:hAnsi="Arial"/>
                <w:sz w:val="18"/>
                <w:szCs w:val="18"/>
                <w:color w:val="auto"/>
              </w:rPr>
              <w:t>- 11 -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investment securities that as of March 31, 2013 and December 31, 2012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680"/>
              <w:spacing w:after="0"/>
              <w:rPr>
                <w:sz w:val="20"/>
                <w:szCs w:val="20"/>
                <w:color w:val="auto"/>
              </w:rPr>
            </w:pPr>
            <w:r>
              <w:rPr>
                <w:rFonts w:ascii="Arial" w:cs="Arial" w:eastAsia="Arial" w:hAnsi="Arial"/>
                <w:sz w:val="14"/>
                <w:szCs w:val="14"/>
                <w:color w:val="auto"/>
                <w:w w:val="98"/>
              </w:rPr>
              <w:t>Less than 12 months</w:t>
            </w:r>
          </w:p>
        </w:tc>
        <w:tc>
          <w:tcPr>
            <w:tcW w:w="1940" w:type="dxa"/>
            <w:vAlign w:val="bottom"/>
            <w:gridSpan w:val="4"/>
          </w:tcPr>
          <w:p>
            <w:pPr>
              <w:jc w:val="right"/>
              <w:ind w:right="52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620"/>
              <w:spacing w:after="0" w:line="131" w:lineRule="exact"/>
              <w:rPr>
                <w:sz w:val="20"/>
                <w:szCs w:val="20"/>
                <w:color w:val="auto"/>
              </w:rPr>
            </w:pPr>
            <w:r>
              <w:rPr>
                <w:rFonts w:ascii="Arial" w:cs="Arial" w:eastAsia="Arial" w:hAnsi="Arial"/>
                <w:sz w:val="14"/>
                <w:szCs w:val="14"/>
                <w:color w:val="auto"/>
              </w:rPr>
              <w:t>Fair</w:t>
            </w: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Unrealized</w:t>
            </w:r>
          </w:p>
        </w:tc>
        <w:tc>
          <w:tcPr>
            <w:tcW w:w="4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400"/>
              <w:spacing w:after="0" w:line="131" w:lineRule="exact"/>
              <w:rPr>
                <w:sz w:val="20"/>
                <w:szCs w:val="20"/>
                <w:color w:val="auto"/>
              </w:rPr>
            </w:pPr>
            <w:r>
              <w:rPr>
                <w:rFonts w:ascii="Arial" w:cs="Arial" w:eastAsia="Arial" w:hAnsi="Arial"/>
                <w:sz w:val="14"/>
                <w:szCs w:val="14"/>
                <w:color w:val="auto"/>
                <w:w w:val="91"/>
              </w:rPr>
              <w:t>Fair</w:t>
            </w: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value</w:t>
            </w:r>
          </w:p>
        </w:tc>
        <w:tc>
          <w:tcPr>
            <w:tcW w:w="10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losses</w:t>
            </w:r>
          </w:p>
        </w:tc>
        <w:tc>
          <w:tcPr>
            <w:tcW w:w="11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9"/>
              </w:rPr>
              <w:t>value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ind w:left="50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572</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89,046</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695,871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101,198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97,591</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(452)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811,238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(120,272)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1,065</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1,794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155,050</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1,065</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156,844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(81,462)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98,656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968,082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(201,734)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166</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683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12,107</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8,804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121,487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773,409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919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6,043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95,685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(1,295)</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139,295</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(2,053)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888,499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(155,199)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1,026</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3,558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1,026</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150,831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(94,922)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140,321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1,039,330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(250,121)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vMerge w:val="restart"/>
          </w:tcPr>
          <w:p>
            <w:pPr>
              <w:jc w:val="right"/>
              <w:ind w:right="952"/>
              <w:spacing w:after="0"/>
              <w:rPr>
                <w:sz w:val="20"/>
                <w:szCs w:val="20"/>
                <w:color w:val="auto"/>
              </w:rPr>
            </w:pPr>
            <w:r>
              <w:rPr>
                <w:rFonts w:ascii="Arial" w:cs="Arial" w:eastAsia="Arial" w:hAnsi="Arial"/>
                <w:sz w:val="18"/>
                <w:szCs w:val="18"/>
                <w:color w:val="auto"/>
              </w:rPr>
              <w:t>- 12 -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owned 241 individual investment securities with aggregate gross unrealized losses of $202 million at March 31, 2013. Approximately $179 million of the unrealized losses pertain to privately issued mortgage-backed securities with a cost basis of $1.1 billion. The Company also had $23 million of unrealized losses on trust preferred securities issued by financial institutions and securities backed by trust preferred securities having a cost basis of $130 million. Based on a review of each of the remaining securities in the investment securities portfolio at March 31, 2013, with the exception of the aforementioned securities for which OTTI losses were recognized, the Company concluded that it expected to recover the amortized cost basis of its investment. As of March 31, 2013, the Company does not intend to sell nor is it anticipated that it would be required to sell any of its impaired investment securities. At March 31, 2013, the Company has not identified events or changes in circumstances which may have a significant adverse effect on the fair value of the $301 million of cost method investment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were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March 31,</w:t>
            </w:r>
          </w:p>
        </w:tc>
        <w:tc>
          <w:tcPr>
            <w:tcW w:w="1300" w:type="dxa"/>
            <w:vAlign w:val="bottom"/>
            <w:gridSpan w:val="3"/>
          </w:tcPr>
          <w:p>
            <w:pPr>
              <w:ind w:left="440"/>
              <w:spacing w:after="0"/>
              <w:rPr>
                <w:sz w:val="20"/>
                <w:szCs w:val="20"/>
                <w:color w:val="auto"/>
              </w:rPr>
            </w:pPr>
            <w:r>
              <w:rPr>
                <w:rFonts w:ascii="Arial" w:cs="Arial" w:eastAsia="Arial" w:hAnsi="Arial"/>
                <w:sz w:val="14"/>
                <w:szCs w:val="14"/>
                <w:color w:val="auto"/>
                <w:w w:val="95"/>
              </w:rPr>
              <w:t>December 31,</w:t>
            </w:r>
          </w:p>
        </w:tc>
      </w:tr>
      <w:tr>
        <w:trPr>
          <w:trHeight w:val="159"/>
        </w:trPr>
        <w:tc>
          <w:tcPr>
            <w:tcW w:w="4740" w:type="dxa"/>
            <w:vAlign w:val="bottom"/>
          </w:tcPr>
          <w:p>
            <w:pPr>
              <w:spacing w:after="0"/>
              <w:rPr>
                <w:sz w:val="13"/>
                <w:szCs w:val="13"/>
                <w:color w:val="auto"/>
              </w:rPr>
            </w:pPr>
          </w:p>
        </w:tc>
        <w:tc>
          <w:tcPr>
            <w:tcW w:w="2640" w:type="dxa"/>
            <w:vAlign w:val="bottom"/>
            <w:gridSpan w:val="2"/>
          </w:tcPr>
          <w:p>
            <w:pPr>
              <w:jc w:val="right"/>
              <w:ind w:right="206"/>
              <w:spacing w:after="0" w:line="159" w:lineRule="exact"/>
              <w:rPr>
                <w:sz w:val="20"/>
                <w:szCs w:val="20"/>
                <w:color w:val="auto"/>
              </w:rPr>
            </w:pPr>
            <w:r>
              <w:rPr>
                <w:rFonts w:ascii="Arial" w:cs="Arial" w:eastAsia="Arial" w:hAnsi="Arial"/>
                <w:sz w:val="14"/>
                <w:szCs w:val="14"/>
                <w:color w:val="auto"/>
              </w:rPr>
              <w:t>2013</w:t>
            </w:r>
          </w:p>
        </w:tc>
        <w:tc>
          <w:tcPr>
            <w:tcW w:w="12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4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0" w:type="dxa"/>
            <w:vAlign w:val="bottom"/>
            <w:tcBorders>
              <w:top w:val="single" w:sz="8" w:color="auto"/>
            </w:tcBorders>
            <w:gridSpan w:val="3"/>
          </w:tcPr>
          <w:p>
            <w:pPr>
              <w:jc w:val="right"/>
              <w:ind w:right="53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$6,148,875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6,705,120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Carrying amount:</w:t>
            </w: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financial, leasing, etc.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928,107</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Commercial real estate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2,322,317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2,567,050</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677,306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707,309</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1,560,598</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1,637,887</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5,315,134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5,840,353</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Purchased impaired loans included in the table above totaled $425 million at March 31, 2013 and $447 million at December 31, 2012, representing less than 1% of the Company’s assets as of each date. A summary of changes in the accretable yield for acquired loans for the three months ended March 31, 2013 and 2012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80" w:type="dxa"/>
            <w:vAlign w:val="bottom"/>
            <w:gridSpan w:val="7"/>
          </w:tcPr>
          <w:p>
            <w:pPr>
              <w:jc w:val="right"/>
              <w:ind w:right="500"/>
              <w:spacing w:after="0"/>
              <w:rPr>
                <w:sz w:val="20"/>
                <w:szCs w:val="20"/>
                <w:color w:val="auto"/>
              </w:rPr>
            </w:pPr>
            <w:r>
              <w:rPr>
                <w:rFonts w:ascii="Arial" w:cs="Arial" w:eastAsia="Arial" w:hAnsi="Arial"/>
                <w:sz w:val="14"/>
                <w:szCs w:val="14"/>
                <w:color w:val="auto"/>
              </w:rPr>
              <w:t>Three months ended March 31, 2013</w:t>
            </w: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40"/>
              <w:spacing w:after="0" w:line="131" w:lineRule="exact"/>
              <w:rPr>
                <w:sz w:val="20"/>
                <w:szCs w:val="20"/>
                <w:color w:val="auto"/>
              </w:rPr>
            </w:pPr>
            <w:r>
              <w:rPr>
                <w:rFonts w:ascii="Arial" w:cs="Arial" w:eastAsia="Arial" w:hAnsi="Arial"/>
                <w:sz w:val="14"/>
                <w:szCs w:val="14"/>
                <w:color w:val="auto"/>
                <w:w w:val="83"/>
              </w:rPr>
              <w:t>Purchased</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620"/>
              <w:spacing w:after="0" w:line="131" w:lineRule="exact"/>
              <w:rPr>
                <w:sz w:val="20"/>
                <w:szCs w:val="20"/>
                <w:color w:val="auto"/>
              </w:rPr>
            </w:pPr>
            <w:r>
              <w:rPr>
                <w:rFonts w:ascii="Arial" w:cs="Arial" w:eastAsia="Arial" w:hAnsi="Arial"/>
                <w:sz w:val="14"/>
                <w:szCs w:val="14"/>
                <w:color w:val="auto"/>
              </w:rPr>
              <w:t>Other</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6"/>
              </w:rPr>
              <w:t>impaired</w:t>
            </w:r>
          </w:p>
        </w:tc>
        <w:tc>
          <w:tcPr>
            <w:tcW w:w="220" w:type="dxa"/>
            <w:vAlign w:val="bottom"/>
          </w:tcPr>
          <w:p>
            <w:pPr>
              <w:spacing w:after="0"/>
              <w:rPr>
                <w:sz w:val="13"/>
                <w:szCs w:val="13"/>
                <w:color w:val="auto"/>
              </w:rPr>
            </w:pPr>
          </w:p>
        </w:tc>
        <w:tc>
          <w:tcPr>
            <w:tcW w:w="11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acquired</w:t>
            </w: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$42,252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638,272</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680,524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income</w:t>
            </w:r>
          </w:p>
        </w:tc>
        <w:tc>
          <w:tcPr>
            <w:tcW w:w="3320" w:type="dxa"/>
            <w:vAlign w:val="bottom"/>
            <w:gridSpan w:val="3"/>
          </w:tcPr>
          <w:p>
            <w:pPr>
              <w:jc w:val="right"/>
              <w:ind w:right="180"/>
              <w:spacing w:after="0"/>
              <w:rPr>
                <w:sz w:val="20"/>
                <w:szCs w:val="20"/>
                <w:color w:val="auto"/>
              </w:rPr>
            </w:pPr>
            <w:r>
              <w:rPr>
                <w:rFonts w:ascii="Arial" w:cs="Arial" w:eastAsia="Arial" w:hAnsi="Arial"/>
                <w:sz w:val="18"/>
                <w:szCs w:val="18"/>
                <w:color w:val="auto"/>
              </w:rPr>
              <w:t>(8,704)</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(61,747)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(70,451)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7"/>
              </w:rPr>
              <w:t>Reclassifications from (to) nonaccretable balance, net</w:t>
            </w:r>
          </w:p>
        </w:tc>
        <w:tc>
          <w:tcPr>
            <w:tcW w:w="3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(a)</w:t>
            </w:r>
          </w:p>
        </w:tc>
        <w:tc>
          <w:tcPr>
            <w:tcW w:w="250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(9,733)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33,728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577,609</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611,337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500" w:type="dxa"/>
            <w:vAlign w:val="bottom"/>
            <w:vMerge w:val="restart"/>
          </w:tcPr>
          <w:p>
            <w:pPr>
              <w:jc w:val="right"/>
              <w:ind w:right="1632"/>
              <w:spacing w:after="0"/>
              <w:rPr>
                <w:sz w:val="20"/>
                <w:szCs w:val="20"/>
                <w:color w:val="auto"/>
              </w:rPr>
            </w:pPr>
            <w:r>
              <w:rPr>
                <w:rFonts w:ascii="Arial" w:cs="Arial" w:eastAsia="Arial" w:hAnsi="Arial"/>
                <w:sz w:val="18"/>
                <w:szCs w:val="18"/>
                <w:color w:val="auto"/>
              </w:rPr>
              <w:t>- 13 -</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880" w:type="dxa"/>
            <w:vAlign w:val="bottom"/>
            <w:gridSpan w:val="7"/>
          </w:tcPr>
          <w:p>
            <w:pPr>
              <w:jc w:val="right"/>
              <w:ind w:right="500"/>
              <w:spacing w:after="0"/>
              <w:rPr>
                <w:sz w:val="20"/>
                <w:szCs w:val="20"/>
                <w:color w:val="auto"/>
              </w:rPr>
            </w:pPr>
            <w:r>
              <w:rPr>
                <w:rFonts w:ascii="Arial" w:cs="Arial" w:eastAsia="Arial" w:hAnsi="Arial"/>
                <w:sz w:val="14"/>
                <w:szCs w:val="14"/>
                <w:color w:val="auto"/>
              </w:rPr>
              <w:t>Three months ended March 31, 2012</w:t>
            </w:r>
          </w:p>
        </w:tc>
      </w:tr>
      <w:tr>
        <w:trPr>
          <w:trHeight w:val="131"/>
        </w:trPr>
        <w:tc>
          <w:tcPr>
            <w:tcW w:w="67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40"/>
              <w:spacing w:after="0" w:line="131" w:lineRule="exact"/>
              <w:rPr>
                <w:sz w:val="20"/>
                <w:szCs w:val="20"/>
                <w:color w:val="auto"/>
              </w:rPr>
            </w:pPr>
            <w:r>
              <w:rPr>
                <w:rFonts w:ascii="Arial" w:cs="Arial" w:eastAsia="Arial" w:hAnsi="Arial"/>
                <w:sz w:val="14"/>
                <w:szCs w:val="14"/>
                <w:color w:val="auto"/>
                <w:w w:val="83"/>
              </w:rPr>
              <w:t>Purchased</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620"/>
              <w:spacing w:after="0" w:line="131" w:lineRule="exact"/>
              <w:rPr>
                <w:sz w:val="20"/>
                <w:szCs w:val="20"/>
                <w:color w:val="auto"/>
              </w:rPr>
            </w:pPr>
            <w:r>
              <w:rPr>
                <w:rFonts w:ascii="Arial" w:cs="Arial" w:eastAsia="Arial" w:hAnsi="Arial"/>
                <w:sz w:val="14"/>
                <w:szCs w:val="14"/>
                <w:color w:val="auto"/>
              </w:rPr>
              <w:t>Other</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670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6"/>
              </w:rPr>
              <w:t>impaired</w:t>
            </w:r>
          </w:p>
        </w:tc>
        <w:tc>
          <w:tcPr>
            <w:tcW w:w="220" w:type="dxa"/>
            <w:vAlign w:val="bottom"/>
          </w:tcPr>
          <w:p>
            <w:pPr>
              <w:spacing w:after="0"/>
              <w:rPr>
                <w:sz w:val="13"/>
                <w:szCs w:val="13"/>
                <w:color w:val="auto"/>
              </w:rPr>
            </w:pPr>
          </w:p>
        </w:tc>
        <w:tc>
          <w:tcPr>
            <w:tcW w:w="11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acquired</w:t>
            </w: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6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$30,805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807,960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838,765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(7,664)</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(73,723)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(81,387)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(to) nonaccretable balance, net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Other (a)</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22,565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747,466</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770,031</w:t>
            </w:r>
          </w:p>
        </w:tc>
      </w:tr>
      <w:tr>
        <w:trPr>
          <w:trHeight w:val="20"/>
        </w:trPr>
        <w:tc>
          <w:tcPr>
            <w:tcW w:w="6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171"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March 31, 2013 and December 31,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88"/>
              </w:rPr>
              <w:t>90 Days or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more past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gridSpan w:val="2"/>
          </w:tcPr>
          <w:p>
            <w:pPr>
              <w:jc w:val="center"/>
              <w:ind w:left="114"/>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48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5"/>
              </w:rPr>
              <w:t>due and accruing</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Purchased</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7"/>
              </w:rPr>
              <w:t>Days</w:t>
            </w:r>
          </w:p>
        </w:tc>
        <w:tc>
          <w:tcPr>
            <w:tcW w:w="840" w:type="dxa"/>
            <w:vAlign w:val="bottom"/>
            <w:gridSpan w:val="2"/>
          </w:tcPr>
          <w:p>
            <w:pPr>
              <w:ind w:left="180"/>
              <w:spacing w:after="0" w:line="131" w:lineRule="exact"/>
              <w:rPr>
                <w:sz w:val="20"/>
                <w:szCs w:val="20"/>
                <w:color w:val="auto"/>
              </w:rPr>
            </w:pPr>
            <w:r>
              <w:rPr>
                <w:rFonts w:ascii="Arial" w:cs="Arial" w:eastAsia="Arial" w:hAnsi="Arial"/>
                <w:sz w:val="14"/>
                <w:szCs w:val="14"/>
                <w:color w:val="auto"/>
              </w:rPr>
              <w:t>Non-</w:t>
            </w:r>
          </w:p>
        </w:tc>
        <w:tc>
          <w:tcPr>
            <w:tcW w:w="640" w:type="dxa"/>
            <w:vAlign w:val="bottom"/>
          </w:tcPr>
          <w:p>
            <w:pPr>
              <w:jc w:val="right"/>
              <w:spacing w:after="0" w:line="131" w:lineRule="exact"/>
              <w:rPr>
                <w:sz w:val="20"/>
                <w:szCs w:val="20"/>
                <w:color w:val="auto"/>
              </w:rPr>
            </w:pPr>
            <w:r>
              <w:rPr>
                <w:rFonts w:ascii="Arial" w:cs="Arial" w:eastAsia="Arial" w:hAnsi="Arial"/>
                <w:sz w:val="14"/>
                <w:szCs w:val="14"/>
                <w:color w:val="auto"/>
                <w:w w:val="97"/>
              </w:rPr>
              <w:t>Acquired</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9"/>
              </w:rPr>
              <w:t>impaired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9"/>
              </w:rPr>
              <w:t>past due</w:t>
            </w:r>
          </w:p>
        </w:tc>
        <w:tc>
          <w:tcPr>
            <w:tcW w:w="8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acquired</w:t>
            </w:r>
          </w:p>
        </w:tc>
        <w:tc>
          <w:tcPr>
            <w:tcW w:w="640" w:type="dxa"/>
            <w:vAlign w:val="bottom"/>
          </w:tcPr>
          <w:p>
            <w:pPr>
              <w:jc w:val="right"/>
              <w:ind w:right="156"/>
              <w:spacing w:after="0" w:line="159" w:lineRule="exact"/>
              <w:rPr>
                <w:sz w:val="20"/>
                <w:szCs w:val="20"/>
                <w:color w:val="auto"/>
              </w:rPr>
            </w:pPr>
            <w:r>
              <w:rPr>
                <w:rFonts w:ascii="Arial" w:cs="Arial" w:eastAsia="Arial" w:hAnsi="Arial"/>
                <w:sz w:val="14"/>
                <w:szCs w:val="14"/>
                <w:color w:val="auto"/>
              </w:rPr>
              <w:t>(a)</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$17,144,615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90,708</w:t>
            </w:r>
          </w:p>
        </w:tc>
        <w:tc>
          <w:tcPr>
            <w:tcW w:w="640" w:type="dxa"/>
            <w:vAlign w:val="bottom"/>
          </w:tcPr>
          <w:p>
            <w:pPr>
              <w:jc w:val="right"/>
              <w:spacing w:after="0"/>
              <w:rPr>
                <w:sz w:val="20"/>
                <w:szCs w:val="20"/>
                <w:color w:val="auto"/>
              </w:rPr>
            </w:pPr>
            <w:r>
              <w:rPr>
                <w:rFonts w:ascii="Arial" w:cs="Arial" w:eastAsia="Arial" w:hAnsi="Arial"/>
                <w:sz w:val="18"/>
                <w:szCs w:val="18"/>
                <w:color w:val="auto"/>
              </w:rPr>
              <w:t>3,669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16,741</w:t>
            </w:r>
          </w:p>
        </w:tc>
        <w:tc>
          <w:tcPr>
            <w:tcW w:w="760" w:type="dxa"/>
            <w:vAlign w:val="bottom"/>
          </w:tcPr>
          <w:p>
            <w:pPr>
              <w:jc w:val="right"/>
              <w:spacing w:after="0"/>
              <w:rPr>
                <w:sz w:val="20"/>
                <w:szCs w:val="20"/>
                <w:color w:val="auto"/>
              </w:rPr>
            </w:pPr>
            <w:r>
              <w:rPr>
                <w:rFonts w:ascii="Arial" w:cs="Arial" w:eastAsia="Arial" w:hAnsi="Arial"/>
                <w:sz w:val="18"/>
                <w:szCs w:val="18"/>
                <w:color w:val="auto"/>
              </w:rPr>
              <w:t>204,199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17,469,138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21,513,598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185,101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11,444</w:t>
            </w:r>
          </w:p>
        </w:tc>
        <w:tc>
          <w:tcPr>
            <w:tcW w:w="640" w:type="dxa"/>
            <w:vAlign w:val="bottom"/>
          </w:tcPr>
          <w:p>
            <w:pPr>
              <w:jc w:val="right"/>
              <w:spacing w:after="0"/>
              <w:rPr>
                <w:sz w:val="20"/>
                <w:szCs w:val="20"/>
                <w:color w:val="auto"/>
              </w:rPr>
            </w:pPr>
            <w:r>
              <w:rPr>
                <w:rFonts w:ascii="Arial" w:cs="Arial" w:eastAsia="Arial" w:hAnsi="Arial"/>
                <w:sz w:val="18"/>
                <w:szCs w:val="18"/>
                <w:color w:val="auto"/>
              </w:rPr>
              <w:t>41,268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121,090</w:t>
            </w:r>
          </w:p>
        </w:tc>
        <w:tc>
          <w:tcPr>
            <w:tcW w:w="760" w:type="dxa"/>
            <w:vAlign w:val="bottom"/>
          </w:tcPr>
          <w:p>
            <w:pPr>
              <w:jc w:val="right"/>
              <w:spacing w:after="0"/>
              <w:rPr>
                <w:sz w:val="20"/>
                <w:szCs w:val="20"/>
                <w:color w:val="auto"/>
              </w:rPr>
            </w:pPr>
            <w:r>
              <w:rPr>
                <w:rFonts w:ascii="Arial" w:cs="Arial" w:eastAsia="Arial" w:hAnsi="Arial"/>
                <w:sz w:val="18"/>
                <w:szCs w:val="18"/>
                <w:color w:val="auto"/>
              </w:rPr>
              <w:t>186,239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22,058,740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781,748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167,207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2,541,578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42,849</w:t>
            </w:r>
          </w:p>
        </w:tc>
        <w:tc>
          <w:tcPr>
            <w:tcW w:w="640" w:type="dxa"/>
            <w:vAlign w:val="bottom"/>
          </w:tcPr>
          <w:p>
            <w:pPr>
              <w:jc w:val="right"/>
              <w:spacing w:after="0"/>
              <w:rPr>
                <w:sz w:val="20"/>
                <w:szCs w:val="20"/>
                <w:color w:val="auto"/>
              </w:rPr>
            </w:pPr>
            <w:r>
              <w:rPr>
                <w:rFonts w:ascii="Arial" w:cs="Arial" w:eastAsia="Arial" w:hAnsi="Arial"/>
                <w:sz w:val="18"/>
                <w:szCs w:val="18"/>
                <w:color w:val="auto"/>
              </w:rPr>
              <w:t>2,279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14,301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78,254</w:t>
            </w:r>
          </w:p>
        </w:tc>
        <w:tc>
          <w:tcPr>
            <w:tcW w:w="760" w:type="dxa"/>
            <w:vAlign w:val="bottom"/>
          </w:tcPr>
          <w:p>
            <w:pPr>
              <w:jc w:val="right"/>
              <w:spacing w:after="0"/>
              <w:rPr>
                <w:sz w:val="20"/>
                <w:szCs w:val="20"/>
                <w:color w:val="auto"/>
              </w:rPr>
            </w:pPr>
            <w:r>
              <w:rPr>
                <w:rFonts w:ascii="Arial" w:cs="Arial" w:eastAsia="Arial" w:hAnsi="Arial"/>
                <w:sz w:val="18"/>
                <w:szCs w:val="18"/>
                <w:color w:val="auto"/>
              </w:rPr>
              <w:t>40,170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2,719,431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9,742,192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279,879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309,366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38,709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10,665,995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tcPr>
          <w:p>
            <w:pPr>
              <w:jc w:val="right"/>
              <w:spacing w:after="0"/>
              <w:rPr>
                <w:sz w:val="20"/>
                <w:szCs w:val="20"/>
                <w:color w:val="auto"/>
              </w:rPr>
            </w:pPr>
            <w:r>
              <w:rPr>
                <w:rFonts w:ascii="Arial" w:cs="Arial" w:eastAsia="Arial" w:hAnsi="Arial"/>
                <w:sz w:val="18"/>
                <w:szCs w:val="18"/>
                <w:color w:val="auto"/>
              </w:rPr>
              <w:t>315,500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24,779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88,303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428,582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8"/>
                <w:szCs w:val="18"/>
                <w:color w:val="auto"/>
              </w:rPr>
              <w:t>6,068,137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33,433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27,359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3,231</w:t>
            </w:r>
          </w:p>
        </w:tc>
        <w:tc>
          <w:tcPr>
            <w:tcW w:w="760" w:type="dxa"/>
            <w:vAlign w:val="bottom"/>
          </w:tcPr>
          <w:p>
            <w:pPr>
              <w:jc w:val="right"/>
              <w:spacing w:after="0"/>
              <w:rPr>
                <w:sz w:val="20"/>
                <w:szCs w:val="20"/>
                <w:color w:val="auto"/>
              </w:rPr>
            </w:pPr>
            <w:r>
              <w:rPr>
                <w:rFonts w:ascii="Arial" w:cs="Arial" w:eastAsia="Arial" w:hAnsi="Arial"/>
                <w:sz w:val="18"/>
                <w:szCs w:val="18"/>
                <w:color w:val="auto"/>
              </w:rPr>
              <w:t>72,021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6,204,181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2,466,577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30,363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2,634,775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32,039</w:t>
            </w:r>
          </w:p>
        </w:tc>
        <w:tc>
          <w:tcPr>
            <w:tcW w:w="640" w:type="dxa"/>
            <w:vAlign w:val="bottom"/>
          </w:tcPr>
          <w:p>
            <w:pPr>
              <w:jc w:val="right"/>
              <w:spacing w:after="0"/>
              <w:rPr>
                <w:sz w:val="20"/>
                <w:szCs w:val="20"/>
                <w:color w:val="auto"/>
              </w:rPr>
            </w:pPr>
            <w:r>
              <w:rPr>
                <w:rFonts w:ascii="Arial" w:cs="Arial" w:eastAsia="Arial" w:hAnsi="Arial"/>
                <w:sz w:val="18"/>
                <w:szCs w:val="18"/>
                <w:color w:val="auto"/>
              </w:rPr>
              <w:t>4,012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2,694,359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63,208,720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749,170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331,283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157,068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425,232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1,052,794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65,924,267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- 14 -</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88"/>
              </w:rPr>
              <w:t>90 Days or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more past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gridSpan w:val="2"/>
          </w:tcPr>
          <w:p>
            <w:pPr>
              <w:jc w:val="center"/>
              <w:ind w:left="114"/>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48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5"/>
              </w:rPr>
              <w:t>due and accruing</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Purchased</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7"/>
              </w:rPr>
              <w:t>Days</w:t>
            </w:r>
          </w:p>
        </w:tc>
        <w:tc>
          <w:tcPr>
            <w:tcW w:w="840" w:type="dxa"/>
            <w:vAlign w:val="bottom"/>
            <w:gridSpan w:val="2"/>
          </w:tcPr>
          <w:p>
            <w:pPr>
              <w:ind w:left="180"/>
              <w:spacing w:after="0" w:line="131" w:lineRule="exact"/>
              <w:rPr>
                <w:sz w:val="20"/>
                <w:szCs w:val="20"/>
                <w:color w:val="auto"/>
              </w:rPr>
            </w:pPr>
            <w:r>
              <w:rPr>
                <w:rFonts w:ascii="Arial" w:cs="Arial" w:eastAsia="Arial" w:hAnsi="Arial"/>
                <w:sz w:val="14"/>
                <w:szCs w:val="14"/>
                <w:color w:val="auto"/>
              </w:rPr>
              <w:t>Non-</w:t>
            </w:r>
          </w:p>
        </w:tc>
        <w:tc>
          <w:tcPr>
            <w:tcW w:w="640" w:type="dxa"/>
            <w:vAlign w:val="bottom"/>
          </w:tcPr>
          <w:p>
            <w:pPr>
              <w:jc w:val="right"/>
              <w:spacing w:after="0" w:line="131" w:lineRule="exact"/>
              <w:rPr>
                <w:sz w:val="20"/>
                <w:szCs w:val="20"/>
                <w:color w:val="auto"/>
              </w:rPr>
            </w:pPr>
            <w:r>
              <w:rPr>
                <w:rFonts w:ascii="Arial" w:cs="Arial" w:eastAsia="Arial" w:hAnsi="Arial"/>
                <w:sz w:val="14"/>
                <w:szCs w:val="14"/>
                <w:color w:val="auto"/>
                <w:w w:val="97"/>
              </w:rPr>
              <w:t>Acquired</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9"/>
              </w:rPr>
              <w:t>impaired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1"/>
              </w:rPr>
              <w:t>past due</w:t>
            </w:r>
          </w:p>
        </w:tc>
        <w:tc>
          <w:tcPr>
            <w:tcW w:w="8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acquired</w:t>
            </w:r>
          </w:p>
        </w:tc>
        <w:tc>
          <w:tcPr>
            <w:tcW w:w="640" w:type="dxa"/>
            <w:vAlign w:val="bottom"/>
          </w:tcPr>
          <w:p>
            <w:pPr>
              <w:jc w:val="right"/>
              <w:ind w:right="156"/>
              <w:spacing w:after="0" w:line="159" w:lineRule="exact"/>
              <w:rPr>
                <w:sz w:val="20"/>
                <w:szCs w:val="20"/>
                <w:color w:val="auto"/>
              </w:rPr>
            </w:pPr>
            <w:r>
              <w:rPr>
                <w:rFonts w:ascii="Arial" w:cs="Arial" w:eastAsia="Arial" w:hAnsi="Arial"/>
                <w:sz w:val="14"/>
                <w:szCs w:val="14"/>
                <w:color w:val="auto"/>
              </w:rPr>
              <w:t>(a)</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tcPr>
          <w:p>
            <w:pPr>
              <w:jc w:val="right"/>
              <w:spacing w:after="0"/>
              <w:rPr>
                <w:sz w:val="20"/>
                <w:szCs w:val="20"/>
                <w:color w:val="auto"/>
              </w:rPr>
            </w:pPr>
            <w:r>
              <w:rPr>
                <w:rFonts w:ascii="Arial" w:cs="Arial" w:eastAsia="Arial" w:hAnsi="Arial"/>
                <w:sz w:val="18"/>
                <w:szCs w:val="18"/>
                <w:color w:val="auto"/>
                <w:w w:val="81"/>
              </w:rPr>
              <w:t>$ 17,511,052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62,479</w:t>
            </w:r>
          </w:p>
        </w:tc>
        <w:tc>
          <w:tcPr>
            <w:tcW w:w="640" w:type="dxa"/>
            <w:vAlign w:val="bottom"/>
          </w:tcPr>
          <w:p>
            <w:pPr>
              <w:jc w:val="right"/>
              <w:spacing w:after="0"/>
              <w:rPr>
                <w:sz w:val="20"/>
                <w:szCs w:val="20"/>
                <w:color w:val="auto"/>
              </w:rPr>
            </w:pPr>
            <w:r>
              <w:rPr>
                <w:rFonts w:ascii="Arial" w:cs="Arial" w:eastAsia="Arial" w:hAnsi="Arial"/>
                <w:sz w:val="18"/>
                <w:szCs w:val="18"/>
                <w:color w:val="auto"/>
              </w:rPr>
              <w:t>23,490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10,587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17,437</w:t>
            </w:r>
          </w:p>
        </w:tc>
        <w:tc>
          <w:tcPr>
            <w:tcW w:w="760" w:type="dxa"/>
            <w:vAlign w:val="bottom"/>
          </w:tcPr>
          <w:p>
            <w:pPr>
              <w:jc w:val="right"/>
              <w:spacing w:after="0"/>
              <w:rPr>
                <w:sz w:val="20"/>
                <w:szCs w:val="20"/>
                <w:color w:val="auto"/>
              </w:rPr>
            </w:pPr>
            <w:r>
              <w:rPr>
                <w:rFonts w:ascii="Arial" w:cs="Arial" w:eastAsia="Arial" w:hAnsi="Arial"/>
                <w:sz w:val="18"/>
                <w:szCs w:val="18"/>
                <w:color w:val="auto"/>
              </w:rPr>
              <w:t>151,908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17,776,953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21,759,997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118,249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13,111</w:t>
            </w:r>
          </w:p>
        </w:tc>
        <w:tc>
          <w:tcPr>
            <w:tcW w:w="640" w:type="dxa"/>
            <w:vAlign w:val="bottom"/>
          </w:tcPr>
          <w:p>
            <w:pPr>
              <w:jc w:val="right"/>
              <w:spacing w:after="0"/>
              <w:rPr>
                <w:sz w:val="20"/>
                <w:szCs w:val="20"/>
                <w:color w:val="auto"/>
              </w:rPr>
            </w:pPr>
            <w:r>
              <w:rPr>
                <w:rFonts w:ascii="Arial" w:cs="Arial" w:eastAsia="Arial" w:hAnsi="Arial"/>
                <w:sz w:val="18"/>
                <w:szCs w:val="18"/>
                <w:color w:val="auto"/>
              </w:rPr>
              <w:t>54,995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132,962</w:t>
            </w:r>
          </w:p>
        </w:tc>
        <w:tc>
          <w:tcPr>
            <w:tcW w:w="760" w:type="dxa"/>
            <w:vAlign w:val="bottom"/>
          </w:tcPr>
          <w:p>
            <w:pPr>
              <w:jc w:val="right"/>
              <w:spacing w:after="0"/>
              <w:rPr>
                <w:sz w:val="20"/>
                <w:szCs w:val="20"/>
                <w:color w:val="auto"/>
              </w:rPr>
            </w:pPr>
            <w:r>
              <w:rPr>
                <w:rFonts w:ascii="Arial" w:cs="Arial" w:eastAsia="Arial" w:hAnsi="Arial"/>
                <w:sz w:val="18"/>
                <w:szCs w:val="18"/>
                <w:color w:val="auto"/>
              </w:rPr>
              <w:t>193,859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22,273,173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757,311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35,419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187,764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2,379,953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35,274</w:t>
            </w:r>
          </w:p>
        </w:tc>
        <w:tc>
          <w:tcPr>
            <w:tcW w:w="640" w:type="dxa"/>
            <w:vAlign w:val="bottom"/>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9,572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68,971</w:t>
            </w:r>
          </w:p>
        </w:tc>
        <w:tc>
          <w:tcPr>
            <w:tcW w:w="760" w:type="dxa"/>
            <w:vAlign w:val="bottom"/>
          </w:tcPr>
          <w:p>
            <w:pPr>
              <w:jc w:val="right"/>
              <w:spacing w:after="0"/>
              <w:rPr>
                <w:sz w:val="20"/>
                <w:szCs w:val="20"/>
                <w:color w:val="auto"/>
              </w:rPr>
            </w:pPr>
            <w:r>
              <w:rPr>
                <w:rFonts w:ascii="Arial" w:cs="Arial" w:eastAsia="Arial" w:hAnsi="Arial"/>
                <w:sz w:val="18"/>
                <w:szCs w:val="18"/>
                <w:color w:val="auto"/>
              </w:rPr>
              <w:t>36,812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2,531,091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9,811,956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337,969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313,184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36,769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10,794,316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tcPr>
          <w:p>
            <w:pPr>
              <w:jc w:val="right"/>
              <w:spacing w:after="0"/>
              <w:rPr>
                <w:sz w:val="20"/>
                <w:szCs w:val="20"/>
                <w:color w:val="auto"/>
              </w:rPr>
            </w:pPr>
            <w:r>
              <w:rPr>
                <w:rFonts w:ascii="Arial" w:cs="Arial" w:eastAsia="Arial" w:hAnsi="Arial"/>
                <w:sz w:val="18"/>
                <w:szCs w:val="18"/>
                <w:color w:val="auto"/>
              </w:rPr>
              <w:t>331,021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19,692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95,808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446,521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8"/>
                <w:szCs w:val="18"/>
                <w:color w:val="auto"/>
              </w:rPr>
              <w:t>6,199,591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40,759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20,318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3,211</w:t>
            </w:r>
          </w:p>
        </w:tc>
        <w:tc>
          <w:tcPr>
            <w:tcW w:w="760" w:type="dxa"/>
            <w:vAlign w:val="bottom"/>
          </w:tcPr>
          <w:p>
            <w:pPr>
              <w:jc w:val="right"/>
              <w:spacing w:after="0"/>
              <w:rPr>
                <w:sz w:val="20"/>
                <w:szCs w:val="20"/>
                <w:color w:val="auto"/>
              </w:rPr>
            </w:pPr>
            <w:r>
              <w:rPr>
                <w:rFonts w:ascii="Arial" w:cs="Arial" w:eastAsia="Arial" w:hAnsi="Arial"/>
                <w:sz w:val="18"/>
                <w:szCs w:val="18"/>
                <w:color w:val="auto"/>
              </w:rPr>
              <w:t>58,071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6,321,950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2,442,502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40,461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2,661,432</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40,599</w:t>
            </w:r>
          </w:p>
        </w:tc>
        <w:tc>
          <w:tcPr>
            <w:tcW w:w="640" w:type="dxa"/>
            <w:vAlign w:val="bottom"/>
          </w:tcPr>
          <w:p>
            <w:pPr>
              <w:jc w:val="right"/>
              <w:spacing w:after="0"/>
              <w:rPr>
                <w:sz w:val="20"/>
                <w:szCs w:val="20"/>
                <w:color w:val="auto"/>
              </w:rPr>
            </w:pPr>
            <w:r>
              <w:rPr>
                <w:rFonts w:ascii="Arial" w:cs="Arial" w:eastAsia="Arial" w:hAnsi="Arial"/>
                <w:sz w:val="18"/>
                <w:szCs w:val="18"/>
                <w:color w:val="auto"/>
              </w:rPr>
              <w:t>4,845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1,798</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2,729,106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63,854,815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730,901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358,397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166,554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1,013,176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66,570,957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16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Changes in the allowance for credit losses for the three months ended March 31, 2013 and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1900" w:type="dxa"/>
            <w:vAlign w:val="bottom"/>
            <w:gridSpan w:val="4"/>
            <w:vMerge w:val="restart"/>
          </w:tcPr>
          <w:p>
            <w:pPr>
              <w:jc w:val="right"/>
              <w:ind w:right="800"/>
              <w:spacing w:after="0"/>
              <w:rPr>
                <w:sz w:val="20"/>
                <w:szCs w:val="20"/>
                <w:color w:val="auto"/>
              </w:rPr>
            </w:pPr>
            <w:r>
              <w:rPr>
                <w:rFonts w:ascii="Arial" w:cs="Arial" w:eastAsia="Arial" w:hAnsi="Arial"/>
                <w:sz w:val="14"/>
                <w:szCs w:val="14"/>
                <w:color w:val="auto"/>
              </w:rPr>
              <w:t>Real Estate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0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5"/>
              </w:rPr>
              <w:t>Leasing, etc.</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8"/>
              </w:rPr>
              <w:t>Commercial</w:t>
            </w:r>
          </w:p>
        </w:tc>
        <w:tc>
          <w:tcPr>
            <w:tcW w:w="9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86"/>
              </w:rPr>
              <w:t>Consumer</w:t>
            </w:r>
          </w:p>
        </w:tc>
        <w:tc>
          <w:tcPr>
            <w:tcW w:w="660" w:type="dxa"/>
            <w:vAlign w:val="bottom"/>
          </w:tcPr>
          <w:p>
            <w:pPr>
              <w:spacing w:after="0" w:line="159" w:lineRule="exact"/>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2013</w:t>
            </w:r>
          </w:p>
        </w:tc>
        <w:tc>
          <w:tcPr>
            <w:tcW w:w="5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$ 246,759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337,101</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88,807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179,418</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73,775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14,836</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560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(9,544)</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(21,645)</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Arial" w:cs="Arial" w:eastAsia="Arial" w:hAnsi="Arial"/>
                <w:sz w:val="18"/>
                <w:szCs w:val="18"/>
                <w:color w:val="auto"/>
              </w:rPr>
              <w:t>Recoveries</w:t>
            </w:r>
          </w:p>
        </w:tc>
        <w:tc>
          <w:tcPr>
            <w:tcW w:w="700" w:type="dxa"/>
            <w:vAlign w:val="bottom"/>
          </w:tcPr>
          <w:p>
            <w:pPr>
              <w:jc w:val="right"/>
              <w:spacing w:after="0"/>
              <w:rPr>
                <w:sz w:val="20"/>
                <w:szCs w:val="20"/>
                <w:color w:val="auto"/>
              </w:rPr>
            </w:pPr>
            <w:r>
              <w:rPr>
                <w:rFonts w:ascii="Arial" w:cs="Arial" w:eastAsia="Arial" w:hAnsi="Arial"/>
                <w:sz w:val="18"/>
                <w:szCs w:val="18"/>
                <w:color w:val="auto"/>
              </w:rPr>
              <w:t>2,756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4,450</w:t>
            </w:r>
          </w:p>
        </w:tc>
        <w:tc>
          <w:tcPr>
            <w:tcW w:w="620" w:type="dxa"/>
            <w:vAlign w:val="bottom"/>
          </w:tcPr>
          <w:p>
            <w:pPr>
              <w:jc w:val="right"/>
              <w:spacing w:after="0"/>
              <w:rPr>
                <w:sz w:val="20"/>
                <w:szCs w:val="20"/>
                <w:color w:val="auto"/>
              </w:rPr>
            </w:pPr>
            <w:r>
              <w:rPr>
                <w:rFonts w:ascii="Arial" w:cs="Arial" w:eastAsia="Arial" w:hAnsi="Arial"/>
                <w:sz w:val="18"/>
                <w:szCs w:val="18"/>
                <w:color w:val="auto"/>
              </w:rPr>
              <w:t>4,184</w:t>
            </w:r>
          </w:p>
        </w:tc>
        <w:tc>
          <w:tcPr>
            <w:tcW w:w="3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(17,461)</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(36,743)</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3"/>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$ 257,851</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328,016</w:t>
            </w:r>
          </w:p>
        </w:tc>
        <w:tc>
          <w:tcPr>
            <w:tcW w:w="3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90,122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176,793</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74,335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927,117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2012</w:t>
            </w:r>
          </w:p>
        </w:tc>
        <w:tc>
          <w:tcPr>
            <w:tcW w:w="5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$ 234,022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367,637</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91,915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143,121</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71,595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(12,718)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(28,981)</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Arial" w:cs="Arial" w:eastAsia="Arial" w:hAnsi="Arial"/>
                <w:sz w:val="18"/>
                <w:szCs w:val="18"/>
                <w:color w:val="auto"/>
              </w:rPr>
              <w:t>Recoveries</w:t>
            </w:r>
          </w:p>
        </w:tc>
        <w:tc>
          <w:tcPr>
            <w:tcW w:w="700" w:type="dxa"/>
            <w:vAlign w:val="bottom"/>
          </w:tcPr>
          <w:p>
            <w:pPr>
              <w:jc w:val="right"/>
              <w:spacing w:after="0"/>
              <w:rPr>
                <w:sz w:val="20"/>
                <w:szCs w:val="20"/>
                <w:color w:val="auto"/>
              </w:rPr>
            </w:pPr>
            <w:r>
              <w:rPr>
                <w:rFonts w:ascii="Arial" w:cs="Arial" w:eastAsia="Arial" w:hAnsi="Arial"/>
                <w:sz w:val="18"/>
                <w:szCs w:val="18"/>
                <w:color w:val="auto"/>
              </w:rPr>
              <w:t>3,167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1,717</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1,874</w:t>
            </w:r>
          </w:p>
        </w:tc>
        <w:tc>
          <w:tcPr>
            <w:tcW w:w="620" w:type="dxa"/>
            <w:vAlign w:val="bottom"/>
          </w:tcPr>
          <w:p>
            <w:pPr>
              <w:jc w:val="right"/>
              <w:spacing w:after="0"/>
              <w:rPr>
                <w:sz w:val="20"/>
                <w:szCs w:val="20"/>
                <w:color w:val="auto"/>
              </w:rPr>
            </w:pPr>
            <w:r>
              <w:rPr>
                <w:rFonts w:ascii="Arial" w:cs="Arial" w:eastAsia="Arial" w:hAnsi="Arial"/>
                <w:sz w:val="18"/>
                <w:szCs w:val="18"/>
                <w:color w:val="auto"/>
              </w:rPr>
              <w:t>5,234</w:t>
            </w:r>
          </w:p>
        </w:tc>
        <w:tc>
          <w:tcPr>
            <w:tcW w:w="3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(10,844)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(23,747)</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(48,284)</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3"/>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$ 239,273</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356,554</w:t>
            </w:r>
          </w:p>
        </w:tc>
        <w:tc>
          <w:tcPr>
            <w:tcW w:w="3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97,301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142,912</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72,966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909,006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loan or lease type.</w:t>
      </w:r>
    </w:p>
    <w:p>
      <w:pPr>
        <w:spacing w:after="0" w:line="1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March 31, 2013 and December 31, 2012 and for the three month periods ended March 31,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0"/>
              </w:rPr>
              <w:t>March 31, 2013</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w w:val="94"/>
              </w:rPr>
              <w:t>December 31, 2012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90"/>
              </w:rPr>
              <w:t>Unpaid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ind w:left="180"/>
              <w:spacing w:after="0" w:line="131" w:lineRule="exact"/>
              <w:rPr>
                <w:sz w:val="20"/>
                <w:szCs w:val="20"/>
                <w:color w:val="auto"/>
              </w:rPr>
            </w:pPr>
            <w:r>
              <w:rPr>
                <w:rFonts w:ascii="Arial" w:cs="Arial" w:eastAsia="Arial" w:hAnsi="Arial"/>
                <w:sz w:val="14"/>
                <w:szCs w:val="14"/>
                <w:color w:val="auto"/>
              </w:rPr>
              <w:t>Unpaid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Recorded</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principal</w:t>
            </w:r>
          </w:p>
        </w:tc>
        <w:tc>
          <w:tcPr>
            <w:tcW w:w="20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Recorded</w:t>
            </w:r>
          </w:p>
        </w:tc>
        <w:tc>
          <w:tcPr>
            <w:tcW w:w="2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principal</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investment</w:t>
            </w:r>
          </w:p>
        </w:tc>
        <w:tc>
          <w:tcPr>
            <w:tcW w:w="18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5"/>
              </w:rPr>
              <w:t>balance</w:t>
            </w:r>
          </w:p>
        </w:tc>
        <w:tc>
          <w:tcPr>
            <w:tcW w:w="200" w:type="dxa"/>
            <w:vAlign w:val="bottom"/>
          </w:tcPr>
          <w:p>
            <w:pPr>
              <w:spacing w:after="0"/>
              <w:rPr>
                <w:sz w:val="13"/>
                <w:szCs w:val="13"/>
                <w:color w:val="auto"/>
              </w:rPr>
            </w:pPr>
          </w:p>
        </w:tc>
        <w:tc>
          <w:tcPr>
            <w:tcW w:w="8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4"/>
              </w:rPr>
              <w:t>investment</w:t>
            </w:r>
          </w:p>
        </w:tc>
        <w:tc>
          <w:tcPr>
            <w:tcW w:w="220" w:type="dxa"/>
            <w:vAlign w:val="bottom"/>
          </w:tcPr>
          <w:p>
            <w:pPr>
              <w:spacing w:after="0"/>
              <w:rPr>
                <w:sz w:val="13"/>
                <w:szCs w:val="13"/>
                <w:color w:val="auto"/>
              </w:rPr>
            </w:pPr>
          </w:p>
        </w:tc>
        <w:tc>
          <w:tcPr>
            <w:tcW w:w="9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balance</w:t>
            </w:r>
          </w:p>
        </w:tc>
        <w:tc>
          <w:tcPr>
            <w:tcW w:w="7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165,867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186,405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45,277</w:t>
            </w:r>
          </w:p>
        </w:tc>
        <w:tc>
          <w:tcPr>
            <w:tcW w:w="740" w:type="dxa"/>
            <w:vAlign w:val="bottom"/>
          </w:tcPr>
          <w:p>
            <w:pPr>
              <w:jc w:val="right"/>
              <w:spacing w:after="0"/>
              <w:rPr>
                <w:sz w:val="20"/>
                <w:szCs w:val="20"/>
                <w:color w:val="auto"/>
              </w:rPr>
            </w:pPr>
            <w:r>
              <w:rPr>
                <w:rFonts w:ascii="Arial" w:cs="Arial" w:eastAsia="Arial" w:hAnsi="Arial"/>
                <w:sz w:val="18"/>
                <w:szCs w:val="18"/>
                <w:color w:val="auto"/>
              </w:rPr>
              <w:t>127,282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149,534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116,111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142,349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19,859</w:t>
            </w:r>
          </w:p>
        </w:tc>
        <w:tc>
          <w:tcPr>
            <w:tcW w:w="740" w:type="dxa"/>
            <w:vAlign w:val="bottom"/>
          </w:tcPr>
          <w:p>
            <w:pPr>
              <w:jc w:val="right"/>
              <w:spacing w:after="0"/>
              <w:rPr>
                <w:sz w:val="20"/>
                <w:szCs w:val="20"/>
                <w:color w:val="auto"/>
              </w:rPr>
            </w:pPr>
            <w:r>
              <w:rPr>
                <w:rFonts w:ascii="Arial" w:cs="Arial" w:eastAsia="Arial" w:hAnsi="Arial"/>
                <w:sz w:val="18"/>
                <w:szCs w:val="18"/>
                <w:color w:val="auto"/>
              </w:rPr>
              <w:t>121,542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143,846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202,139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19,956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216,218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73,622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77,164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6,533</w:t>
            </w:r>
          </w:p>
        </w:tc>
        <w:tc>
          <w:tcPr>
            <w:tcW w:w="740" w:type="dxa"/>
            <w:vAlign w:val="bottom"/>
          </w:tcPr>
          <w:p>
            <w:pPr>
              <w:jc w:val="right"/>
              <w:spacing w:after="0"/>
              <w:rPr>
                <w:sz w:val="20"/>
                <w:szCs w:val="20"/>
                <w:color w:val="auto"/>
              </w:rPr>
            </w:pPr>
            <w:r>
              <w:rPr>
                <w:rFonts w:ascii="Arial" w:cs="Arial" w:eastAsia="Arial" w:hAnsi="Arial"/>
                <w:sz w:val="18"/>
                <w:szCs w:val="18"/>
                <w:color w:val="auto"/>
              </w:rPr>
              <w:t>73,544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76,869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123,244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5,464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121,819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125,781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139,779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17,000</w:t>
            </w:r>
          </w:p>
        </w:tc>
        <w:tc>
          <w:tcPr>
            <w:tcW w:w="740" w:type="dxa"/>
            <w:vAlign w:val="bottom"/>
          </w:tcPr>
          <w:p>
            <w:pPr>
              <w:jc w:val="right"/>
              <w:spacing w:after="0"/>
              <w:rPr>
                <w:sz w:val="20"/>
                <w:szCs w:val="20"/>
                <w:color w:val="auto"/>
              </w:rPr>
            </w:pPr>
            <w:r>
              <w:rPr>
                <w:rFonts w:ascii="Arial" w:cs="Arial" w:eastAsia="Arial" w:hAnsi="Arial"/>
                <w:sz w:val="18"/>
                <w:szCs w:val="18"/>
                <w:color w:val="auto"/>
              </w:rPr>
              <w:t>128,891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141,940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13,805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2,315</w:t>
            </w:r>
          </w:p>
        </w:tc>
        <w:tc>
          <w:tcPr>
            <w:tcW w:w="740" w:type="dxa"/>
            <w:vAlign w:val="bottom"/>
          </w:tcPr>
          <w:p>
            <w:pPr>
              <w:jc w:val="right"/>
              <w:spacing w:after="0"/>
              <w:rPr>
                <w:sz w:val="20"/>
                <w:szCs w:val="20"/>
                <w:color w:val="auto"/>
              </w:rPr>
            </w:pPr>
            <w:r>
              <w:rPr>
                <w:rFonts w:ascii="Arial" w:cs="Arial" w:eastAsia="Arial" w:hAnsi="Arial"/>
                <w:sz w:val="18"/>
                <w:szCs w:val="18"/>
                <w:color w:val="auto"/>
              </w:rPr>
              <w:t>12,360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45,876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15,280</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14,408</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765,600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946,041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134,839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745,994</w:t>
            </w: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927,411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98,494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100,337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67,685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93,936</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74,307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105,438</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27,170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86,240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96,741</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86,342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96,448</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53,057</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58,768</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330,889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427,820</w:t>
            </w: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326,032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426,722</w:t>
            </w:r>
          </w:p>
        </w:tc>
        <w:tc>
          <w:tcPr>
            <w:tcW w:w="22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212,054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244,827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45,277</w:t>
            </w:r>
          </w:p>
        </w:tc>
        <w:tc>
          <w:tcPr>
            <w:tcW w:w="740" w:type="dxa"/>
            <w:vAlign w:val="bottom"/>
          </w:tcPr>
          <w:p>
            <w:pPr>
              <w:jc w:val="right"/>
              <w:spacing w:after="0"/>
              <w:rPr>
                <w:sz w:val="20"/>
                <w:szCs w:val="20"/>
                <w:color w:val="auto"/>
              </w:rPr>
            </w:pPr>
            <w:r>
              <w:rPr>
                <w:rFonts w:ascii="Arial" w:cs="Arial" w:eastAsia="Arial" w:hAnsi="Arial"/>
                <w:sz w:val="18"/>
                <w:szCs w:val="18"/>
                <w:color w:val="auto"/>
              </w:rPr>
              <w:t>159,913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191,733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192,507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240,843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19,859</w:t>
            </w:r>
          </w:p>
        </w:tc>
        <w:tc>
          <w:tcPr>
            <w:tcW w:w="740" w:type="dxa"/>
            <w:vAlign w:val="bottom"/>
          </w:tcPr>
          <w:p>
            <w:pPr>
              <w:jc w:val="right"/>
              <w:spacing w:after="0"/>
              <w:rPr>
                <w:sz w:val="20"/>
                <w:szCs w:val="20"/>
                <w:color w:val="auto"/>
              </w:rPr>
            </w:pPr>
            <w:r>
              <w:rPr>
                <w:rFonts w:ascii="Arial" w:cs="Arial" w:eastAsia="Arial" w:hAnsi="Arial"/>
                <w:sz w:val="18"/>
                <w:szCs w:val="18"/>
                <w:color w:val="auto"/>
              </w:rPr>
              <w:t>199,922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244,183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174,195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296,075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19,956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321,656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99,920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104,334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6,533</w:t>
            </w:r>
          </w:p>
        </w:tc>
        <w:tc>
          <w:tcPr>
            <w:tcW w:w="740" w:type="dxa"/>
            <w:vAlign w:val="bottom"/>
          </w:tcPr>
          <w:p>
            <w:pPr>
              <w:jc w:val="right"/>
              <w:spacing w:after="0"/>
              <w:rPr>
                <w:sz w:val="20"/>
                <w:szCs w:val="20"/>
                <w:color w:val="auto"/>
              </w:rPr>
            </w:pPr>
            <w:r>
              <w:rPr>
                <w:rFonts w:ascii="Arial" w:cs="Arial" w:eastAsia="Arial" w:hAnsi="Arial"/>
                <w:sz w:val="18"/>
                <w:szCs w:val="18"/>
                <w:color w:val="auto"/>
              </w:rPr>
              <w:t>96,562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100,401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190,336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219,985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5,464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218,267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153,864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192,836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17,000</w:t>
            </w:r>
          </w:p>
        </w:tc>
        <w:tc>
          <w:tcPr>
            <w:tcW w:w="740" w:type="dxa"/>
            <w:vAlign w:val="bottom"/>
          </w:tcPr>
          <w:p>
            <w:pPr>
              <w:jc w:val="right"/>
              <w:spacing w:after="0"/>
              <w:rPr>
                <w:sz w:val="20"/>
                <w:szCs w:val="20"/>
                <w:color w:val="auto"/>
              </w:rPr>
            </w:pPr>
            <w:r>
              <w:rPr>
                <w:rFonts w:ascii="Arial" w:cs="Arial" w:eastAsia="Arial" w:hAnsi="Arial"/>
                <w:sz w:val="18"/>
                <w:szCs w:val="18"/>
                <w:color w:val="auto"/>
              </w:rPr>
              <w:t>160,245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200,708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12,457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13,805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2,315</w:t>
            </w:r>
          </w:p>
        </w:tc>
        <w:tc>
          <w:tcPr>
            <w:tcW w:w="740" w:type="dxa"/>
            <w:vAlign w:val="bottom"/>
          </w:tcPr>
          <w:p>
            <w:pPr>
              <w:jc w:val="right"/>
              <w:spacing w:after="0"/>
              <w:rPr>
                <w:sz w:val="20"/>
                <w:szCs w:val="20"/>
                <w:color w:val="auto"/>
              </w:rPr>
            </w:pPr>
            <w:r>
              <w:rPr>
                <w:rFonts w:ascii="Arial" w:cs="Arial" w:eastAsia="Arial" w:hAnsi="Arial"/>
                <w:sz w:val="18"/>
                <w:szCs w:val="18"/>
                <w:color w:val="auto"/>
              </w:rPr>
              <w:t>12,360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45,876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15,280</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14,408</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1,096,489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1,373,861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134,839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1,072,026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1,354,133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- 17 -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left="299"/>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center"/>
              <w:ind w:left="407"/>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left="299"/>
              <w:spacing w:after="0" w:line="159" w:lineRule="exact"/>
              <w:rPr>
                <w:sz w:val="20"/>
                <w:szCs w:val="20"/>
                <w:color w:val="auto"/>
              </w:rPr>
            </w:pPr>
            <w:r>
              <w:rPr>
                <w:rFonts w:ascii="Arial" w:cs="Arial" w:eastAsia="Arial" w:hAnsi="Arial"/>
                <w:sz w:val="14"/>
                <w:szCs w:val="14"/>
                <w:color w:val="auto"/>
                <w:w w:val="88"/>
              </w:rPr>
              <w:t>March 31, 2013</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Borders>
              <w:bottom w:val="single" w:sz="8" w:color="auto"/>
            </w:tcBorders>
            <w:gridSpan w:val="4"/>
          </w:tcPr>
          <w:p>
            <w:pPr>
              <w:jc w:val="center"/>
              <w:ind w:left="407"/>
              <w:spacing w:after="0" w:line="159" w:lineRule="exact"/>
              <w:rPr>
                <w:sz w:val="20"/>
                <w:szCs w:val="20"/>
                <w:color w:val="auto"/>
              </w:rPr>
            </w:pPr>
            <w:r>
              <w:rPr>
                <w:rFonts w:ascii="Arial" w:cs="Arial" w:eastAsia="Arial" w:hAnsi="Arial"/>
                <w:sz w:val="14"/>
                <w:szCs w:val="14"/>
                <w:color w:val="auto"/>
                <w:w w:val="88"/>
              </w:rPr>
              <w:t>March 31, 2012</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right"/>
              <w:ind w:right="57"/>
              <w:spacing w:after="0" w:line="131" w:lineRule="exact"/>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4"/>
              </w:rPr>
              <w:t>Average</w:t>
            </w:r>
          </w:p>
        </w:tc>
        <w:tc>
          <w:tcPr>
            <w:tcW w:w="1120" w:type="dxa"/>
            <w:vAlign w:val="bottom"/>
            <w:gridSpan w:val="3"/>
          </w:tcPr>
          <w:p>
            <w:pPr>
              <w:jc w:val="right"/>
              <w:ind w:right="177"/>
              <w:spacing w:after="0" w:line="159" w:lineRule="exact"/>
              <w:rPr>
                <w:sz w:val="20"/>
                <w:szCs w:val="20"/>
                <w:color w:val="auto"/>
              </w:rPr>
            </w:pPr>
            <w:r>
              <w:rPr>
                <w:rFonts w:ascii="Arial" w:cs="Arial" w:eastAsia="Arial" w:hAnsi="Arial"/>
                <w:sz w:val="14"/>
                <w:szCs w:val="14"/>
                <w:color w:val="auto"/>
              </w:rPr>
              <w:t>recognized</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Average</w:t>
            </w:r>
          </w:p>
        </w:tc>
        <w:tc>
          <w:tcPr>
            <w:tcW w:w="122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6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17"/>
              <w:spacing w:after="0" w:line="149" w:lineRule="exact"/>
              <w:rPr>
                <w:sz w:val="20"/>
                <w:szCs w:val="20"/>
                <w:color w:val="auto"/>
              </w:rPr>
            </w:pPr>
            <w:r>
              <w:rPr>
                <w:rFonts w:ascii="Arial" w:cs="Arial" w:eastAsia="Arial" w:hAnsi="Arial"/>
                <w:sz w:val="14"/>
                <w:szCs w:val="14"/>
                <w:color w:val="auto"/>
              </w:rPr>
              <w:t>Cash</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8"/>
              </w:rPr>
              <w:t>investment</w:t>
            </w:r>
          </w:p>
        </w:tc>
        <w:tc>
          <w:tcPr>
            <w:tcW w:w="6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Total</w:t>
            </w:r>
          </w:p>
        </w:tc>
        <w:tc>
          <w:tcPr>
            <w:tcW w:w="460" w:type="dxa"/>
            <w:vAlign w:val="bottom"/>
          </w:tcPr>
          <w:p>
            <w:pPr>
              <w:jc w:val="right"/>
              <w:ind w:right="17"/>
              <w:spacing w:after="0" w:line="159" w:lineRule="exact"/>
              <w:rPr>
                <w:sz w:val="20"/>
                <w:szCs w:val="20"/>
                <w:color w:val="auto"/>
              </w:rPr>
            </w:pPr>
            <w:r>
              <w:rPr>
                <w:rFonts w:ascii="Arial" w:cs="Arial" w:eastAsia="Arial" w:hAnsi="Arial"/>
                <w:sz w:val="14"/>
                <w:szCs w:val="14"/>
                <w:color w:val="auto"/>
              </w:rPr>
              <w:t>basis</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investment</w:t>
            </w:r>
          </w:p>
        </w:tc>
        <w:tc>
          <w:tcPr>
            <w:tcW w:w="6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700"/>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167,724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194,446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178,315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183,853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282,495</w:t>
            </w: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104,105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188,075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126,376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181,018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47,606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53,289</w:t>
            </w:r>
          </w:p>
        </w:tc>
        <w:tc>
          <w:tcPr>
            <w:tcW w:w="460" w:type="dxa"/>
            <w:vAlign w:val="bottom"/>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1,064,446</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7,816</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5,189</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1,111,622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5,580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9"/>
              </w:rPr>
              <w:t>Commercial,</w:t>
            </w: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w w:val="85"/>
              </w:rPr>
              <w:t>Real Estate</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6"/>
              </w:rPr>
              <w:t>Residential</w:t>
            </w:r>
          </w:p>
        </w:tc>
        <w:tc>
          <w:tcPr>
            <w:tcW w:w="2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Financial,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Builder and</w:t>
            </w:r>
          </w:p>
        </w:tc>
        <w:tc>
          <w:tcPr>
            <w:tcW w:w="2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Commercial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color w:val="auto"/>
                <w:w w:val="85"/>
              </w:rPr>
              <w:t>Leasing, etc.</w:t>
            </w:r>
          </w:p>
        </w:tc>
        <w:tc>
          <w:tcPr>
            <w:tcW w:w="280" w:type="dxa"/>
            <w:vAlign w:val="bottom"/>
          </w:tcPr>
          <w:p>
            <w:pPr>
              <w:spacing w:after="0"/>
              <w:rPr>
                <w:sz w:val="13"/>
                <w:szCs w:val="13"/>
                <w:color w:val="auto"/>
              </w:rPr>
            </w:pPr>
          </w:p>
        </w:tc>
        <w:tc>
          <w:tcPr>
            <w:tcW w:w="860" w:type="dxa"/>
            <w:vAlign w:val="bottom"/>
          </w:tcPr>
          <w:p>
            <w:pPr>
              <w:jc w:val="right"/>
              <w:ind w:right="22"/>
              <w:spacing w:after="0" w:line="159" w:lineRule="exact"/>
              <w:rPr>
                <w:sz w:val="20"/>
                <w:szCs w:val="20"/>
                <w:color w:val="auto"/>
              </w:rPr>
            </w:pPr>
            <w:r>
              <w:rPr>
                <w:rFonts w:ascii="Arial" w:cs="Arial" w:eastAsia="Arial" w:hAnsi="Arial"/>
                <w:sz w:val="14"/>
                <w:szCs w:val="14"/>
                <w:color w:val="auto"/>
                <w:w w:val="99"/>
              </w:rPr>
              <w:t>Commercial</w:t>
            </w:r>
          </w:p>
        </w:tc>
        <w:tc>
          <w:tcPr>
            <w:tcW w:w="3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7"/>
              </w:rPr>
              <w:t>Developer</w:t>
            </w:r>
          </w:p>
        </w:tc>
        <w:tc>
          <w:tcPr>
            <w:tcW w:w="28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566"/>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Pass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$16,590,137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21,086,718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929,857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2,533,617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785,783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204,199</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186,239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166,796</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17,469,138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22,058,740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1,166,648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$16,889,753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21,275,182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922,141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735,292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804,132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85,520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186,843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151,908</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181,865</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17,776,953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22,273,173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1,189,526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2,531,091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the original balance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2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Commercial,</w:t>
            </w:r>
          </w:p>
        </w:tc>
        <w:tc>
          <w:tcPr>
            <w:tcW w:w="1900" w:type="dxa"/>
            <w:vAlign w:val="bottom"/>
            <w:gridSpan w:val="4"/>
            <w:vMerge w:val="restart"/>
          </w:tcPr>
          <w:p>
            <w:pPr>
              <w:ind w:left="5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020" w:type="dxa"/>
            <w:vAlign w:val="bottom"/>
            <w:gridSpan w:val="3"/>
            <w:vMerge w:val="restart"/>
          </w:tcPr>
          <w:p>
            <w:pPr>
              <w:jc w:val="right"/>
              <w:ind w:right="400"/>
              <w:spacing w:after="0" w:line="149" w:lineRule="exact"/>
              <w:rPr>
                <w:sz w:val="20"/>
                <w:szCs w:val="20"/>
                <w:color w:val="auto"/>
              </w:rPr>
            </w:pPr>
            <w:r>
              <w:rPr>
                <w:rFonts w:ascii="Arial" w:cs="Arial" w:eastAsia="Arial" w:hAnsi="Arial"/>
                <w:sz w:val="14"/>
                <w:szCs w:val="14"/>
                <w:color w:val="auto"/>
              </w:rPr>
              <w:t>Financial,</w:t>
            </w:r>
          </w:p>
        </w:tc>
        <w:tc>
          <w:tcPr>
            <w:tcW w:w="19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Leasing, etc.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88"/>
              </w:rPr>
              <w:t>Commercial</w:t>
            </w:r>
          </w:p>
        </w:tc>
        <w:tc>
          <w:tcPr>
            <w:tcW w:w="122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Residential</w:t>
            </w:r>
          </w:p>
        </w:tc>
        <w:tc>
          <w:tcPr>
            <w:tcW w:w="9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Consumer</w:t>
            </w:r>
          </w:p>
        </w:tc>
        <w:tc>
          <w:tcPr>
            <w:tcW w:w="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160" w:type="dxa"/>
            <w:vAlign w:val="bottom"/>
            <w:gridSpan w:val="2"/>
          </w:tcPr>
          <w:p>
            <w:pPr>
              <w:ind w:left="20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45,277</w:t>
            </w:r>
          </w:p>
        </w:tc>
        <w:tc>
          <w:tcPr>
            <w:tcW w:w="680" w:type="dxa"/>
            <w:vAlign w:val="bottom"/>
          </w:tcPr>
          <w:p>
            <w:pPr>
              <w:jc w:val="right"/>
              <w:spacing w:after="0"/>
              <w:rPr>
                <w:sz w:val="20"/>
                <w:szCs w:val="20"/>
                <w:color w:val="auto"/>
              </w:rPr>
            </w:pPr>
            <w:r>
              <w:rPr>
                <w:rFonts w:ascii="Arial" w:cs="Arial" w:eastAsia="Arial" w:hAnsi="Arial"/>
                <w:sz w:val="18"/>
                <w:szCs w:val="18"/>
                <w:color w:val="auto"/>
              </w:rPr>
              <w:t>45,503</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22,444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20,750</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$133,974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212,574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281,492</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66,145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155,480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715,691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Purchased impaired</w:t>
            </w:r>
          </w:p>
        </w:tc>
        <w:tc>
          <w:tcPr>
            <w:tcW w:w="2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257,851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328,016</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90,122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176,793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74,335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$ 927,117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20,502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212,930</w:t>
            </w:r>
          </w:p>
        </w:tc>
        <w:tc>
          <w:tcPr>
            <w:tcW w:w="680" w:type="dxa"/>
            <w:vAlign w:val="bottom"/>
          </w:tcPr>
          <w:p>
            <w:pPr>
              <w:jc w:val="right"/>
              <w:spacing w:after="0"/>
              <w:rPr>
                <w:sz w:val="20"/>
                <w:szCs w:val="20"/>
                <w:color w:val="auto"/>
              </w:rPr>
            </w:pPr>
            <w:r>
              <w:rPr>
                <w:rFonts w:ascii="Arial" w:cs="Arial" w:eastAsia="Arial" w:hAnsi="Arial"/>
                <w:sz w:val="18"/>
                <w:szCs w:val="18"/>
                <w:color w:val="auto"/>
              </w:rPr>
              <w:t>280,789</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66,684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156,661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717,064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246,759</w:t>
            </w:r>
          </w:p>
        </w:tc>
        <w:tc>
          <w:tcPr>
            <w:tcW w:w="680" w:type="dxa"/>
            <w:vAlign w:val="bottom"/>
          </w:tcPr>
          <w:p>
            <w:pPr>
              <w:jc w:val="right"/>
              <w:spacing w:after="0"/>
              <w:rPr>
                <w:sz w:val="20"/>
                <w:szCs w:val="20"/>
                <w:color w:val="auto"/>
              </w:rPr>
            </w:pPr>
            <w:r>
              <w:rPr>
                <w:rFonts w:ascii="Arial" w:cs="Arial" w:eastAsia="Arial" w:hAnsi="Arial"/>
                <w:sz w:val="18"/>
                <w:szCs w:val="18"/>
                <w:color w:val="auto"/>
              </w:rPr>
              <w:t>337,101</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88,807</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179,418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852,085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925,860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color w:val="auto"/>
                <w:w w:val="89"/>
              </w:rPr>
              <w:t>Commercial,</w:t>
            </w:r>
          </w:p>
        </w:tc>
        <w:tc>
          <w:tcPr>
            <w:tcW w:w="200" w:type="dxa"/>
            <w:vAlign w:val="bottom"/>
          </w:tcPr>
          <w:p>
            <w:pPr>
              <w:spacing w:after="0"/>
              <w:rPr>
                <w:sz w:val="14"/>
                <w:szCs w:val="14"/>
                <w:color w:val="auto"/>
              </w:rPr>
            </w:pPr>
          </w:p>
        </w:tc>
        <w:tc>
          <w:tcPr>
            <w:tcW w:w="2100" w:type="dxa"/>
            <w:vAlign w:val="bottom"/>
            <w:gridSpan w:val="4"/>
            <w:vMerge w:val="restart"/>
          </w:tcPr>
          <w:p>
            <w:pPr>
              <w:ind w:left="64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ind w:right="18"/>
              <w:spacing w:after="0" w:line="149" w:lineRule="exact"/>
              <w:rPr>
                <w:sz w:val="20"/>
                <w:szCs w:val="20"/>
                <w:color w:val="auto"/>
              </w:rPr>
            </w:pPr>
            <w:r>
              <w:rPr>
                <w:rFonts w:ascii="Arial" w:cs="Arial" w:eastAsia="Arial" w:hAnsi="Arial"/>
                <w:sz w:val="14"/>
                <w:szCs w:val="14"/>
                <w:color w:val="auto"/>
                <w:w w:val="90"/>
              </w:rPr>
              <w:t>Financial,</w:t>
            </w:r>
          </w:p>
        </w:tc>
        <w:tc>
          <w:tcPr>
            <w:tcW w:w="2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8"/>
              <w:spacing w:after="0" w:line="159" w:lineRule="exact"/>
              <w:rPr>
                <w:sz w:val="20"/>
                <w:szCs w:val="20"/>
                <w:color w:val="auto"/>
              </w:rPr>
            </w:pPr>
            <w:r>
              <w:rPr>
                <w:rFonts w:ascii="Arial" w:cs="Arial" w:eastAsia="Arial" w:hAnsi="Arial"/>
                <w:sz w:val="14"/>
                <w:szCs w:val="14"/>
                <w:color w:val="auto"/>
                <w:w w:val="85"/>
              </w:rPr>
              <w:t>Leasing, etc.</w:t>
            </w:r>
          </w:p>
        </w:tc>
        <w:tc>
          <w:tcPr>
            <w:tcW w:w="200" w:type="dxa"/>
            <w:vAlign w:val="bottom"/>
          </w:tcPr>
          <w:p>
            <w:pPr>
              <w:spacing w:after="0"/>
              <w:rPr>
                <w:sz w:val="13"/>
                <w:szCs w:val="13"/>
                <w:color w:val="auto"/>
              </w:rPr>
            </w:pPr>
          </w:p>
        </w:tc>
        <w:tc>
          <w:tcPr>
            <w:tcW w:w="10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9"/>
              </w:rPr>
              <w:t>Commercial</w:t>
            </w:r>
          </w:p>
        </w:tc>
        <w:tc>
          <w:tcPr>
            <w:tcW w:w="10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9"/>
              </w:rPr>
              <w:t>Residential</w:t>
            </w:r>
          </w:p>
        </w:tc>
        <w:tc>
          <w:tcPr>
            <w:tcW w:w="9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color w:val="auto"/>
                <w:w w:val="87"/>
              </w:rPr>
              <w:t>(in thousands)</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212,054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461,084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343,642</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73,611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1,090,391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17,240,343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25,117,184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10,712,226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11,338,891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64,408,644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16,741</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366,551</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17,469,138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25,944,819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11,094,577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11,415,733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65,924,267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480,335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349,477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1,065,551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17,599,755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25,123,758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10,854,591</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11,480,188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65,058,292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389,697</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17,776,953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25,993,790</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11,240,837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11,559,377</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66,570,957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loans. The types of concessions that the Company grants typically include principal deferrals and interest rate concessions, but may also include other types of concessions.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right"/>
              <w:ind w:right="300"/>
              <w:spacing w:after="0"/>
              <w:rPr>
                <w:sz w:val="20"/>
                <w:szCs w:val="20"/>
                <w:color w:val="auto"/>
              </w:rPr>
            </w:pPr>
            <w:r>
              <w:rPr>
                <w:rFonts w:ascii="Arial" w:cs="Arial" w:eastAsia="Arial" w:hAnsi="Arial"/>
                <w:sz w:val="14"/>
                <w:szCs w:val="14"/>
                <w:color w:val="auto"/>
                <w:w w:val="90"/>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ind w:left="160"/>
              <w:spacing w:after="0" w:line="159" w:lineRule="exact"/>
              <w:rPr>
                <w:sz w:val="20"/>
                <w:szCs w:val="20"/>
                <w:color w:val="auto"/>
              </w:rPr>
            </w:pPr>
            <w:r>
              <w:rPr>
                <w:rFonts w:ascii="Arial" w:cs="Arial" w:eastAsia="Arial" w:hAnsi="Arial"/>
                <w:sz w:val="14"/>
                <w:szCs w:val="14"/>
                <w:color w:val="auto"/>
              </w:rPr>
              <w:t>Recorded investment</w:t>
            </w:r>
          </w:p>
        </w:tc>
        <w:tc>
          <w:tcPr>
            <w:tcW w:w="140" w:type="dxa"/>
            <w:vAlign w:val="bottom"/>
          </w:tcPr>
          <w:p>
            <w:pPr>
              <w:spacing w:after="0"/>
              <w:rPr>
                <w:sz w:val="13"/>
                <w:szCs w:val="13"/>
                <w:color w:val="auto"/>
              </w:rPr>
            </w:pPr>
          </w:p>
        </w:tc>
        <w:tc>
          <w:tcPr>
            <w:tcW w:w="1380" w:type="dxa"/>
            <w:vAlign w:val="bottom"/>
            <w:gridSpan w:val="5"/>
          </w:tcPr>
          <w:p>
            <w:pPr>
              <w:jc w:val="right"/>
              <w:ind w:right="46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60"/>
              <w:spacing w:after="0" w:line="131" w:lineRule="exact"/>
              <w:rPr>
                <w:sz w:val="20"/>
                <w:szCs w:val="20"/>
                <w:color w:val="auto"/>
              </w:rPr>
            </w:pPr>
            <w:r>
              <w:rPr>
                <w:rFonts w:ascii="Arial" w:cs="Arial" w:eastAsia="Arial" w:hAnsi="Arial"/>
                <w:sz w:val="14"/>
                <w:szCs w:val="14"/>
                <w:color w:val="auto"/>
                <w:w w:val="88"/>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4"/>
              </w:rPr>
              <w:t>Number</w:t>
            </w:r>
          </w:p>
        </w:tc>
        <w:tc>
          <w:tcPr>
            <w:tcW w:w="400" w:type="dxa"/>
            <w:vAlign w:val="bottom"/>
          </w:tcPr>
          <w:p>
            <w:pPr>
              <w:spacing w:after="0"/>
              <w:rPr>
                <w:sz w:val="13"/>
                <w:szCs w:val="13"/>
                <w:color w:val="auto"/>
              </w:rPr>
            </w:pPr>
          </w:p>
        </w:tc>
        <w:tc>
          <w:tcPr>
            <w:tcW w:w="740" w:type="dxa"/>
            <w:vAlign w:val="bottom"/>
            <w:gridSpan w:val="3"/>
          </w:tcPr>
          <w:p>
            <w:pPr>
              <w:spacing w:after="0" w:line="159" w:lineRule="exact"/>
              <w:rPr>
                <w:sz w:val="20"/>
                <w:szCs w:val="20"/>
                <w:color w:val="auto"/>
              </w:rPr>
            </w:pPr>
            <w:r>
              <w:rPr>
                <w:rFonts w:ascii="Arial" w:cs="Arial" w:eastAsia="Arial" w:hAnsi="Arial"/>
                <w:sz w:val="14"/>
                <w:szCs w:val="14"/>
                <w:color w:val="auto"/>
                <w:w w:val="96"/>
              </w:rPr>
              <w:t>modification</w:t>
            </w:r>
          </w:p>
        </w:tc>
        <w:tc>
          <w:tcPr>
            <w:tcW w:w="36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3"/>
                <w:szCs w:val="13"/>
                <w:color w:val="auto"/>
              </w:rPr>
            </w:pPr>
          </w:p>
        </w:tc>
        <w:tc>
          <w:tcPr>
            <w:tcW w:w="6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color w:val="auto"/>
              </w:rPr>
              <w:t>(dollars in thousands)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2,006</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47,200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47,200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18,478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18,363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1,357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Consumer:</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Home equity lines and loans</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1,217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79,681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79,660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6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ind w:left="160"/>
              <w:spacing w:after="0" w:line="159" w:lineRule="exact"/>
              <w:rPr>
                <w:sz w:val="20"/>
                <w:szCs w:val="20"/>
                <w:color w:val="auto"/>
              </w:rPr>
            </w:pPr>
            <w:r>
              <w:rPr>
                <w:rFonts w:ascii="Arial" w:cs="Arial" w:eastAsia="Arial" w:hAnsi="Arial"/>
                <w:sz w:val="14"/>
                <w:szCs w:val="14"/>
                <w:color w:val="auto"/>
              </w:rPr>
              <w:t>Recorded investment</w:t>
            </w:r>
          </w:p>
        </w:tc>
        <w:tc>
          <w:tcPr>
            <w:tcW w:w="140" w:type="dxa"/>
            <w:vAlign w:val="bottom"/>
          </w:tcPr>
          <w:p>
            <w:pPr>
              <w:spacing w:after="0"/>
              <w:rPr>
                <w:sz w:val="13"/>
                <w:szCs w:val="13"/>
                <w:color w:val="auto"/>
              </w:rPr>
            </w:pPr>
          </w:p>
        </w:tc>
        <w:tc>
          <w:tcPr>
            <w:tcW w:w="138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6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gridSpan w:val="3"/>
          </w:tcPr>
          <w:p>
            <w:pPr>
              <w:ind w:left="40"/>
              <w:spacing w:after="0" w:line="131" w:lineRule="exact"/>
              <w:rPr>
                <w:sz w:val="20"/>
                <w:szCs w:val="20"/>
                <w:color w:val="auto"/>
              </w:rPr>
            </w:pPr>
            <w:r>
              <w:rPr>
                <w:rFonts w:ascii="Arial" w:cs="Arial" w:eastAsia="Arial" w:hAnsi="Arial"/>
                <w:sz w:val="14"/>
                <w:szCs w:val="14"/>
                <w:color w:val="auto"/>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9"/>
        </w:trPr>
        <w:tc>
          <w:tcPr>
            <w:tcW w:w="6880" w:type="dxa"/>
            <w:vAlign w:val="bottom"/>
          </w:tcPr>
          <w:p>
            <w:pPr>
              <w:spacing w:after="0"/>
              <w:rPr>
                <w:sz w:val="13"/>
                <w:szCs w:val="13"/>
                <w:color w:val="auto"/>
              </w:rPr>
            </w:pPr>
          </w:p>
        </w:tc>
        <w:tc>
          <w:tcPr>
            <w:tcW w:w="8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4"/>
              </w:rPr>
              <w:t>Number</w:t>
            </w:r>
          </w:p>
        </w:tc>
        <w:tc>
          <w:tcPr>
            <w:tcW w:w="740" w:type="dxa"/>
            <w:vAlign w:val="bottom"/>
            <w:gridSpan w:val="3"/>
          </w:tcPr>
          <w:p>
            <w:pPr>
              <w:spacing w:after="0" w:line="159" w:lineRule="exact"/>
              <w:rPr>
                <w:sz w:val="20"/>
                <w:szCs w:val="20"/>
                <w:color w:val="auto"/>
              </w:rPr>
            </w:pPr>
            <w:r>
              <w:rPr>
                <w:rFonts w:ascii="Arial" w:cs="Arial" w:eastAsia="Arial" w:hAnsi="Arial"/>
                <w:sz w:val="14"/>
                <w:szCs w:val="14"/>
                <w:color w:val="auto"/>
                <w:w w:val="96"/>
              </w:rPr>
              <w:t>modification</w:t>
            </w:r>
          </w:p>
        </w:tc>
        <w:tc>
          <w:tcPr>
            <w:tcW w:w="36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3"/>
                <w:szCs w:val="13"/>
                <w:color w:val="auto"/>
              </w:rPr>
            </w:pPr>
          </w:p>
        </w:tc>
        <w:tc>
          <w:tcPr>
            <w:tcW w:w="6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color w:val="auto"/>
              </w:rPr>
              <w:t>(dollars in thousands)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2,812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2,954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142</w:t>
            </w:r>
          </w:p>
        </w:tc>
        <w:tc>
          <w:tcPr>
            <w:tcW w:w="22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2,726</w:t>
            </w:r>
          </w:p>
        </w:tc>
        <w:tc>
          <w:tcPr>
            <w:tcW w:w="1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Residential Alt-A</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Home equity lines and loans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1,609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1,609</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80" w:type="dxa"/>
            <w:vAlign w:val="bottom"/>
          </w:tcPr>
          <w:p>
            <w:pPr>
              <w:ind w:left="88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445</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26,628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26,661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2013 and 2012 and for which there was a subsequent payment default during the three-month periods ended March 31, 2013 and 2012, respectively, were not material.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M&amp;T had $1.2 billion of fixed and floating rate junior subordinated deferrable interest debentures (“Junior Subordinated Debentures”) outstanding at March 31, 2013 that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However, the Dodd-Frank Wall Street Reform and Consumer Protection Act of 2010 that was signed into law on July 21, 2010 provides for a three-year phase-in related to the exclusion of trust preferred capital securities from Tier 1 capital for large financial institutions, including M&amp;T. That phase-in period began on January 1, 2013. However, specific rules related to that phase-in period have not yet been finalized.</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4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During the first quarter of 2013, M&amp;T Bank, the principal bank subsidiary of M&amp;T, finalized a Bank Note Program whereby M&amp;T Bank may offer up to $5 billion of unsecured senior and subordinated notes, which will mature 270 days or more from their date of issue. During March 2013, three-year floating rate senior notes due March 2016 were issued for $300 million and five-year 1.45% fixed rate senior notes due March 2018 were issued for $500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 continued</w:t>
      </w:r>
    </w:p>
    <w:p>
      <w:pPr>
        <w:spacing w:after="0" w:line="16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Also included in long-term borrowings are agreements to repurchase securities of $1.4 billion at each of March 31, 2013 and December 31, 2012. The agreements are subject to master netting arrangements and are fully collateralized.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center"/>
              <w:ind w:right="265"/>
              <w:spacing w:after="0"/>
              <w:rPr>
                <w:sz w:val="20"/>
                <w:szCs w:val="20"/>
                <w:color w:val="auto"/>
              </w:rPr>
            </w:pPr>
            <w:r>
              <w:rPr>
                <w:rFonts w:ascii="Arial" w:cs="Arial" w:eastAsia="Arial" w:hAnsi="Arial"/>
                <w:sz w:val="14"/>
                <w:szCs w:val="14"/>
                <w:color w:val="auto"/>
                <w:w w:val="90"/>
              </w:rPr>
              <w:t>Carrying</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4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1"/>
              </w:rPr>
              <w:t>Shares</w:t>
            </w:r>
          </w:p>
        </w:tc>
        <w:tc>
          <w:tcPr>
            <w:tcW w:w="1020" w:type="dxa"/>
            <w:vAlign w:val="bottom"/>
          </w:tcPr>
          <w:p>
            <w:pPr>
              <w:jc w:val="center"/>
              <w:ind w:right="285"/>
              <w:spacing w:after="0" w:line="149" w:lineRule="exact"/>
              <w:rPr>
                <w:sz w:val="20"/>
                <w:szCs w:val="20"/>
                <w:color w:val="auto"/>
              </w:rPr>
            </w:pPr>
            <w:r>
              <w:rPr>
                <w:rFonts w:ascii="Arial" w:cs="Arial" w:eastAsia="Arial" w:hAnsi="Arial"/>
                <w:sz w:val="14"/>
                <w:szCs w:val="14"/>
                <w:color w:val="auto"/>
                <w:w w:val="89"/>
              </w:rPr>
              <w:t>value</w:t>
            </w:r>
          </w:p>
        </w:tc>
        <w:tc>
          <w:tcPr>
            <w:tcW w:w="5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Carrying</w:t>
            </w:r>
          </w:p>
        </w:tc>
      </w:tr>
      <w:tr>
        <w:trPr>
          <w:trHeight w:val="149"/>
        </w:trPr>
        <w:tc>
          <w:tcPr>
            <w:tcW w:w="574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5"/>
              </w:rPr>
              <w:t>issued and</w:t>
            </w:r>
          </w:p>
        </w:tc>
        <w:tc>
          <w:tcPr>
            <w:tcW w:w="1020" w:type="dxa"/>
            <w:vAlign w:val="bottom"/>
          </w:tcPr>
          <w:p>
            <w:pPr>
              <w:jc w:val="center"/>
              <w:ind w:right="305"/>
              <w:spacing w:after="0" w:line="149" w:lineRule="exact"/>
              <w:rPr>
                <w:sz w:val="20"/>
                <w:szCs w:val="20"/>
                <w:color w:val="auto"/>
              </w:rPr>
            </w:pPr>
            <w:r>
              <w:rPr>
                <w:rFonts w:ascii="Arial" w:cs="Arial" w:eastAsia="Arial" w:hAnsi="Arial"/>
                <w:sz w:val="14"/>
                <w:szCs w:val="14"/>
                <w:color w:val="auto"/>
                <w:w w:val="89"/>
              </w:rPr>
              <w:t>March 31,</w:t>
            </w:r>
          </w:p>
        </w:tc>
        <w:tc>
          <w:tcPr>
            <w:tcW w:w="54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value</w:t>
            </w:r>
          </w:p>
        </w:tc>
      </w:tr>
      <w:tr>
        <w:trPr>
          <w:trHeight w:val="159"/>
        </w:trPr>
        <w:tc>
          <w:tcPr>
            <w:tcW w:w="5740" w:type="dxa"/>
            <w:vAlign w:val="bottom"/>
          </w:tcPr>
          <w:p>
            <w:pPr>
              <w:spacing w:after="0"/>
              <w:rPr>
                <w:sz w:val="13"/>
                <w:szCs w:val="13"/>
                <w:color w:val="auto"/>
              </w:rPr>
            </w:pPr>
          </w:p>
        </w:tc>
        <w:tc>
          <w:tcPr>
            <w:tcW w:w="1320" w:type="dxa"/>
            <w:vAlign w:val="bottom"/>
            <w:gridSpan w:val="2"/>
          </w:tcPr>
          <w:p>
            <w:pPr>
              <w:jc w:val="center"/>
              <w:ind w:right="700"/>
              <w:spacing w:after="0" w:line="159" w:lineRule="exact"/>
              <w:rPr>
                <w:sz w:val="20"/>
                <w:szCs w:val="20"/>
                <w:color w:val="auto"/>
              </w:rPr>
            </w:pPr>
            <w:r>
              <w:rPr>
                <w:rFonts w:ascii="Arial" w:cs="Arial" w:eastAsia="Arial" w:hAnsi="Arial"/>
                <w:sz w:val="14"/>
                <w:szCs w:val="14"/>
                <w:color w:val="auto"/>
                <w:w w:val="85"/>
              </w:rPr>
              <w:t>outstanding</w:t>
            </w:r>
          </w:p>
        </w:tc>
        <w:tc>
          <w:tcPr>
            <w:tcW w:w="1020" w:type="dxa"/>
            <w:vAlign w:val="bottom"/>
          </w:tcPr>
          <w:p>
            <w:pPr>
              <w:jc w:val="center"/>
              <w:ind w:right="285"/>
              <w:spacing w:after="0" w:line="159" w:lineRule="exact"/>
              <w:rPr>
                <w:sz w:val="20"/>
                <w:szCs w:val="20"/>
                <w:color w:val="auto"/>
              </w:rPr>
            </w:pPr>
            <w:r>
              <w:rPr>
                <w:rFonts w:ascii="Arial" w:cs="Arial" w:eastAsia="Arial" w:hAnsi="Arial"/>
                <w:sz w:val="14"/>
                <w:szCs w:val="14"/>
                <w:color w:val="auto"/>
                <w:w w:val="83"/>
              </w:rPr>
              <w:t>2013</w:t>
            </w:r>
          </w:p>
        </w:tc>
        <w:tc>
          <w:tcPr>
            <w:tcW w:w="15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December 31, 2012</w:t>
            </w:r>
          </w:p>
        </w:tc>
      </w:tr>
      <w:tr>
        <w:trPr>
          <w:trHeight w:val="142"/>
        </w:trPr>
        <w:tc>
          <w:tcPr>
            <w:tcW w:w="57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42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A, $1,000</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74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230,000</w:t>
            </w:r>
          </w:p>
        </w:tc>
        <w:tc>
          <w:tcPr>
            <w:tcW w:w="1020" w:type="dxa"/>
            <w:vAlign w:val="bottom"/>
          </w:tcPr>
          <w:p>
            <w:pPr>
              <w:jc w:val="right"/>
              <w:ind w:right="265"/>
              <w:spacing w:after="0"/>
              <w:rPr>
                <w:sz w:val="20"/>
                <w:szCs w:val="20"/>
                <w:color w:val="auto"/>
              </w:rPr>
            </w:pPr>
            <w:r>
              <w:rPr>
                <w:rFonts w:ascii="Arial" w:cs="Arial" w:eastAsia="Arial" w:hAnsi="Arial"/>
                <w:sz w:val="18"/>
                <w:szCs w:val="18"/>
                <w:color w:val="auto"/>
                <w:w w:val="82"/>
              </w:rPr>
              <w:t>$ 227,711</w:t>
            </w:r>
          </w:p>
        </w:tc>
        <w:tc>
          <w:tcPr>
            <w:tcW w:w="5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226,965</w:t>
            </w:r>
          </w:p>
        </w:tc>
        <w:tc>
          <w:tcPr>
            <w:tcW w:w="100" w:type="dxa"/>
            <w:vAlign w:val="bottom"/>
          </w:tcPr>
          <w:p>
            <w:pPr>
              <w:spacing w:after="0"/>
              <w:rPr>
                <w:sz w:val="19"/>
                <w:szCs w:val="19"/>
                <w:color w:val="auto"/>
              </w:rPr>
            </w:pPr>
          </w:p>
        </w:tc>
      </w:tr>
      <w:tr>
        <w:trPr>
          <w:trHeight w:val="110"/>
        </w:trPr>
        <w:tc>
          <w:tcPr>
            <w:tcW w:w="5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Series C (a)(b)</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C, $1,000</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74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151,500</w:t>
            </w:r>
          </w:p>
        </w:tc>
        <w:tc>
          <w:tcPr>
            <w:tcW w:w="1020" w:type="dxa"/>
            <w:vAlign w:val="bottom"/>
          </w:tcPr>
          <w:p>
            <w:pPr>
              <w:jc w:val="right"/>
              <w:ind w:right="265"/>
              <w:spacing w:after="0"/>
              <w:rPr>
                <w:sz w:val="20"/>
                <w:szCs w:val="20"/>
                <w:color w:val="auto"/>
              </w:rPr>
            </w:pPr>
            <w:r>
              <w:rPr>
                <w:rFonts w:ascii="Arial" w:cs="Arial" w:eastAsia="Arial" w:hAnsi="Arial"/>
                <w:sz w:val="18"/>
                <w:szCs w:val="18"/>
                <w:color w:val="auto"/>
              </w:rPr>
              <w:t>146,916</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145,535</w:t>
            </w:r>
          </w:p>
        </w:tc>
        <w:tc>
          <w:tcPr>
            <w:tcW w:w="100" w:type="dxa"/>
            <w:vAlign w:val="bottom"/>
          </w:tcPr>
          <w:p>
            <w:pPr>
              <w:spacing w:after="0"/>
              <w:rPr>
                <w:sz w:val="19"/>
                <w:szCs w:val="19"/>
                <w:color w:val="auto"/>
              </w:rPr>
            </w:pPr>
          </w:p>
        </w:tc>
      </w:tr>
      <w:tr>
        <w:trPr>
          <w:trHeight w:val="110"/>
        </w:trPr>
        <w:tc>
          <w:tcPr>
            <w:tcW w:w="5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Series D (c)</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Fixed Rate Non-Cumulative Perpetual Preferred Stock, Series D,</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740" w:type="dxa"/>
            <w:vAlign w:val="bottom"/>
          </w:tcPr>
          <w:p>
            <w:pPr>
              <w:ind w:left="220"/>
              <w:spacing w:after="0"/>
              <w:rPr>
                <w:sz w:val="20"/>
                <w:szCs w:val="20"/>
                <w:color w:val="auto"/>
              </w:rPr>
            </w:pPr>
            <w:r>
              <w:rPr>
                <w:rFonts w:ascii="Arial" w:cs="Arial" w:eastAsia="Arial" w:hAnsi="Arial"/>
                <w:sz w:val="18"/>
                <w:szCs w:val="18"/>
                <w:color w:val="auto"/>
              </w:rPr>
              <w:t>$10,000 liquidation preference per share</w:t>
            </w: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50,000</w:t>
            </w:r>
          </w:p>
        </w:tc>
        <w:tc>
          <w:tcPr>
            <w:tcW w:w="1020" w:type="dxa"/>
            <w:vAlign w:val="bottom"/>
          </w:tcPr>
          <w:p>
            <w:pPr>
              <w:jc w:val="right"/>
              <w:ind w:right="265"/>
              <w:spacing w:after="0"/>
              <w:rPr>
                <w:sz w:val="20"/>
                <w:szCs w:val="20"/>
                <w:color w:val="auto"/>
              </w:rPr>
            </w:pPr>
            <w:r>
              <w:rPr>
                <w:rFonts w:ascii="Arial" w:cs="Arial" w:eastAsia="Arial" w:hAnsi="Arial"/>
                <w:sz w:val="18"/>
                <w:szCs w:val="18"/>
                <w:color w:val="auto"/>
              </w:rPr>
              <w:t>500,000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ind w:left="460" w:right="40" w:hanging="452"/>
        <w:spacing w:after="0" w:line="301" w:lineRule="auto"/>
        <w:tabs>
          <w:tab w:leader="none" w:pos="46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Shares were originally issued as part of the Troubled Asset Relief Program – Capital Purchase Program (“TARP”) of the U.S. Department of Treasury (“U.S. Treasury”). Cash proceeds were allocated between the preferred stock and a ten-year warrant to purchase M&amp;T common stock (Series A – 1,218,522 common shares at $73.86 per share, Series C – 407,542 common shares at $55.76 per share). The U.S. Treasury sold all of the shares of M&amp;T preferred stock that it held in August 2012. In connection with that sale, the terms of the preferred stock were modified such that dividends, if declared, will accrue and be paid quarterly at a rate of 5% per year through November 14, 2013 and at 6.375% thereafter, and that M&amp;T will not redeem the preferred shares until on or after November 15, 2018. In December 2012, the U.S. Treasury sold to other investors the Series A warrants for $26.50 per warrant. In March 2013, the U.S. Treasury exercised the Series C warrants in a “cashless” exercise, resulting in the issuance of 186,589 common shares.</w:t>
      </w:r>
    </w:p>
    <w:p>
      <w:pPr>
        <w:spacing w:after="0" w:line="4" w:lineRule="exact"/>
        <w:rPr>
          <w:rFonts w:ascii="Arial" w:cs="Arial" w:eastAsia="Arial" w:hAnsi="Arial"/>
          <w:sz w:val="15"/>
          <w:szCs w:val="15"/>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9"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30" w:lineRule="exact"/>
        <w:rPr>
          <w:rFonts w:ascii="Arial" w:cs="Arial" w:eastAsia="Arial" w:hAnsi="Arial"/>
          <w:sz w:val="18"/>
          <w:szCs w:val="18"/>
          <w:i w:val="1"/>
          <w:iCs w:val="1"/>
          <w:color w:val="auto"/>
        </w:rPr>
      </w:pPr>
    </w:p>
    <w:p>
      <w:pPr>
        <w:ind w:left="5620" w:hanging="96"/>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Series A and Series C warrants mentioned in (a) above, a ten-year warrant to purchase 95,383 shares of M&amp;T common stock at $518.96 per share was outstanding at March 31, 2013 and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5"/>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87"/>
              </w:rPr>
              <w:t>postretirement</w:t>
            </w:r>
          </w:p>
        </w:tc>
        <w:tc>
          <w:tcPr>
            <w:tcW w:w="0" w:type="dxa"/>
            <w:vAlign w:val="bottom"/>
          </w:tcPr>
          <w:p>
            <w:pPr>
              <w:spacing w:after="0"/>
              <w:rPr>
                <w:sz w:val="1"/>
                <w:szCs w:val="1"/>
                <w:color w:val="auto"/>
              </w:rPr>
            </w:pPr>
          </w:p>
        </w:tc>
      </w:tr>
      <w:tr>
        <w:trPr>
          <w:trHeight w:val="159"/>
        </w:trPr>
        <w:tc>
          <w:tcPr>
            <w:tcW w:w="7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benefits</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60" w:type="dxa"/>
            <w:vAlign w:val="bottom"/>
            <w:gridSpan w:val="5"/>
          </w:tcPr>
          <w:p>
            <w:pPr>
              <w:jc w:val="right"/>
              <w:ind w:right="352"/>
              <w:spacing w:after="0" w:line="131" w:lineRule="exact"/>
              <w:rPr>
                <w:sz w:val="20"/>
                <w:szCs w:val="20"/>
                <w:color w:val="auto"/>
              </w:rPr>
            </w:pPr>
            <w:r>
              <w:rPr>
                <w:rFonts w:ascii="Arial" w:cs="Arial" w:eastAsia="Arial" w:hAnsi="Arial"/>
                <w:sz w:val="14"/>
                <w:szCs w:val="14"/>
                <w:color w:val="auto"/>
                <w:w w:val="95"/>
              </w:rPr>
              <w:t>Three months ended 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2013</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15,126</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15,600</w:t>
            </w:r>
          </w:p>
        </w:tc>
        <w:tc>
          <w:tcPr>
            <w:tcW w:w="400" w:type="dxa"/>
            <w:vAlign w:val="bottom"/>
          </w:tcPr>
          <w:p>
            <w:pPr>
              <w:spacing w:after="0"/>
              <w:rPr>
                <w:sz w:val="18"/>
                <w:szCs w:val="18"/>
                <w:color w:val="auto"/>
              </w:rPr>
            </w:pPr>
          </w:p>
        </w:tc>
        <w:tc>
          <w:tcPr>
            <w:tcW w:w="840" w:type="dxa"/>
            <w:vAlign w:val="bottom"/>
            <w:gridSpan w:val="2"/>
          </w:tcPr>
          <w:p>
            <w:pPr>
              <w:jc w:val="right"/>
              <w:ind w:right="392"/>
              <w:spacing w:after="0"/>
              <w:rPr>
                <w:sz w:val="20"/>
                <w:szCs w:val="20"/>
                <w:color w:val="auto"/>
              </w:rPr>
            </w:pPr>
            <w:r>
              <w:rPr>
                <w:rFonts w:ascii="Arial" w:cs="Arial" w:eastAsia="Arial" w:hAnsi="Arial"/>
                <w:sz w:val="18"/>
                <w:szCs w:val="18"/>
                <w:color w:val="auto"/>
              </w:rPr>
              <w:t>675</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6"/>
              </w:rPr>
              <w:t>(21,875)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(17,675)</w:t>
            </w:r>
          </w:p>
        </w:tc>
        <w:tc>
          <w:tcPr>
            <w:tcW w:w="84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8"/>
                <w:szCs w:val="18"/>
                <w:color w:val="auto"/>
              </w:rPr>
            </w:pPr>
          </w:p>
        </w:tc>
        <w:tc>
          <w:tcPr>
            <w:tcW w:w="960" w:type="dxa"/>
            <w:vAlign w:val="bottom"/>
            <w:gridSpan w:val="2"/>
          </w:tcPr>
          <w:p>
            <w:pPr>
              <w:jc w:val="right"/>
              <w:ind w:right="292"/>
              <w:spacing w:after="0"/>
              <w:rPr>
                <w:sz w:val="20"/>
                <w:szCs w:val="20"/>
                <w:color w:val="auto"/>
              </w:rPr>
            </w:pPr>
            <w:r>
              <w:rPr>
                <w:rFonts w:ascii="Arial" w:cs="Arial" w:eastAsia="Arial" w:hAnsi="Arial"/>
                <w:sz w:val="18"/>
                <w:szCs w:val="18"/>
                <w:color w:val="auto"/>
              </w:rPr>
              <w:t>(1,650)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840" w:type="dxa"/>
            <w:vAlign w:val="bottom"/>
            <w:gridSpan w:val="2"/>
          </w:tcPr>
          <w:p>
            <w:pPr>
              <w:jc w:val="right"/>
              <w:ind w:right="332"/>
              <w:spacing w:after="0"/>
              <w:rPr>
                <w:sz w:val="20"/>
                <w:szCs w:val="20"/>
                <w:color w:val="auto"/>
              </w:rPr>
            </w:pPr>
            <w:r>
              <w:rPr>
                <w:rFonts w:ascii="Arial" w:cs="Arial" w:eastAsia="Arial" w:hAnsi="Arial"/>
                <w:sz w:val="18"/>
                <w:szCs w:val="18"/>
                <w:color w:val="auto"/>
                <w:w w:val="99"/>
              </w:rPr>
              <w:t>(350)</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10,400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8,051</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13,575</w:t>
            </w:r>
          </w:p>
        </w:tc>
        <w:tc>
          <w:tcPr>
            <w:tcW w:w="400" w:type="dxa"/>
            <w:vAlign w:val="bottom"/>
          </w:tcPr>
          <w:p>
            <w:pPr>
              <w:spacing w:after="0"/>
              <w:rPr>
                <w:sz w:val="19"/>
                <w:szCs w:val="19"/>
                <w:color w:val="auto"/>
              </w:rPr>
            </w:pPr>
          </w:p>
        </w:tc>
        <w:tc>
          <w:tcPr>
            <w:tcW w:w="840" w:type="dxa"/>
            <w:vAlign w:val="bottom"/>
            <w:gridSpan w:val="2"/>
          </w:tcPr>
          <w:p>
            <w:pPr>
              <w:jc w:val="right"/>
              <w:ind w:right="392"/>
              <w:spacing w:after="0"/>
              <w:rPr>
                <w:sz w:val="20"/>
                <w:szCs w:val="20"/>
                <w:color w:val="auto"/>
              </w:rPr>
            </w:pPr>
            <w:r>
              <w:rPr>
                <w:rFonts w:ascii="Arial" w:cs="Arial" w:eastAsia="Arial" w:hAnsi="Arial"/>
                <w:sz w:val="18"/>
                <w:szCs w:val="18"/>
                <w:color w:val="auto"/>
              </w:rPr>
              <w:t>625</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1,225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$15,755,000 and $14,625,000 for the three months ended March 31, 2013 and 2012, respectively.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280"/>
          </w:cols>
          <w:pgMar w:left="24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left="458"/>
              <w:spacing w:after="0"/>
              <w:rPr>
                <w:sz w:val="20"/>
                <w:szCs w:val="20"/>
                <w:color w:val="auto"/>
              </w:rPr>
            </w:pPr>
            <w:r>
              <w:rPr>
                <w:rFonts w:ascii="Arial" w:cs="Arial" w:eastAsia="Arial" w:hAnsi="Arial"/>
                <w:sz w:val="14"/>
                <w:szCs w:val="14"/>
                <w:color w:val="auto"/>
                <w:w w:val="89"/>
              </w:rPr>
              <w:t>March 31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14"/>
              <w:spacing w:after="0" w:line="142" w:lineRule="exact"/>
              <w:rPr>
                <w:sz w:val="20"/>
                <w:szCs w:val="20"/>
                <w:color w:val="auto"/>
              </w:rPr>
            </w:pPr>
            <w:r>
              <w:rPr>
                <w:rFonts w:ascii="Arial" w:cs="Arial" w:eastAsia="Arial" w:hAnsi="Arial"/>
                <w:sz w:val="14"/>
                <w:szCs w:val="14"/>
                <w:color w:val="auto"/>
                <w:w w:val="84"/>
              </w:rPr>
              <w:t>(in thousands, except per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274,113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206,463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840"/>
              <w:spacing w:after="0"/>
              <w:rPr>
                <w:sz w:val="20"/>
                <w:szCs w:val="20"/>
                <w:color w:val="auto"/>
              </w:rPr>
            </w:pPr>
            <w:r>
              <w:rPr>
                <w:rFonts w:ascii="Arial" w:cs="Arial" w:eastAsia="Arial" w:hAnsi="Arial"/>
                <w:sz w:val="18"/>
                <w:szCs w:val="18"/>
                <w:color w:val="auto"/>
              </w:rPr>
              <w:t>Amortization of preferred stock discount (a)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to common equity</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258,603</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191,176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w w:val="99"/>
              </w:rPr>
              <w:t>Less: Income attributable to unvested stock-based compensation awards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shares outstanding (including common stock issuable) and unvested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stock-based compensation awards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127,157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127,669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left="459"/>
              <w:spacing w:after="0" w:line="149" w:lineRule="exact"/>
              <w:rPr>
                <w:sz w:val="20"/>
                <w:szCs w:val="20"/>
                <w:color w:val="auto"/>
              </w:rPr>
            </w:pPr>
            <w:r>
              <w:rPr>
                <w:rFonts w:ascii="Arial" w:cs="Arial" w:eastAsia="Arial" w:hAnsi="Arial"/>
                <w:sz w:val="14"/>
                <w:szCs w:val="14"/>
                <w:color w:val="auto"/>
                <w:w w:val="89"/>
              </w:rPr>
              <w:t>March 31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9"/>
              <w:spacing w:after="0" w:line="159"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14"/>
              <w:spacing w:after="0" w:line="142" w:lineRule="exact"/>
              <w:rPr>
                <w:sz w:val="20"/>
                <w:szCs w:val="20"/>
                <w:color w:val="auto"/>
              </w:rPr>
            </w:pPr>
            <w:r>
              <w:rPr>
                <w:rFonts w:ascii="Arial" w:cs="Arial" w:eastAsia="Arial" w:hAnsi="Arial"/>
                <w:sz w:val="14"/>
                <w:szCs w:val="14"/>
                <w:color w:val="auto"/>
                <w:w w:val="84"/>
              </w:rPr>
              <w:t>(in thousands, except per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Adjusted weighted-average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shares outstanding (including common stock issuable) and unvested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stock-based compensation awards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127,157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Plus: Incremental shares from assumed conversion of 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awards and convertible preferred stock</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128,636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4.7 million and 10.0 million common shares during the three-month periods ended March 31, 2013 and 2012, respectively, were not included in the computations of diluted earnings per common share because the effect on those periods would have been antidilutive.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480"/>
              <w:spacing w:after="0"/>
              <w:rPr>
                <w:sz w:val="20"/>
                <w:szCs w:val="20"/>
                <w:color w:val="auto"/>
              </w:rPr>
            </w:pPr>
            <w:r>
              <w:rPr>
                <w:rFonts w:ascii="Arial" w:cs="Arial" w:eastAsia="Arial" w:hAnsi="Arial"/>
                <w:sz w:val="14"/>
                <w:szCs w:val="14"/>
                <w:color w:val="auto"/>
              </w:rPr>
              <w:t>Investment Securities</w:t>
            </w: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Defined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89"/>
              </w:rPr>
              <w:t>Total</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With</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benefit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5"/>
              </w:rPr>
              <w:t>amount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OTTI</w:t>
            </w: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All other</w:t>
            </w:r>
          </w:p>
        </w:tc>
        <w:tc>
          <w:tcPr>
            <w:tcW w:w="98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3"/>
              </w:rPr>
              <w:t>plans</w:t>
            </w: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122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86"/>
              </w:rPr>
              <w:t>before tax</w:t>
            </w:r>
          </w:p>
        </w:tc>
        <w:tc>
          <w:tcPr>
            <w:tcW w:w="8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tax</w:t>
            </w:r>
          </w:p>
        </w:tc>
        <w:tc>
          <w:tcPr>
            <w:tcW w:w="10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right"/>
              <w:ind w:right="1200"/>
              <w:spacing w:after="0" w:line="142" w:lineRule="exact"/>
              <w:rPr>
                <w:sz w:val="20"/>
                <w:szCs w:val="20"/>
                <w:color w:val="auto"/>
              </w:rPr>
            </w:pPr>
            <w:r>
              <w:rPr>
                <w:rFonts w:ascii="Arial" w:cs="Arial" w:eastAsia="Arial" w:hAnsi="Arial"/>
                <w:sz w:val="14"/>
                <w:szCs w:val="14"/>
                <w:color w:val="auto"/>
                <w:w w:val="87"/>
              </w:rPr>
              <w:t>(in thousands)</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(91,835)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152,199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(455,590)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$(395,657)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155,393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holding gains (losses), net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(1,452)</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(1,452)</w:t>
            </w: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5"/>
        </w:trPr>
        <w:tc>
          <w:tcPr>
            <w:tcW w:w="4700" w:type="dxa"/>
            <w:vAlign w:val="bottom"/>
            <w:gridSpan w:val="2"/>
          </w:tcPr>
          <w:p>
            <w:pPr>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 that (increase) decrease net income: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Accretion of unrealized holding losses on held-to-maturity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(“HTM”) 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OTTI charges recognized in 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2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9,800(b)</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(3,847)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Amortization of actuarial losses</w:t>
            </w:r>
          </w:p>
        </w:tc>
        <w:tc>
          <w:tcPr>
            <w:tcW w:w="120" w:type="dxa"/>
            <w:vAlign w:val="bottom"/>
          </w:tcPr>
          <w:p>
            <w:pPr>
              <w:spacing w:after="0"/>
              <w:rPr>
                <w:sz w:val="18"/>
                <w:szCs w:val="18"/>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10,500</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10,500(e)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(4,121)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8,500</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19,495</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11,843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Total gain (loss) during the period</w:t>
            </w: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34,389</w:t>
            </w:r>
          </w:p>
        </w:tc>
        <w:tc>
          <w:tcPr>
            <w:tcW w:w="2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(17,813)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8,500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23,624</w:t>
            </w:r>
          </w:p>
        </w:tc>
        <w:tc>
          <w:tcPr>
            <w:tcW w:w="4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(9,313)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14,311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(57,446)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134,386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(447,090)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(1,883)</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(372,033)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146,080</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00" w:type="dxa"/>
            <w:vAlign w:val="bottom"/>
            <w:gridSpan w:val="4"/>
          </w:tcPr>
          <w:p>
            <w:pPr>
              <w:jc w:val="right"/>
              <w:ind w:right="414"/>
              <w:spacing w:after="0"/>
              <w:rPr>
                <w:sz w:val="20"/>
                <w:szCs w:val="20"/>
                <w:color w:val="auto"/>
              </w:rPr>
            </w:pPr>
            <w:r>
              <w:rPr>
                <w:rFonts w:ascii="Arial" w:cs="Arial" w:eastAsia="Arial" w:hAnsi="Arial"/>
                <w:sz w:val="18"/>
                <w:szCs w:val="18"/>
                <w:color w:val="auto"/>
              </w:rPr>
              <w:t>- 28 -</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4"/>
                <w:szCs w:val="14"/>
                <w:color w:val="auto"/>
              </w:rPr>
              <w:t>Investment Securities</w:t>
            </w: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Defined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89"/>
              </w:rPr>
              <w:t>Total</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With</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All</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benefit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5"/>
              </w:rPr>
              <w:t>amount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OTTI</w:t>
            </w:r>
          </w:p>
        </w:tc>
        <w:tc>
          <w:tcPr>
            <w:tcW w:w="8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other</w:t>
            </w:r>
          </w:p>
        </w:tc>
        <w:tc>
          <w:tcPr>
            <w:tcW w:w="98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plan</w:t>
            </w:r>
          </w:p>
        </w:tc>
        <w:tc>
          <w:tcPr>
            <w:tcW w:w="6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122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86"/>
              </w:rPr>
              <w:t>before tax</w:t>
            </w:r>
          </w:p>
        </w:tc>
        <w:tc>
          <w:tcPr>
            <w:tcW w:w="8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tax</w:t>
            </w:r>
          </w:p>
        </w:tc>
        <w:tc>
          <w:tcPr>
            <w:tcW w:w="10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ind w:left="4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$(138,319)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(457,145)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(1,062)</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$(586,769)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230,328</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holding gains (losses), net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29,696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19,611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622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4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29,696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12,356</w:t>
            </w: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income that (increase) decrease net income: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Accretion of unrealized holding losses on HTM securities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1,942(a)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OTTI charges recognized in net income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11,486</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11,486(b)</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(4,508)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realized in net income</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Amortization of gains on terminated cash flow hedges</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(112)(d)</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credit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(1,650)</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9,500</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9,500(e)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(3,729)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Total gain (loss) during the period</w:t>
            </w: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2,220</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30,774</w:t>
            </w:r>
          </w:p>
        </w:tc>
        <w:tc>
          <w:tcPr>
            <w:tcW w:w="2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7,850</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510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41,354</w:t>
            </w:r>
          </w:p>
        </w:tc>
        <w:tc>
          <w:tcPr>
            <w:tcW w:w="4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(16,171)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(136,099)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40,531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(449,295)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(545,415)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214,157</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OTTI losses recognized in earnings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16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63" w:lineRule="exact"/>
        <w:rPr>
          <w:sz w:val="20"/>
          <w:szCs w:val="20"/>
          <w:color w:val="auto"/>
        </w:rPr>
      </w:pPr>
    </w:p>
    <w:p>
      <w:pPr>
        <w:ind w:left="7460"/>
        <w:spacing w:after="0"/>
        <w:rPr>
          <w:sz w:val="20"/>
          <w:szCs w:val="20"/>
          <w:color w:val="auto"/>
        </w:rPr>
      </w:pPr>
      <w:r>
        <w:rPr>
          <w:rFonts w:ascii="Arial" w:cs="Arial" w:eastAsia="Arial" w:hAnsi="Arial"/>
          <w:sz w:val="12"/>
          <w:szCs w:val="12"/>
          <w:color w:val="auto"/>
        </w:rPr>
        <w:t>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13335</wp:posOffset>
            </wp:positionV>
            <wp:extent cx="934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8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4"/>
          <w:szCs w:val="14"/>
          <w:color w:val="auto"/>
        </w:rPr>
        <w:t>With OTTI</w:t>
      </w:r>
      <w:r>
        <w:rPr>
          <w:sz w:val="20"/>
          <w:szCs w:val="20"/>
          <w:color w:val="auto"/>
        </w:rPr>
        <w:tab/>
      </w:r>
      <w:r>
        <w:rPr>
          <w:rFonts w:ascii="Arial" w:cs="Arial" w:eastAsia="Arial" w:hAnsi="Arial"/>
          <w:sz w:val="12"/>
          <w:szCs w:val="12"/>
          <w:color w:val="auto"/>
        </w:rPr>
        <w:t>All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Defined</w:t>
      </w:r>
    </w:p>
    <w:p>
      <w:pPr>
        <w:ind w:left="20"/>
        <w:spacing w:after="0" w:line="221" w:lineRule="auto"/>
        <w:rPr>
          <w:sz w:val="20"/>
          <w:szCs w:val="20"/>
          <w:color w:val="auto"/>
        </w:rPr>
      </w:pPr>
      <w:r>
        <w:rPr>
          <w:rFonts w:ascii="Arial" w:cs="Arial" w:eastAsia="Arial" w:hAnsi="Arial"/>
          <w:sz w:val="14"/>
          <w:szCs w:val="14"/>
          <w:color w:val="auto"/>
        </w:rPr>
        <w:t>benefit</w:t>
      </w:r>
    </w:p>
    <w:p>
      <w:pPr>
        <w:ind w:left="80"/>
        <w:spacing w:after="0"/>
        <w:tabs>
          <w:tab w:leader="none" w:pos="860" w:val="left"/>
          <w:tab w:leader="none" w:pos="1680" w:val="left"/>
        </w:tabs>
        <w:rPr>
          <w:sz w:val="20"/>
          <w:szCs w:val="20"/>
          <w:color w:val="auto"/>
        </w:rPr>
      </w:pPr>
      <w:r>
        <w:rPr>
          <w:rFonts w:ascii="Arial" w:cs="Arial" w:eastAsia="Arial" w:hAnsi="Arial"/>
          <w:sz w:val="14"/>
          <w:szCs w:val="14"/>
          <w:color w:val="auto"/>
        </w:rPr>
        <w:t>plans</w:t>
      </w:r>
      <w:r>
        <w:rPr>
          <w:sz w:val="20"/>
          <w:szCs w:val="20"/>
          <w:color w:val="auto"/>
        </w:rPr>
        <w:tab/>
      </w:r>
      <w:r>
        <w:rPr>
          <w:rFonts w:ascii="Arial" w:cs="Arial" w:eastAsia="Arial" w:hAnsi="Arial"/>
          <w:sz w:val="14"/>
          <w:szCs w:val="14"/>
          <w:color w:val="auto"/>
        </w:rPr>
        <w:t>Other</w:t>
      </w:r>
      <w:r>
        <w:rPr>
          <w:sz w:val="20"/>
          <w:szCs w:val="20"/>
          <w:color w:val="auto"/>
        </w:rPr>
        <w:tab/>
      </w:r>
      <w:r>
        <w:rPr>
          <w:rFonts w:ascii="Arial" w:cs="Arial" w:eastAsia="Arial" w:hAnsi="Arial"/>
          <w:sz w:val="12"/>
          <w:szCs w:val="12"/>
          <w:color w:val="auto"/>
        </w:rPr>
        <w:t>Total</w:t>
      </w:r>
    </w:p>
    <w:p>
      <w:pPr>
        <w:spacing w:after="0" w:line="1" w:lineRule="exact"/>
        <w:rPr>
          <w:sz w:val="20"/>
          <w:szCs w:val="20"/>
          <w:color w:val="auto"/>
        </w:rPr>
      </w:pPr>
    </w:p>
    <w:p>
      <w:pPr>
        <w:sectPr>
          <w:pgSz w:w="11900" w:h="16838" w:orient="portrait"/>
          <w:cols w:equalWidth="0" w:num="2">
            <w:col w:w="8720" w:space="400"/>
            <w:col w:w="23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3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(55,790)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(276,771)</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(240,264)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34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20,891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(10,812)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5,164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(932)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2013</w:t>
            </w:r>
          </w:p>
        </w:tc>
        <w:tc>
          <w:tcPr>
            <w:tcW w:w="3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(34,899)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81,769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(271,607)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80" w:type="dxa"/>
            <w:vAlign w:val="bottom"/>
            <w:vMerge w:val="restart"/>
          </w:tcPr>
          <w:p>
            <w:pPr>
              <w:jc w:val="right"/>
              <w:ind w:right="1312"/>
              <w:spacing w:after="0"/>
              <w:rPr>
                <w:sz w:val="20"/>
                <w:szCs w:val="20"/>
                <w:color w:val="auto"/>
              </w:rPr>
            </w:pPr>
            <w:r>
              <w:rPr>
                <w:rFonts w:ascii="Arial" w:cs="Arial" w:eastAsia="Arial" w:hAnsi="Arial"/>
                <w:sz w:val="18"/>
                <w:szCs w:val="18"/>
                <w:color w:val="auto"/>
              </w:rPr>
              <w:t>- 29 -</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March 31, 2013.</w:t>
      </w:r>
    </w:p>
    <w:p>
      <w:pPr>
        <w:spacing w:after="0" w:line="10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net effect of interest rate swap agreements was to increase net interest income by $10 million and $9 million for the three months ended March 31, 2013 and 2012, respectively.</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59"/>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Notional</w:t>
            </w:r>
          </w:p>
        </w:tc>
        <w:tc>
          <w:tcPr>
            <w:tcW w:w="10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Average</w:t>
            </w:r>
          </w:p>
        </w:tc>
        <w:tc>
          <w:tcPr>
            <w:tcW w:w="360" w:type="dxa"/>
            <w:vAlign w:val="bottom"/>
          </w:tcPr>
          <w:p>
            <w:pPr>
              <w:spacing w:after="0"/>
              <w:rPr>
                <w:sz w:val="13"/>
                <w:szCs w:val="13"/>
                <w:color w:val="auto"/>
              </w:rPr>
            </w:pPr>
          </w:p>
        </w:tc>
        <w:tc>
          <w:tcPr>
            <w:tcW w:w="130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6"/>
              </w:rPr>
              <w:t>average rate</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amount</w:t>
            </w: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maturity</w:t>
            </w:r>
          </w:p>
        </w:tc>
        <w:tc>
          <w:tcPr>
            <w:tcW w:w="100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color w:val="auto"/>
                <w:w w:val="93"/>
              </w:rPr>
              <w:t>Fixed</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3"/>
              </w:rPr>
              <w:t>(in thousands)</w:t>
            </w:r>
          </w:p>
        </w:tc>
        <w:tc>
          <w:tcPr>
            <w:tcW w:w="520" w:type="dxa"/>
            <w:vAlign w:val="bottom"/>
            <w:gridSpan w:val="2"/>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(in years)</w:t>
            </w:r>
          </w:p>
        </w:tc>
        <w:tc>
          <w:tcPr>
            <w:tcW w:w="5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December 31, 2012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$15.2 billion and $15.5 billion at March 31, 2013 and December 31, 2012, respectively. The notional amounts of foreign currency and other option and futures contracts entered into for trading purposes aggregated $921 million and $869 million at March 31, 2013 and December 31, 2012, respectively.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Information about the fair values of derivative instruments in the Company’s consolidated balance sheet and consolidated statement of income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3"/>
          </w:tcPr>
          <w:p>
            <w:pPr>
              <w:jc w:val="right"/>
              <w:ind w:right="420"/>
              <w:spacing w:after="0"/>
              <w:rPr>
                <w:sz w:val="20"/>
                <w:szCs w:val="20"/>
                <w:color w:val="auto"/>
              </w:rPr>
            </w:pPr>
            <w:r>
              <w:rPr>
                <w:rFonts w:ascii="Arial" w:cs="Arial" w:eastAsia="Arial" w:hAnsi="Arial"/>
                <w:sz w:val="14"/>
                <w:szCs w:val="14"/>
                <w:color w:val="auto"/>
              </w:rPr>
              <w:t>Asset derivatives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Arial" w:cs="Arial" w:eastAsia="Arial" w:hAnsi="Arial"/>
                <w:sz w:val="14"/>
                <w:szCs w:val="14"/>
                <w:color w:val="auto"/>
              </w:rPr>
              <w:t>Liability derivatives</w:t>
            </w: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color w:val="auto"/>
                <w:w w:val="84"/>
              </w:rPr>
              <w:t>Fair value</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96"/>
              <w:spacing w:after="0" w:line="142" w:lineRule="exact"/>
              <w:rPr>
                <w:sz w:val="20"/>
                <w:szCs w:val="20"/>
                <w:color w:val="auto"/>
              </w:rPr>
            </w:pPr>
            <w:r>
              <w:rPr>
                <w:rFonts w:ascii="Arial" w:cs="Arial" w:eastAsia="Arial" w:hAnsi="Arial"/>
                <w:sz w:val="14"/>
                <w:szCs w:val="14"/>
                <w:color w:val="auto"/>
                <w:w w:val="87"/>
              </w:rPr>
              <w:t>Fair value</w:t>
            </w:r>
          </w:p>
        </w:tc>
        <w:tc>
          <w:tcPr>
            <w:tcW w:w="10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w w:val="96"/>
              </w:rPr>
              <w:t>March 31,</w:t>
            </w:r>
          </w:p>
        </w:tc>
        <w:tc>
          <w:tcPr>
            <w:tcW w:w="46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460" w:type="dxa"/>
            <w:vAlign w:val="bottom"/>
          </w:tcPr>
          <w:p>
            <w:pPr>
              <w:spacing w:after="0"/>
              <w:rPr>
                <w:sz w:val="11"/>
                <w:szCs w:val="11"/>
                <w:color w:val="auto"/>
              </w:rPr>
            </w:pPr>
          </w:p>
        </w:tc>
        <w:tc>
          <w:tcPr>
            <w:tcW w:w="68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6"/>
              </w:rPr>
              <w:t>March 31,</w:t>
            </w:r>
          </w:p>
        </w:tc>
        <w:tc>
          <w:tcPr>
            <w:tcW w:w="48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2013</w:t>
            </w:r>
          </w:p>
        </w:tc>
        <w:tc>
          <w:tcPr>
            <w:tcW w:w="12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2012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2013</w:t>
            </w:r>
          </w:p>
        </w:tc>
        <w:tc>
          <w:tcPr>
            <w:tcW w:w="1240" w:type="dxa"/>
            <w:vAlign w:val="bottom"/>
            <w:gridSpan w:val="2"/>
          </w:tcPr>
          <w:p>
            <w:pPr>
              <w:jc w:val="right"/>
              <w:ind w:right="156"/>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436"/>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hedges: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agreements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Commitments to sell real estate loans (a)</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4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4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137,561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w w:val="98"/>
              </w:rPr>
              <w:t>Derivatives not designated and qualifying as hedging instruments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Mortgage-related commitments to originate real estate loans for sale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Interest rate contracts (b)</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351,611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399,963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317,701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365,616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and other option and futures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contracts (b)</w:t>
            </w:r>
          </w:p>
        </w:tc>
        <w:tc>
          <w:tcPr>
            <w:tcW w:w="5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4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4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399,946</w:t>
            </w:r>
          </w:p>
        </w:tc>
        <w:tc>
          <w:tcPr>
            <w:tcW w:w="4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458,726</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333,229</w:t>
            </w:r>
          </w:p>
        </w:tc>
        <w:tc>
          <w:tcPr>
            <w:tcW w:w="4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537,507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603,019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337,142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80"/>
          </w:cols>
          <w:pgMar w:left="240" w:top="459"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color w:val="auto"/>
                <w:w w:val="88"/>
              </w:rPr>
              <w:t>Amount of unrealized gain (loss) recognized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4"/>
          </w:tcPr>
          <w:p>
            <w:pPr>
              <w:jc w:val="right"/>
              <w:ind w:right="312"/>
              <w:spacing w:after="0" w:line="131" w:lineRule="exact"/>
              <w:rPr>
                <w:sz w:val="20"/>
                <w:szCs w:val="20"/>
                <w:color w:val="auto"/>
              </w:rPr>
            </w:pPr>
            <w:r>
              <w:rPr>
                <w:rFonts w:ascii="Arial" w:cs="Arial" w:eastAsia="Arial" w:hAnsi="Arial"/>
                <w:sz w:val="14"/>
                <w:szCs w:val="14"/>
                <w:color w:val="auto"/>
              </w:rPr>
              <w:t>Three months ended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jc w:val="center"/>
              <w:ind w:right="22"/>
              <w:spacing w:after="0" w:line="131" w:lineRule="exact"/>
              <w:rPr>
                <w:sz w:val="20"/>
                <w:szCs w:val="20"/>
                <w:color w:val="auto"/>
              </w:rPr>
            </w:pPr>
            <w:r>
              <w:rPr>
                <w:rFonts w:ascii="Arial" w:cs="Arial" w:eastAsia="Arial" w:hAnsi="Arial"/>
                <w:sz w:val="14"/>
                <w:szCs w:val="14"/>
                <w:color w:val="auto"/>
                <w:w w:val="85"/>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432"/>
              <w:spacing w:after="0" w:line="159" w:lineRule="exact"/>
              <w:rPr>
                <w:sz w:val="20"/>
                <w:szCs w:val="20"/>
                <w:color w:val="auto"/>
              </w:rPr>
            </w:pPr>
            <w:r>
              <w:rPr>
                <w:rFonts w:ascii="Arial" w:cs="Arial" w:eastAsia="Arial" w:hAnsi="Arial"/>
                <w:sz w:val="14"/>
                <w:szCs w:val="14"/>
                <w:color w:val="auto"/>
              </w:rPr>
              <w:t>March 31, 2013</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88"/>
              </w:rPr>
              <w:t>March 31, 2012</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7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Hedged item</w:t>
            </w:r>
          </w:p>
        </w:tc>
        <w:tc>
          <w:tcPr>
            <w:tcW w:w="5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tcPr>
          <w:p>
            <w:pPr>
              <w:jc w:val="center"/>
              <w:ind w:left="512"/>
              <w:spacing w:after="0" w:line="142" w:lineRule="exact"/>
              <w:rPr>
                <w:sz w:val="20"/>
                <w:szCs w:val="20"/>
                <w:color w:val="auto"/>
              </w:rPr>
            </w:pPr>
            <w:r>
              <w:rPr>
                <w:rFonts w:ascii="Arial" w:cs="Arial" w:eastAsia="Arial" w:hAnsi="Arial"/>
                <w:sz w:val="14"/>
                <w:szCs w:val="14"/>
                <w:color w:val="auto"/>
                <w:w w:val="87"/>
              </w:rPr>
              <w:t>(in thousands)</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(8,873)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(7,029)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1,139</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and other option and futures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contracts (b)</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(710)</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$62 million and $89 million at March 31, 2013 and December 31, 2012, respectively. Changes in unrealized gains and losses are included in mortgage banking revenues and, in general, are realized in subsequent periods as the related loans are sold and commitments satisfied.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aggregate fair value of derivative financial instruments in a liability position, which are subject to an enforceable master netting arrangement, was $330 million and $374 million at March 31, 2013 and December 31, 2012, respectively. After consideration of such netting arrangements, the net liability positions with counterparties aggregated $236 million and $281 million at March 31, 2013 and December 31, 2012, respectively. The Company was required to post collateral relating to those positions of $218 million and $266 million, respectively, at March 31, 2013 and December 31, 2012, respectively. Certain of the Company’s derivative financial instruments contain provisions that require the Company to maintain specific credit ratings from credit rating agencies to avoid higher collateral posting requirements. If the Company’s debt rating were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fall below specified ratings, the counterparties of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March 31, 2013 was $74 million for which the Company had posted collateral of $58 million in the normal course of business. If the credit-risk-related contingent features had been triggered on March 31, 2013, the maximum amount of additional collateral the Company would have been required to post with counterparties was $16 million.</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aggregate fair value of derivative financial instruments in an asset position, which are subject to an enforceable master netting arrangement, was $168 million and $164 million at March 31, 2013 and December 31, 2012, respectively. After consideration of such netting arrangements, the net asset positions with counterparties aggregated $75 million and $71 million at March 31, 2013 and December 31, 2012, respectively. Counterparties posted collateral relating to those positions of $75 million and $69 million respectively, at March 31, 2013 and December 31, 2012, respectively. Trading account interest rate swap agreements entered into with customers are subject to the Company’s credit risk standards and often contain collateral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March 31, 2013 and December 31, 2012, the carrying values of the loans in the securitization trust were $142 million and $151 million, respectively. The outstanding principal amount of mortgage-backed securities issued by the qualified special purpose trust that was held by parties unrelated to M&amp;T at March 31, 2013 and December 31, 2012 was $21 million and $23 million, respectively. Because the transaction was non-recourse, the Company’s maximum exposure to loss as a result of its association with the trust at March 31, 2013 is limited to realizing the carrying value of the loans less the amount of the mortgage-backed securities held by third parties.</w:t>
      </w:r>
    </w:p>
    <w:p>
      <w:pPr>
        <w:spacing w:after="0" w:line="118"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March 31, 2013 and December 31, 2012,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$1.4 billion and $1.5 billion at March 31, 2013 and December 31, 2012,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$258 million, including $68 million of unfunded commitments, at March 31, 2013 and $270 million, including $71 million of unfunded commitments, at December 31, 2012.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March 31, 2013.</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0"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38" w:lineRule="exact"/>
        <w:rPr>
          <w:sz w:val="20"/>
          <w:szCs w:val="20"/>
          <w:color w:val="auto"/>
        </w:rPr>
      </w:pPr>
    </w:p>
    <w:p>
      <w:pPr>
        <w:ind w:right="80" w:firstLine="8"/>
        <w:spacing w:after="0" w:line="295"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generally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4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markets for privately issued mortgage-backed securities have experienced a sharp reduction of non-agency mortgage-backed securities issuances, a reduction in trading volumes and wide bid-ask spreads.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14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Company supplemented its determination of fair value for many of its privately issued mortgage-backed securities by obtaining pricing indications from two independent sources at March 31, 2013 and December 31, 2012. However, the Company could not readily ascertain that the basis of such valuations could be ascribed to orderly and observable trades in the market for privately issued mortgage-backed securities. As a result, the Company also performed internal modeling to estimate the cash flows and fair value of privately issued mortgage-backed securities with an amortized cost basis of $1.1 billion.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home price depreciation or appreciation and loss rates. To determine the point within the range of potential values that was most representative of fair value under current market conditions for each of the bonds, the Company averaged the internal model valuations and the indications obtained from the two independent pricing sources, such that the weighted-average reliance on internal model pricing for the bonds modeled was 33% with a 67% average weighting placed on the values provided by the independent sources. Significant unobservable inputs used in the Company’s modeling of fair value for mortgage-backed securities are included in the accompanying table of significant unobservable inputs to Level 3 measurements. The Company concluded its estimate of fair value for the $1.1 billion of privately issued mortgage-backed securities to approximate $1.0 billion, which reflects a market yield based on reasonably likely cash flows of 5.9% at March 31, 2013.</w:t>
      </w:r>
    </w:p>
    <w:p>
      <w:pPr>
        <w:spacing w:after="0" w:line="12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March 31, 2013 and December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31, 2012.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5% to 10% with a weighted-average of 7% was used. Significant unobservable inputs used in the determination of estimated fair value of collateralized debt obligations are included in the accompanying table of significant unobservable inputs to Level 3 measurements. The total amortized cost and fair value of securities backed by trust preferred securities issued by financial institutions and other entities were $43 million and $62 million, respectively, at March 31, 2013 and December 31, 2012. Privately issued mortgage-backed securities and securities backed by trust preferred securities issued by financial institutions and other entities constituted all of the available-for-sale investment securities classified as Level 3 valuations as of March 31, 2013 and December 31, 2012.</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ensures an appropriate control framework is in place over the valuation processes and techniques used for Level 3 fair value measurements. Specifically, the Company attempts to obtain the market observable inputs used by third party pricing sources on a sample of bonds each quarter. Analytical procedures are performed to understand changes in fair value from period to period. Internal pricing models are subject to validation procedures including testing of mathematical constructs, review of valuation methodology and significant assumptions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March 31, 2013 and December 31, 2012 measured at estimated fair value on a recurring basis: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w w:val="87"/>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March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5"/>
              <w:spacing w:after="0" w:line="159" w:lineRule="exact"/>
              <w:rPr>
                <w:sz w:val="20"/>
                <w:szCs w:val="20"/>
                <w:color w:val="auto"/>
              </w:rPr>
            </w:pPr>
            <w:r>
              <w:rPr>
                <w:rFonts w:ascii="Arial" w:cs="Arial" w:eastAsia="Arial" w:hAnsi="Arial"/>
                <w:sz w:val="14"/>
                <w:szCs w:val="14"/>
                <w:color w:val="auto"/>
                <w:w w:val="89"/>
              </w:rPr>
              <w:t>2013</w:t>
            </w:r>
          </w:p>
        </w:tc>
        <w:tc>
          <w:tcPr>
            <w:tcW w:w="38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8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420,144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46,567</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373,577</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39,700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39,700</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20,041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20,041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Mortgage-backed securities: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Government issued or guaranteed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3,029,910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3,029,910</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Privately issued residential</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985,689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Privately issued commercial</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7,558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Collateralized debt obligations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61,718</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Other debt securities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117,511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117,511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112,606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26,009</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4,400,742</w:t>
            </w:r>
          </w:p>
        </w:tc>
        <w:tc>
          <w:tcPr>
            <w:tcW w:w="3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112,606</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3,233,171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1,054,965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1,183,041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1,183,041</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assets (b)</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175,391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139,225</w:t>
            </w:r>
          </w:p>
        </w:tc>
        <w:tc>
          <w:tcPr>
            <w:tcW w:w="760" w:type="dxa"/>
            <w:vAlign w:val="bottom"/>
          </w:tcPr>
          <w:p>
            <w:pPr>
              <w:jc w:val="right"/>
              <w:spacing w:after="0"/>
              <w:rPr>
                <w:sz w:val="20"/>
                <w:szCs w:val="20"/>
                <w:color w:val="auto"/>
              </w:rPr>
            </w:pPr>
            <w:r>
              <w:rPr>
                <w:rFonts w:ascii="Arial" w:cs="Arial" w:eastAsia="Arial" w:hAnsi="Arial"/>
                <w:sz w:val="18"/>
                <w:szCs w:val="18"/>
                <w:color w:val="auto"/>
              </w:rPr>
              <w:t>36,166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8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6,179,318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159,173</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4,929,014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00" w:type="dxa"/>
            <w:vAlign w:val="bottom"/>
            <w:gridSpan w:val="2"/>
            <w:vMerge w:val="continue"/>
          </w:tcPr>
          <w:p>
            <w:pPr>
              <w:spacing w:after="0"/>
              <w:rPr>
                <w:sz w:val="18"/>
                <w:szCs w:val="18"/>
                <w:color w:val="auto"/>
              </w:rPr>
            </w:pPr>
          </w:p>
        </w:tc>
        <w:tc>
          <w:tcPr>
            <w:tcW w:w="1880" w:type="dxa"/>
            <w:vAlign w:val="bottom"/>
            <w:gridSpan w:val="2"/>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327,608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327,608</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1880" w:type="dxa"/>
            <w:vAlign w:val="bottom"/>
            <w:gridSpan w:val="2"/>
          </w:tcPr>
          <w:p>
            <w:pPr>
              <w:ind w:left="17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337,142</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337,095</w:t>
            </w: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60" w:type="dxa"/>
            <w:vAlign w:val="bottom"/>
            <w:vMerge w:val="restart"/>
          </w:tcPr>
          <w:p>
            <w:pPr>
              <w:ind w:left="660"/>
              <w:spacing w:after="0"/>
              <w:rPr>
                <w:sz w:val="20"/>
                <w:szCs w:val="20"/>
                <w:color w:val="auto"/>
              </w:rPr>
            </w:pPr>
            <w:r>
              <w:rPr>
                <w:rFonts w:ascii="Arial" w:cs="Arial" w:eastAsia="Arial" w:hAnsi="Arial"/>
                <w:sz w:val="18"/>
                <w:szCs w:val="18"/>
                <w:color w:val="auto"/>
              </w:rPr>
              <w:t>- 37 -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w w:val="87"/>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6"/>
              </w:rPr>
              <w:t>December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4"/>
              <w:spacing w:after="0" w:line="159" w:lineRule="exact"/>
              <w:rPr>
                <w:sz w:val="20"/>
                <w:szCs w:val="20"/>
                <w:color w:val="auto"/>
              </w:rPr>
            </w:pPr>
            <w:r>
              <w:rPr>
                <w:rFonts w:ascii="Arial" w:cs="Arial" w:eastAsia="Arial" w:hAnsi="Arial"/>
                <w:sz w:val="14"/>
                <w:szCs w:val="14"/>
                <w:color w:val="auto"/>
                <w:w w:val="89"/>
              </w:rPr>
              <w:t>2012</w:t>
            </w:r>
          </w:p>
        </w:tc>
        <w:tc>
          <w:tcPr>
            <w:tcW w:w="38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488,966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56,106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432,860</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39,344</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20,901</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20,901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3,371,041</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3,371,041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Privately issued residential</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1,012,886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1,012,886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Privately issued commercial</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11,000</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Collateralized debt obligations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111,950</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111,950</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98,364</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12,082</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4,739,437</w:t>
            </w:r>
          </w:p>
        </w:tc>
        <w:tc>
          <w:tcPr>
            <w:tcW w:w="3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98,364</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3,555,318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1,085,755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1,387,491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1,387,491</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 (b)</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194,331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146,275</w:t>
            </w:r>
          </w:p>
        </w:tc>
        <w:tc>
          <w:tcPr>
            <w:tcW w:w="760" w:type="dxa"/>
            <w:vAlign w:val="bottom"/>
          </w:tcPr>
          <w:p>
            <w:pPr>
              <w:jc w:val="right"/>
              <w:spacing w:after="0"/>
              <w:rPr>
                <w:sz w:val="20"/>
                <w:szCs w:val="20"/>
                <w:color w:val="auto"/>
              </w:rPr>
            </w:pPr>
            <w:r>
              <w:rPr>
                <w:rFonts w:ascii="Arial" w:cs="Arial" w:eastAsia="Arial" w:hAnsi="Arial"/>
                <w:sz w:val="18"/>
                <w:szCs w:val="18"/>
                <w:color w:val="auto"/>
              </w:rPr>
              <w:t>48,056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6,810,225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154,470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5,521,944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1,133,811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374,274</w:t>
            </w: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374,274</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10,395</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384,866</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384,669</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80" w:hanging="452"/>
        <w:spacing w:after="0" w:line="254"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ended March 31, 2013 and the year ended December 31, 2012.</w:t>
      </w:r>
    </w:p>
    <w:p>
      <w:pPr>
        <w:ind w:left="460" w:hanging="452"/>
        <w:spacing w:after="0" w:line="261"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4" w:lineRule="exact"/>
        <w:rPr>
          <w:rFonts w:ascii="Arial" w:cs="Arial" w:eastAsia="Arial" w:hAnsi="Arial"/>
          <w:sz w:val="18"/>
          <w:szCs w:val="18"/>
          <w:i w:val="1"/>
          <w:iCs w:val="1"/>
          <w:color w:val="auto"/>
        </w:rPr>
      </w:pPr>
    </w:p>
    <w:p>
      <w:pPr>
        <w:ind w:left="5620" w:hanging="96"/>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2013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Investment securities available for sale</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840"/>
              <w:spacing w:after="0" w:line="131" w:lineRule="exact"/>
              <w:rPr>
                <w:sz w:val="20"/>
                <w:szCs w:val="20"/>
                <w:color w:val="auto"/>
              </w:rPr>
            </w:pPr>
            <w:r>
              <w:rPr>
                <w:rFonts w:ascii="Arial" w:cs="Arial" w:eastAsia="Arial" w:hAnsi="Arial"/>
                <w:sz w:val="14"/>
                <w:szCs w:val="14"/>
                <w:color w:val="auto"/>
                <w:w w:val="89"/>
              </w:rPr>
              <w:t>Privately</w:t>
            </w:r>
          </w:p>
        </w:tc>
        <w:tc>
          <w:tcPr>
            <w:tcW w:w="1360" w:type="dxa"/>
            <w:vAlign w:val="bottom"/>
            <w:gridSpan w:val="3"/>
            <w:vMerge w:val="restart"/>
          </w:tcPr>
          <w:p>
            <w:pPr>
              <w:jc w:val="center"/>
              <w:ind w:right="720"/>
              <w:spacing w:after="0"/>
              <w:rPr>
                <w:sz w:val="20"/>
                <w:szCs w:val="20"/>
                <w:color w:val="auto"/>
              </w:rPr>
            </w:pPr>
            <w:r>
              <w:rPr>
                <w:rFonts w:ascii="Arial" w:cs="Arial" w:eastAsia="Arial" w:hAnsi="Arial"/>
                <w:sz w:val="14"/>
                <w:szCs w:val="14"/>
                <w:color w:val="auto"/>
                <w:w w:val="89"/>
              </w:rPr>
              <w:t>Privately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820"/>
              <w:spacing w:after="0" w:line="149" w:lineRule="exact"/>
              <w:rPr>
                <w:sz w:val="20"/>
                <w:szCs w:val="20"/>
                <w:color w:val="auto"/>
              </w:rPr>
            </w:pPr>
            <w:r>
              <w:rPr>
                <w:rFonts w:ascii="Arial" w:cs="Arial" w:eastAsia="Arial" w:hAnsi="Arial"/>
                <w:sz w:val="14"/>
                <w:szCs w:val="14"/>
                <w:color w:val="auto"/>
                <w:w w:val="83"/>
              </w:rPr>
              <w:t>issued</w:t>
            </w:r>
          </w:p>
        </w:tc>
        <w:tc>
          <w:tcPr>
            <w:tcW w:w="13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restart"/>
          </w:tcPr>
          <w:p>
            <w:pPr>
              <w:jc w:val="center"/>
              <w:ind w:right="800"/>
              <w:spacing w:after="0" w:line="149" w:lineRule="exact"/>
              <w:rPr>
                <w:sz w:val="20"/>
                <w:szCs w:val="20"/>
                <w:color w:val="auto"/>
              </w:rPr>
            </w:pPr>
            <w:r>
              <w:rPr>
                <w:rFonts w:ascii="Arial" w:cs="Arial" w:eastAsia="Arial" w:hAnsi="Arial"/>
                <w:sz w:val="14"/>
                <w:szCs w:val="14"/>
                <w:color w:val="auto"/>
                <w:w w:val="83"/>
              </w:rPr>
              <w:t>issued</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840"/>
              <w:spacing w:after="0"/>
              <w:rPr>
                <w:sz w:val="20"/>
                <w:szCs w:val="20"/>
                <w:color w:val="auto"/>
              </w:rPr>
            </w:pPr>
            <w:r>
              <w:rPr>
                <w:rFonts w:ascii="Arial" w:cs="Arial" w:eastAsia="Arial" w:hAnsi="Arial"/>
                <w:sz w:val="14"/>
                <w:szCs w:val="14"/>
                <w:color w:val="auto"/>
                <w:w w:val="87"/>
              </w:rPr>
              <w:t>residential</w:t>
            </w: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60" w:type="dxa"/>
            <w:vAlign w:val="bottom"/>
            <w:gridSpan w:val="3"/>
            <w:vMerge w:val="restart"/>
          </w:tcPr>
          <w:p>
            <w:pPr>
              <w:jc w:val="center"/>
              <w:ind w:right="720"/>
              <w:spacing w:after="0" w:line="149" w:lineRule="exact"/>
              <w:rPr>
                <w:sz w:val="20"/>
                <w:szCs w:val="20"/>
                <w:color w:val="auto"/>
              </w:rPr>
            </w:pPr>
            <w:r>
              <w:rPr>
                <w:rFonts w:ascii="Arial" w:cs="Arial" w:eastAsia="Arial" w:hAnsi="Arial"/>
                <w:sz w:val="14"/>
                <w:szCs w:val="14"/>
                <w:color w:val="auto"/>
                <w:w w:val="89"/>
              </w:rPr>
              <w:t>commercial</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restart"/>
          </w:tcPr>
          <w:p>
            <w:pPr>
              <w:jc w:val="right"/>
              <w:ind w:right="900"/>
              <w:spacing w:after="0"/>
              <w:rPr>
                <w:sz w:val="20"/>
                <w:szCs w:val="20"/>
                <w:color w:val="auto"/>
              </w:rPr>
            </w:pPr>
            <w:r>
              <w:rPr>
                <w:rFonts w:ascii="Arial" w:cs="Arial" w:eastAsia="Arial" w:hAnsi="Arial"/>
                <w:sz w:val="14"/>
                <w:szCs w:val="14"/>
                <w:color w:val="auto"/>
                <w:w w:val="87"/>
              </w:rPr>
              <w:t>mortgage-</w:t>
            </w:r>
          </w:p>
        </w:tc>
        <w:tc>
          <w:tcPr>
            <w:tcW w:w="13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color w:val="auto"/>
                <w:w w:val="87"/>
              </w:rPr>
              <w:t>mortgage-</w:t>
            </w:r>
          </w:p>
        </w:tc>
        <w:tc>
          <w:tcPr>
            <w:tcW w:w="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4"/>
              </w:rPr>
              <w:t>backed</w:t>
            </w:r>
          </w:p>
        </w:tc>
        <w:tc>
          <w:tcPr>
            <w:tcW w:w="100" w:type="dxa"/>
            <w:vAlign w:val="bottom"/>
          </w:tcPr>
          <w:p>
            <w:pPr>
              <w:spacing w:after="0"/>
              <w:rPr>
                <w:sz w:val="12"/>
                <w:szCs w:val="12"/>
                <w:color w:val="auto"/>
              </w:rPr>
            </w:pPr>
          </w:p>
        </w:tc>
        <w:tc>
          <w:tcPr>
            <w:tcW w:w="126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4"/>
              </w:rPr>
              <w:t>backed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debt</w:t>
            </w:r>
          </w:p>
        </w:tc>
        <w:tc>
          <w:tcPr>
            <w:tcW w:w="22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40"/>
              <w:spacing w:after="0" w:line="159" w:lineRule="exact"/>
              <w:rPr>
                <w:sz w:val="20"/>
                <w:szCs w:val="20"/>
                <w:color w:val="auto"/>
              </w:rPr>
            </w:pPr>
            <w:r>
              <w:rPr>
                <w:rFonts w:ascii="Arial" w:cs="Arial" w:eastAsia="Arial" w:hAnsi="Arial"/>
                <w:sz w:val="14"/>
                <w:szCs w:val="14"/>
                <w:color w:val="auto"/>
                <w:w w:val="87"/>
              </w:rPr>
              <w:t>securities</w:t>
            </w:r>
          </w:p>
        </w:tc>
        <w:tc>
          <w:tcPr>
            <w:tcW w:w="1360" w:type="dxa"/>
            <w:vAlign w:val="bottom"/>
            <w:gridSpan w:val="3"/>
          </w:tcPr>
          <w:p>
            <w:pPr>
              <w:jc w:val="center"/>
              <w:ind w:right="720"/>
              <w:spacing w:after="0" w:line="159" w:lineRule="exact"/>
              <w:rPr>
                <w:sz w:val="20"/>
                <w:szCs w:val="20"/>
                <w:color w:val="auto"/>
              </w:rPr>
            </w:pPr>
            <w:r>
              <w:rPr>
                <w:rFonts w:ascii="Arial" w:cs="Arial" w:eastAsia="Arial" w:hAnsi="Arial"/>
                <w:sz w:val="14"/>
                <w:szCs w:val="14"/>
                <w:color w:val="auto"/>
                <w:w w:val="87"/>
              </w:rPr>
              <w:t>securities</w:t>
            </w:r>
          </w:p>
        </w:tc>
        <w:tc>
          <w:tcPr>
            <w:tcW w:w="20" w:type="dxa"/>
            <w:vAlign w:val="bottom"/>
          </w:tcPr>
          <w:p>
            <w:pPr>
              <w:spacing w:after="0"/>
              <w:rPr>
                <w:sz w:val="13"/>
                <w:szCs w:val="13"/>
                <w:color w:val="auto"/>
              </w:rPr>
            </w:pPr>
          </w:p>
        </w:tc>
        <w:tc>
          <w:tcPr>
            <w:tcW w:w="120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w w:val="98"/>
              </w:rPr>
              <w:t>obligations</w:t>
            </w:r>
          </w:p>
        </w:tc>
        <w:tc>
          <w:tcPr>
            <w:tcW w:w="220" w:type="dxa"/>
            <w:vAlign w:val="bottom"/>
          </w:tcPr>
          <w:p>
            <w:pPr>
              <w:spacing w:after="0"/>
              <w:rPr>
                <w:sz w:val="13"/>
                <w:szCs w:val="13"/>
                <w:color w:val="auto"/>
              </w:rPr>
            </w:pP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1,012,886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11,000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(9,800)(a)</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43,312(b)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27,759(e)</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(1,378)(e)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740(e)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(45,156)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w w:val="94"/>
              </w:rPr>
              <w:t>(55,052)(d)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985,689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7,558</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36,119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w w:val="91"/>
              </w:rPr>
              <w:t>Changes in unrealized gains (losses) included in earnings related</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to assets still held at March 31, 2013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(9,800)(a)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31,398(b)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0" w:type="dxa"/>
            <w:vAlign w:val="bottom"/>
            <w:gridSpan w:val="3"/>
          </w:tcPr>
          <w:p>
            <w:pPr>
              <w:jc w:val="right"/>
              <w:ind w:right="482"/>
              <w:spacing w:after="0"/>
              <w:rPr>
                <w:sz w:val="20"/>
                <w:szCs w:val="20"/>
                <w:color w:val="auto"/>
              </w:rPr>
            </w:pPr>
            <w:r>
              <w:rPr>
                <w:rFonts w:ascii="Arial" w:cs="Arial" w:eastAsia="Arial" w:hAnsi="Arial"/>
                <w:sz w:val="18"/>
                <w:szCs w:val="18"/>
                <w:color w:val="auto"/>
              </w:rPr>
              <w:t>- 39 -</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2012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Investment securities available for sale</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840"/>
              <w:spacing w:after="0" w:line="131" w:lineRule="exact"/>
              <w:rPr>
                <w:sz w:val="20"/>
                <w:szCs w:val="20"/>
                <w:color w:val="auto"/>
              </w:rPr>
            </w:pPr>
            <w:r>
              <w:rPr>
                <w:rFonts w:ascii="Arial" w:cs="Arial" w:eastAsia="Arial" w:hAnsi="Arial"/>
                <w:sz w:val="14"/>
                <w:szCs w:val="14"/>
                <w:color w:val="auto"/>
                <w:w w:val="89"/>
              </w:rPr>
              <w:t>Privately</w:t>
            </w:r>
          </w:p>
        </w:tc>
        <w:tc>
          <w:tcPr>
            <w:tcW w:w="1300" w:type="dxa"/>
            <w:vAlign w:val="bottom"/>
            <w:gridSpan w:val="3"/>
            <w:vMerge w:val="restart"/>
          </w:tcPr>
          <w:p>
            <w:pPr>
              <w:jc w:val="center"/>
              <w:ind w:right="660"/>
              <w:spacing w:after="0"/>
              <w:rPr>
                <w:sz w:val="20"/>
                <w:szCs w:val="20"/>
                <w:color w:val="auto"/>
              </w:rPr>
            </w:pPr>
            <w:r>
              <w:rPr>
                <w:rFonts w:ascii="Arial" w:cs="Arial" w:eastAsia="Arial" w:hAnsi="Arial"/>
                <w:sz w:val="14"/>
                <w:szCs w:val="14"/>
                <w:color w:val="auto"/>
                <w:w w:val="89"/>
              </w:rPr>
              <w:t>Privately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860"/>
              <w:spacing w:after="0" w:line="149" w:lineRule="exact"/>
              <w:rPr>
                <w:sz w:val="20"/>
                <w:szCs w:val="20"/>
                <w:color w:val="auto"/>
              </w:rPr>
            </w:pPr>
            <w:r>
              <w:rPr>
                <w:rFonts w:ascii="Arial" w:cs="Arial" w:eastAsia="Arial" w:hAnsi="Arial"/>
                <w:sz w:val="14"/>
                <w:szCs w:val="14"/>
                <w:color w:val="auto"/>
                <w:w w:val="83"/>
              </w:rPr>
              <w:t>issued</w:t>
            </w:r>
          </w:p>
        </w:tc>
        <w:tc>
          <w:tcPr>
            <w:tcW w:w="13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color w:val="auto"/>
                <w:w w:val="83"/>
              </w:rPr>
              <w:t>issued</w:t>
            </w: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right="840"/>
              <w:spacing w:after="0"/>
              <w:rPr>
                <w:sz w:val="20"/>
                <w:szCs w:val="20"/>
                <w:color w:val="auto"/>
              </w:rPr>
            </w:pPr>
            <w:r>
              <w:rPr>
                <w:rFonts w:ascii="Arial" w:cs="Arial" w:eastAsia="Arial" w:hAnsi="Arial"/>
                <w:sz w:val="14"/>
                <w:szCs w:val="14"/>
                <w:color w:val="auto"/>
                <w:w w:val="87"/>
              </w:rPr>
              <w:t>residential</w:t>
            </w: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00" w:type="dxa"/>
            <w:vAlign w:val="bottom"/>
            <w:gridSpan w:val="3"/>
            <w:vMerge w:val="restart"/>
          </w:tcPr>
          <w:p>
            <w:pPr>
              <w:jc w:val="center"/>
              <w:ind w:right="660"/>
              <w:spacing w:after="0" w:line="149" w:lineRule="exact"/>
              <w:rPr>
                <w:sz w:val="20"/>
                <w:szCs w:val="20"/>
                <w:color w:val="auto"/>
              </w:rPr>
            </w:pPr>
            <w:r>
              <w:rPr>
                <w:rFonts w:ascii="Arial" w:cs="Arial" w:eastAsia="Arial" w:hAnsi="Arial"/>
                <w:sz w:val="14"/>
                <w:szCs w:val="14"/>
                <w:color w:val="auto"/>
                <w:w w:val="89"/>
              </w:rPr>
              <w:t>commercial</w:t>
            </w: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restart"/>
          </w:tcPr>
          <w:p>
            <w:pPr>
              <w:jc w:val="right"/>
              <w:ind w:right="920"/>
              <w:spacing w:after="0"/>
              <w:rPr>
                <w:sz w:val="20"/>
                <w:szCs w:val="20"/>
                <w:color w:val="auto"/>
              </w:rPr>
            </w:pPr>
            <w:r>
              <w:rPr>
                <w:rFonts w:ascii="Arial" w:cs="Arial" w:eastAsia="Arial" w:hAnsi="Arial"/>
                <w:sz w:val="14"/>
                <w:szCs w:val="14"/>
                <w:color w:val="auto"/>
                <w:w w:val="84"/>
              </w:rPr>
              <w:t>mortgage-</w:t>
            </w:r>
          </w:p>
        </w:tc>
        <w:tc>
          <w:tcPr>
            <w:tcW w:w="13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7"/>
              </w:rPr>
              <w:t>mortgage-</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88"/>
              </w:rPr>
              <w:t>backed</w:t>
            </w:r>
          </w:p>
        </w:tc>
        <w:tc>
          <w:tcPr>
            <w:tcW w:w="100" w:type="dxa"/>
            <w:vAlign w:val="bottom"/>
          </w:tcPr>
          <w:p>
            <w:pPr>
              <w:spacing w:after="0"/>
              <w:rPr>
                <w:sz w:val="12"/>
                <w:szCs w:val="12"/>
                <w:color w:val="auto"/>
              </w:rPr>
            </w:pPr>
          </w:p>
        </w:tc>
        <w:tc>
          <w:tcPr>
            <w:tcW w:w="120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4"/>
              </w:rPr>
              <w:t>backed</w:t>
            </w:r>
          </w:p>
        </w:tc>
        <w:tc>
          <w:tcPr>
            <w:tcW w:w="180" w:type="dxa"/>
            <w:vAlign w:val="bottom"/>
          </w:tcPr>
          <w:p>
            <w:pPr>
              <w:spacing w:after="0"/>
              <w:rPr>
                <w:sz w:val="12"/>
                <w:szCs w:val="12"/>
                <w:color w:val="auto"/>
              </w:rPr>
            </w:pPr>
          </w:p>
        </w:tc>
        <w:tc>
          <w:tcPr>
            <w:tcW w:w="10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debt</w:t>
            </w:r>
          </w:p>
        </w:tc>
        <w:tc>
          <w:tcPr>
            <w:tcW w:w="24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40"/>
              <w:spacing w:after="0" w:line="159" w:lineRule="exact"/>
              <w:rPr>
                <w:sz w:val="20"/>
                <w:szCs w:val="20"/>
                <w:color w:val="auto"/>
              </w:rPr>
            </w:pPr>
            <w:r>
              <w:rPr>
                <w:rFonts w:ascii="Arial" w:cs="Arial" w:eastAsia="Arial" w:hAnsi="Arial"/>
                <w:sz w:val="14"/>
                <w:szCs w:val="14"/>
                <w:color w:val="auto"/>
                <w:w w:val="87"/>
              </w:rPr>
              <w:t>securities</w:t>
            </w:r>
          </w:p>
        </w:tc>
        <w:tc>
          <w:tcPr>
            <w:tcW w:w="1300" w:type="dxa"/>
            <w:vAlign w:val="bottom"/>
            <w:gridSpan w:val="3"/>
          </w:tcPr>
          <w:p>
            <w:pPr>
              <w:jc w:val="center"/>
              <w:ind w:right="660"/>
              <w:spacing w:after="0" w:line="159" w:lineRule="exact"/>
              <w:rPr>
                <w:sz w:val="20"/>
                <w:szCs w:val="20"/>
                <w:color w:val="auto"/>
              </w:rPr>
            </w:pPr>
            <w:r>
              <w:rPr>
                <w:rFonts w:ascii="Arial" w:cs="Arial" w:eastAsia="Arial" w:hAnsi="Arial"/>
                <w:sz w:val="14"/>
                <w:szCs w:val="14"/>
                <w:color w:val="auto"/>
                <w:w w:val="87"/>
              </w:rPr>
              <w:t>securities</w:t>
            </w:r>
          </w:p>
        </w:tc>
        <w:tc>
          <w:tcPr>
            <w:tcW w:w="120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w w:val="98"/>
              </w:rPr>
              <w:t>obligations</w:t>
            </w:r>
          </w:p>
        </w:tc>
        <w:tc>
          <w:tcPr>
            <w:tcW w:w="240" w:type="dxa"/>
            <w:vAlign w:val="bottom"/>
          </w:tcPr>
          <w:p>
            <w:pPr>
              <w:spacing w:after="0"/>
              <w:rPr>
                <w:sz w:val="13"/>
                <w:szCs w:val="13"/>
                <w:color w:val="auto"/>
              </w:rPr>
            </w:pP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1,136,256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15,029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52,500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(7,676)(a)</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27,031(b)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25,070(e)</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348(e)</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6,423(e)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(42,955)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(13,519)(d)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1,110,695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13,435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58,184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20,435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w w:val="95"/>
              </w:rPr>
              <w:t>Changes in unrealized gains (losses) included in earnings related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assets still held at March 31, 2012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(7,676)(a)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19,506(b)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OTTI loss in the consolidated statement of income or as gain (loss) on bank investment securities.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hanging="452"/>
        <w:spacing w:after="0" w:line="250"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9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During the three-month period ended March 31, 2012, the Company recognized OTTI losses related to certain collateralized mortgage obligations of $4 million. No OTTI losses were recognized for such securities during the three-month period ended March 31, 2013. In accordance with GAAP, the carrying value of such securities was reduced to fair value, with estimated credit losses recognized in earnings and any remaining unrealized loss recognized in accumulated other comprehensive income. The determination of fair value included use of external and internal valuation sources that, as in the case of available-for-sale privately issued mortgage-backed securities, were weighted and averaged when estimating fair value. Due to the presence of significant unobservable inputs that valuation was classified as Level 3. The amortized cost, fair value and impact on the Company’s financial statements of the modeling described herein were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85% at March 31, 2013. As these discounts are not readily observable and are considered significant, the valuations have been classified as Level 3. Loans subject to nonrecurring fair value measurement were $227 million at March 31, 2013 ($158 million and $69 million of which were classified as Level 2 and Level 3, respectively) and $363 million at March 31, 2012 ($208 million and $155 million of which were classified as Level 2 and Level 3, respectively). Changes in fair value recognized for partial charge-offs of loans and loan impairment reserves on loans held by the Company on March 31, 2013 and 2012 were decreases of $15 million and $19 million for the three-month periods ended March 31, 2013 and 2012, respectively.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$19 million and $10 million at March 31, 2013 and March 31, 2012 respectively. Changes in fair value recognized for those foreclosed assets held by the Company were not material during the three months ended March 31, 2013 or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in the fair value measurements for Level 3 assets and liabilities at March 31, 2013 and December 31, 2012:</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2"/>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Fair value at</w:t>
            </w:r>
          </w:p>
        </w:tc>
        <w:tc>
          <w:tcPr>
            <w:tcW w:w="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Valuation</w:t>
            </w:r>
          </w:p>
        </w:tc>
        <w:tc>
          <w:tcPr>
            <w:tcW w:w="20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Unobservable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(weighted-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8"/>
              </w:rPr>
              <w:t>March 31, 2013</w:t>
            </w:r>
          </w:p>
        </w:tc>
        <w:tc>
          <w:tcPr>
            <w:tcW w:w="140" w:type="dxa"/>
            <w:vAlign w:val="bottom"/>
          </w:tcPr>
          <w:p>
            <w:pPr>
              <w:spacing w:after="0"/>
              <w:rPr>
                <w:sz w:val="13"/>
                <w:szCs w:val="13"/>
                <w:color w:val="auto"/>
              </w:rPr>
            </w:pPr>
          </w:p>
        </w:tc>
        <w:tc>
          <w:tcPr>
            <w:tcW w:w="820" w:type="dxa"/>
            <w:vAlign w:val="bottom"/>
          </w:tcPr>
          <w:p>
            <w:pPr>
              <w:ind w:left="160"/>
              <w:spacing w:after="0" w:line="159" w:lineRule="exact"/>
              <w:rPr>
                <w:sz w:val="20"/>
                <w:szCs w:val="20"/>
                <w:color w:val="auto"/>
              </w:rPr>
            </w:pPr>
            <w:r>
              <w:rPr>
                <w:rFonts w:ascii="Arial" w:cs="Arial" w:eastAsia="Arial" w:hAnsi="Arial"/>
                <w:sz w:val="14"/>
                <w:szCs w:val="14"/>
                <w:color w:val="auto"/>
              </w:rPr>
              <w:t>technique</w:t>
            </w:r>
          </w:p>
        </w:tc>
        <w:tc>
          <w:tcPr>
            <w:tcW w:w="200" w:type="dxa"/>
            <w:vAlign w:val="bottom"/>
          </w:tcPr>
          <w:p>
            <w:pPr>
              <w:spacing w:after="0"/>
              <w:rPr>
                <w:sz w:val="13"/>
                <w:szCs w:val="13"/>
                <w:color w:val="auto"/>
              </w:rPr>
            </w:pPr>
          </w:p>
        </w:tc>
        <w:tc>
          <w:tcPr>
            <w:tcW w:w="12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input/assumptions</w:t>
            </w: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83"/>
              </w:rPr>
              <w:t>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Recurring fair value measurements</w:t>
            </w: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Privately issued mortgage–backed securities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88"/>
              </w:rPr>
              <w:t>Discounted</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Probability</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993,247</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cash flow</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of default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1%-40% (18%)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Loss severity</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31%-83% (48%)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Discounted</w:t>
            </w: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Probability</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61,718</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flow</w:t>
            </w: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of default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 (18%)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severity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88"/>
              </w:rPr>
              <w:t>Discounted</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Commitment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36,119</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cash flow</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expirations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0%-69% (20%)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2"/>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Fair value at</w:t>
            </w:r>
          </w:p>
        </w:tc>
        <w:tc>
          <w:tcPr>
            <w:tcW w:w="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Valuation</w:t>
            </w:r>
          </w:p>
        </w:tc>
        <w:tc>
          <w:tcPr>
            <w:tcW w:w="20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Unobservable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(weighted-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4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December 31, 2012</w:t>
            </w:r>
          </w:p>
        </w:tc>
        <w:tc>
          <w:tcPr>
            <w:tcW w:w="140" w:type="dxa"/>
            <w:vAlign w:val="bottom"/>
          </w:tcPr>
          <w:p>
            <w:pPr>
              <w:spacing w:after="0"/>
              <w:rPr>
                <w:sz w:val="13"/>
                <w:szCs w:val="13"/>
                <w:color w:val="auto"/>
              </w:rPr>
            </w:pPr>
          </w:p>
        </w:tc>
        <w:tc>
          <w:tcPr>
            <w:tcW w:w="820" w:type="dxa"/>
            <w:vAlign w:val="bottom"/>
          </w:tcPr>
          <w:p>
            <w:pPr>
              <w:ind w:left="160"/>
              <w:spacing w:after="0" w:line="159" w:lineRule="exact"/>
              <w:rPr>
                <w:sz w:val="20"/>
                <w:szCs w:val="20"/>
                <w:color w:val="auto"/>
              </w:rPr>
            </w:pPr>
            <w:r>
              <w:rPr>
                <w:rFonts w:ascii="Arial" w:cs="Arial" w:eastAsia="Arial" w:hAnsi="Arial"/>
                <w:sz w:val="14"/>
                <w:szCs w:val="14"/>
                <w:color w:val="auto"/>
              </w:rPr>
              <w:t>technique</w:t>
            </w:r>
          </w:p>
        </w:tc>
        <w:tc>
          <w:tcPr>
            <w:tcW w:w="200" w:type="dxa"/>
            <w:vAlign w:val="bottom"/>
          </w:tcPr>
          <w:p>
            <w:pPr>
              <w:spacing w:after="0"/>
              <w:rPr>
                <w:sz w:val="13"/>
                <w:szCs w:val="13"/>
                <w:color w:val="auto"/>
              </w:rPr>
            </w:pPr>
          </w:p>
        </w:tc>
        <w:tc>
          <w:tcPr>
            <w:tcW w:w="12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input/assumptions</w:t>
            </w: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83"/>
              </w:rPr>
              <w:t>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Recurring fair value measurements</w:t>
            </w: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Privately issued mortgage–backed securities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88"/>
              </w:rPr>
              <w:t>Discounted</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Probability</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1,023,886</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cash flow</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of default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1%-40% (19%)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Loss severity</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32%-82% (51%)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Discounted</w:t>
            </w: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Probability</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61,869</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flow</w:t>
            </w: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of default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 (12%)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severity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88"/>
              </w:rPr>
              <w:t>Discounted</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Commitment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47,859</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cash flow</w:t>
            </w: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expirations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0%-69% (20%)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 increase (decrease) in the probability of default and loss severity for residential mortgage-backed securities and collateralized debt securities backed by trust preferred securities would generally result in a lower (higher) fair value measurement.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March 31, 2013</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31" w:lineRule="exact"/>
              <w:rPr>
                <w:sz w:val="20"/>
                <w:szCs w:val="20"/>
                <w:color w:val="auto"/>
              </w:rPr>
            </w:pPr>
            <w:r>
              <w:rPr>
                <w:rFonts w:ascii="Arial" w:cs="Arial" w:eastAsia="Arial" w:hAnsi="Arial"/>
                <w:sz w:val="14"/>
                <w:szCs w:val="14"/>
                <w:color w:val="auto"/>
                <w:w w:val="90"/>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400"/>
              <w:spacing w:after="0" w:line="131" w:lineRule="exact"/>
              <w:rPr>
                <w:sz w:val="20"/>
                <w:szCs w:val="20"/>
                <w:color w:val="auto"/>
              </w:rPr>
            </w:pPr>
            <w:r>
              <w:rPr>
                <w:rFonts w:ascii="Arial" w:cs="Arial" w:eastAsia="Arial" w:hAnsi="Arial"/>
                <w:sz w:val="14"/>
                <w:szCs w:val="14"/>
                <w:color w:val="auto"/>
                <w:w w:val="99"/>
              </w:rPr>
              <w:t>Estimated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5"/>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fair value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3"/>
                <w:szCs w:val="13"/>
                <w:color w:val="auto"/>
              </w:rPr>
            </w:pPr>
          </w:p>
        </w:tc>
        <w:tc>
          <w:tcPr>
            <w:tcW w:w="124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1,826,067</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1,826,067</w:t>
            </w:r>
          </w:p>
        </w:tc>
        <w:tc>
          <w:tcPr>
            <w:tcW w:w="20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1,764,954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61,113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1,304,770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420,144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420,144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46,567</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373,577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5,660,831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5,612,415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4,289,603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1,210,206</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17,469,138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17,165,948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17,165,948</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25,944,819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25,788,504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79,400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25,709,104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11,094,577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11,233,384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7,861,298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3,372,086</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11,415,733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11,321,522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11,321,522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(927,117)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30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64,997,150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65,509,358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7,940,698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57,568,660</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243,547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(23,603,971)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(23,603,971)</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(23,603,971)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(36,915,646)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(36,915,646)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(36,915,646)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(4,304,033)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(4,326,064)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(4,326,064)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(266,076)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(266,076)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(266,076)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(374,593)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(374,593)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(374,593)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(5,394,563)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(5,571,132)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(5,571,132)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(72,059)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(327,608)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(327,608)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(327,608)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Commitments to originate real estate loans for sale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36,119</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36,119</w:t>
            </w:r>
          </w:p>
        </w:tc>
        <w:tc>
          <w:tcPr>
            <w:tcW w:w="20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36,119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(115,024)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(115,024)</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Interest rate swap agreements used for interest rate risk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management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134,306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- 43 -</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December 31, 2012</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60"/>
              <w:spacing w:after="0" w:line="131"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40"/>
              <w:spacing w:after="0" w:line="131" w:lineRule="exact"/>
              <w:rPr>
                <w:sz w:val="20"/>
                <w:szCs w:val="20"/>
                <w:color w:val="auto"/>
              </w:rPr>
            </w:pPr>
            <w:r>
              <w:rPr>
                <w:rFonts w:ascii="Arial" w:cs="Arial" w:eastAsia="Arial" w:hAnsi="Arial"/>
                <w:sz w:val="14"/>
                <w:szCs w:val="14"/>
                <w:color w:val="auto"/>
                <w:w w:val="99"/>
              </w:rPr>
              <w:t>Estimated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3"/>
                <w:szCs w:val="13"/>
                <w:color w:val="auto"/>
              </w:rPr>
            </w:pPr>
          </w:p>
        </w:tc>
        <w:tc>
          <w:tcPr>
            <w:tcW w:w="124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1,986,615</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1,986,615</w:t>
            </w:r>
          </w:p>
        </w:tc>
        <w:tc>
          <w:tcPr>
            <w:tcW w:w="14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1,895,423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91,192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129,945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488,966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488,966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56,106</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432,860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6,074,361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98,364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4,687,211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1,233,393</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17,776,953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17,554,562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17,554,562</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25,993,790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25,858,482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199,997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25,658,485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11,240,837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11,381,319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8,100,915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3,280,404</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11,559,377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11,504,799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11,504,799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(925,860)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30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65,645,097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66,299,162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8,300,912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57,998,250</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222,897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(24,240,802)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(24,240,802)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(24,240,802)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(35,763,566)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(35,763,566)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(35,763,566)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(4,562,366)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(4,584,384)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(4,584,384)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(1,044,519)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(1,044,519)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(1,044,519)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(1,074,482)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(1,074,482)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(1,074,482)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(4,607,758)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(4,768,408)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(4,768,408)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(374,274)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(374,274)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(374,274)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Commitments to originate real estate loans for sale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47,859</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47,859</w:t>
            </w:r>
          </w:p>
        </w:tc>
        <w:tc>
          <w:tcPr>
            <w:tcW w:w="14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(119,464)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(119,464)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(119,464)</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Interest rate swap agreements used for interest rate risk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management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143,179</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1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2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color w:val="auto"/>
              </w:rPr>
              <w:t>March 31,</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59"/>
        </w:trPr>
        <w:tc>
          <w:tcPr>
            <w:tcW w:w="5080" w:type="dxa"/>
            <w:vAlign w:val="bottom"/>
          </w:tcPr>
          <w:p>
            <w:pPr>
              <w:spacing w:after="0"/>
              <w:rPr>
                <w:sz w:val="13"/>
                <w:szCs w:val="13"/>
                <w:color w:val="auto"/>
              </w:rPr>
            </w:pPr>
          </w:p>
        </w:tc>
        <w:tc>
          <w:tcPr>
            <w:tcW w:w="2460" w:type="dxa"/>
            <w:vAlign w:val="bottom"/>
            <w:gridSpan w:val="2"/>
          </w:tcPr>
          <w:p>
            <w:pPr>
              <w:jc w:val="right"/>
              <w:ind w:right="452"/>
              <w:spacing w:after="0" w:line="159" w:lineRule="exact"/>
              <w:rPr>
                <w:sz w:val="20"/>
                <w:szCs w:val="20"/>
                <w:color w:val="auto"/>
              </w:rPr>
            </w:pPr>
            <w:r>
              <w:rPr>
                <w:rFonts w:ascii="Arial" w:cs="Arial" w:eastAsia="Arial" w:hAnsi="Arial"/>
                <w:sz w:val="14"/>
                <w:szCs w:val="14"/>
                <w:color w:val="auto"/>
              </w:rPr>
              <w:t>2013</w:t>
            </w:r>
          </w:p>
        </w:tc>
        <w:tc>
          <w:tcPr>
            <w:tcW w:w="104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5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80" w:type="dxa"/>
            <w:vAlign w:val="bottom"/>
            <w:tcBorders>
              <w:top w:val="single" w:sz="8" w:color="auto"/>
            </w:tcBorders>
            <w:gridSpan w:val="2"/>
          </w:tcPr>
          <w:p>
            <w:pPr>
              <w:jc w:val="right"/>
              <w:ind w:right="57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Home equity lines of credit</w:t>
            </w:r>
          </w:p>
        </w:tc>
        <w:tc>
          <w:tcPr>
            <w:tcW w:w="2460" w:type="dxa"/>
            <w:vAlign w:val="bottom"/>
            <w:gridSpan w:val="2"/>
          </w:tcPr>
          <w:p>
            <w:pPr>
              <w:jc w:val="right"/>
              <w:ind w:right="172"/>
              <w:spacing w:after="0"/>
              <w:rPr>
                <w:sz w:val="20"/>
                <w:szCs w:val="20"/>
                <w:color w:val="auto"/>
              </w:rPr>
            </w:pPr>
            <w:r>
              <w:rPr>
                <w:rFonts w:ascii="Arial" w:cs="Arial" w:eastAsia="Arial" w:hAnsi="Arial"/>
                <w:sz w:val="18"/>
                <w:szCs w:val="18"/>
                <w:color w:val="auto"/>
              </w:rPr>
              <w:t>$6,302,801</w:t>
            </w:r>
          </w:p>
        </w:tc>
        <w:tc>
          <w:tcPr>
            <w:tcW w:w="1040" w:type="dxa"/>
            <w:vAlign w:val="bottom"/>
          </w:tcPr>
          <w:p>
            <w:pPr>
              <w:jc w:val="right"/>
              <w:spacing w:after="0"/>
              <w:rPr>
                <w:sz w:val="20"/>
                <w:szCs w:val="20"/>
                <w:color w:val="auto"/>
              </w:rPr>
            </w:pPr>
            <w:r>
              <w:rPr>
                <w:rFonts w:ascii="Arial" w:cs="Arial" w:eastAsia="Arial" w:hAnsi="Arial"/>
                <w:sz w:val="18"/>
                <w:szCs w:val="18"/>
                <w:color w:val="auto"/>
              </w:rPr>
              <w:t>6,282,615</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real estate loans to be sold</w:t>
            </w:r>
          </w:p>
        </w:tc>
        <w:tc>
          <w:tcPr>
            <w:tcW w:w="2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105,976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139,929</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 commercial real estate and construction</w:t>
            </w:r>
          </w:p>
        </w:tc>
        <w:tc>
          <w:tcPr>
            <w:tcW w:w="2460" w:type="dxa"/>
            <w:vAlign w:val="bottom"/>
            <w:gridSpan w:val="2"/>
          </w:tcPr>
          <w:p>
            <w:pPr>
              <w:jc w:val="right"/>
              <w:ind w:right="172"/>
              <w:spacing w:after="0"/>
              <w:rPr>
                <w:sz w:val="20"/>
                <w:szCs w:val="20"/>
                <w:color w:val="auto"/>
              </w:rPr>
            </w:pPr>
            <w:r>
              <w:rPr>
                <w:rFonts w:ascii="Arial" w:cs="Arial" w:eastAsia="Arial" w:hAnsi="Arial"/>
                <w:sz w:val="18"/>
                <w:szCs w:val="18"/>
                <w:color w:val="auto"/>
              </w:rPr>
              <w:t>4,017,585</w:t>
            </w:r>
          </w:p>
        </w:tc>
        <w:tc>
          <w:tcPr>
            <w:tcW w:w="1040" w:type="dxa"/>
            <w:vAlign w:val="bottom"/>
          </w:tcPr>
          <w:p>
            <w:pPr>
              <w:jc w:val="right"/>
              <w:spacing w:after="0"/>
              <w:rPr>
                <w:sz w:val="20"/>
                <w:szCs w:val="20"/>
                <w:color w:val="auto"/>
              </w:rPr>
            </w:pPr>
            <w:r>
              <w:rPr>
                <w:rFonts w:ascii="Arial" w:cs="Arial" w:eastAsia="Arial" w:hAnsi="Arial"/>
                <w:sz w:val="18"/>
                <w:szCs w:val="18"/>
                <w:color w:val="auto"/>
              </w:rPr>
              <w:t>3,819,342</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 to be sold</w:t>
            </w:r>
          </w:p>
        </w:tc>
        <w:tc>
          <w:tcPr>
            <w:tcW w:w="2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1,266,065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1,550,441</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 residential real estate</w:t>
            </w:r>
          </w:p>
        </w:tc>
        <w:tc>
          <w:tcPr>
            <w:tcW w:w="2460" w:type="dxa"/>
            <w:vAlign w:val="bottom"/>
            <w:gridSpan w:val="2"/>
          </w:tcPr>
          <w:p>
            <w:pPr>
              <w:jc w:val="right"/>
              <w:ind w:right="172"/>
              <w:spacing w:after="0"/>
              <w:rPr>
                <w:sz w:val="20"/>
                <w:szCs w:val="20"/>
                <w:color w:val="auto"/>
              </w:rPr>
            </w:pPr>
            <w:r>
              <w:rPr>
                <w:rFonts w:ascii="Arial" w:cs="Arial" w:eastAsia="Arial" w:hAnsi="Arial"/>
                <w:sz w:val="18"/>
                <w:szCs w:val="18"/>
                <w:color w:val="auto"/>
              </w:rPr>
              <w:t>453,051</w:t>
            </w:r>
          </w:p>
        </w:tc>
        <w:tc>
          <w:tcPr>
            <w:tcW w:w="1040" w:type="dxa"/>
            <w:vAlign w:val="bottom"/>
          </w:tcPr>
          <w:p>
            <w:pPr>
              <w:jc w:val="right"/>
              <w:spacing w:after="0"/>
              <w:rPr>
                <w:sz w:val="20"/>
                <w:szCs w:val="20"/>
                <w:color w:val="auto"/>
              </w:rPr>
            </w:pPr>
            <w:r>
              <w:rPr>
                <w:rFonts w:ascii="Arial" w:cs="Arial" w:eastAsia="Arial" w:hAnsi="Arial"/>
                <w:sz w:val="18"/>
                <w:szCs w:val="18"/>
                <w:color w:val="auto"/>
              </w:rPr>
              <w:t>445,268</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and other</w:t>
            </w:r>
          </w:p>
        </w:tc>
        <w:tc>
          <w:tcPr>
            <w:tcW w:w="2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9,782,222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10,070,711</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60" w:type="dxa"/>
            <w:vAlign w:val="bottom"/>
            <w:gridSpan w:val="2"/>
          </w:tcPr>
          <w:p>
            <w:pPr>
              <w:jc w:val="right"/>
              <w:ind w:right="172"/>
              <w:spacing w:after="0"/>
              <w:rPr>
                <w:sz w:val="20"/>
                <w:szCs w:val="20"/>
                <w:color w:val="auto"/>
              </w:rPr>
            </w:pPr>
            <w:r>
              <w:rPr>
                <w:rFonts w:ascii="Arial" w:cs="Arial" w:eastAsia="Arial" w:hAnsi="Arial"/>
                <w:sz w:val="18"/>
                <w:szCs w:val="18"/>
                <w:color w:val="auto"/>
              </w:rPr>
              <w:t>3,974,118</w:t>
            </w:r>
          </w:p>
        </w:tc>
        <w:tc>
          <w:tcPr>
            <w:tcW w:w="1040" w:type="dxa"/>
            <w:vAlign w:val="bottom"/>
          </w:tcPr>
          <w:p>
            <w:pPr>
              <w:jc w:val="right"/>
              <w:spacing w:after="0"/>
              <w:rPr>
                <w:sz w:val="20"/>
                <w:szCs w:val="20"/>
                <w:color w:val="auto"/>
              </w:rPr>
            </w:pPr>
            <w:r>
              <w:rPr>
                <w:rFonts w:ascii="Arial" w:cs="Arial" w:eastAsia="Arial" w:hAnsi="Arial"/>
                <w:sz w:val="18"/>
                <w:szCs w:val="18"/>
                <w:color w:val="auto"/>
              </w:rPr>
              <w:t>4,025,329</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43,388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53,201</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60" w:type="dxa"/>
            <w:vAlign w:val="bottom"/>
            <w:gridSpan w:val="2"/>
          </w:tcPr>
          <w:p>
            <w:pPr>
              <w:jc w:val="right"/>
              <w:ind w:right="172"/>
              <w:spacing w:after="0"/>
              <w:rPr>
                <w:sz w:val="20"/>
                <w:szCs w:val="20"/>
                <w:color w:val="auto"/>
              </w:rPr>
            </w:pPr>
            <w:r>
              <w:rPr>
                <w:rFonts w:ascii="Arial" w:cs="Arial" w:eastAsia="Arial" w:hAnsi="Arial"/>
                <w:sz w:val="18"/>
                <w:szCs w:val="18"/>
                <w:color w:val="auto"/>
              </w:rPr>
              <w:t>2,230,375</w:t>
            </w:r>
          </w:p>
        </w:tc>
        <w:tc>
          <w:tcPr>
            <w:tcW w:w="1040" w:type="dxa"/>
            <w:vAlign w:val="bottom"/>
          </w:tcPr>
          <w:p>
            <w:pPr>
              <w:jc w:val="right"/>
              <w:spacing w:after="0"/>
              <w:rPr>
                <w:sz w:val="20"/>
                <w:szCs w:val="20"/>
                <w:color w:val="auto"/>
              </w:rPr>
            </w:pPr>
            <w:r>
              <w:rPr>
                <w:rFonts w:ascii="Arial" w:cs="Arial" w:eastAsia="Arial" w:hAnsi="Arial"/>
                <w:sz w:val="18"/>
                <w:szCs w:val="18"/>
                <w:color w:val="auto"/>
              </w:rPr>
              <w:t>2,120,361</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2,136,984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2,625,408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$2.1 billion at March 31, 2013 and $2.0 billion at December 31, 2012.</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Company has an agreement with the Baltimore Ravens of the National Football League whereby the Company obtained the naming rights to a football stadium in Baltimore, Maryland. Under the agreement, the Company is obligated to pay $5 million in 2013 and $6 million per year from 2014 through 2017.</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$58 million at March 31, 2013. Assets of subsidiaries providing reinsurance that are available to satisfy claims totaled approximately $40 million at March 31, 2013.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2013, management believes that any further liability arising out of the Company’s obligation to loan purchasers is not material to the Company’s consolidated financial position.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to the Company’s consolidated financial statements as of and for the year ended December 31, 2012.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2012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color w:val="auto"/>
                <w:w w:val="92"/>
              </w:rPr>
              <w:t>Three months ended March 31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2012</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rPr>
              <w:t>Inter-</w:t>
            </w:r>
          </w:p>
        </w:tc>
        <w:tc>
          <w:tcPr>
            <w:tcW w:w="220" w:type="dxa"/>
            <w:vAlign w:val="bottom"/>
          </w:tcPr>
          <w:p>
            <w:pPr>
              <w:spacing w:after="0"/>
              <w:rPr>
                <w:sz w:val="11"/>
                <w:szCs w:val="11"/>
                <w:color w:val="auto"/>
              </w:rPr>
            </w:pPr>
          </w:p>
        </w:tc>
        <w:tc>
          <w:tcPr>
            <w:tcW w:w="64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4"/>
          </w:tcPr>
          <w:p>
            <w:pPr>
              <w:jc w:val="center"/>
              <w:ind w:right="300"/>
              <w:spacing w:after="0" w:line="131" w:lineRule="exact"/>
              <w:rPr>
                <w:sz w:val="20"/>
                <w:szCs w:val="20"/>
                <w:color w:val="auto"/>
              </w:rPr>
            </w:pPr>
            <w:r>
              <w:rPr>
                <w:rFonts w:ascii="Arial" w:cs="Arial" w:eastAsia="Arial" w:hAnsi="Arial"/>
                <w:sz w:val="14"/>
                <w:szCs w:val="14"/>
                <w:color w:val="auto"/>
                <w:w w:val="91"/>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Total</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22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income</w:t>
            </w:r>
          </w:p>
        </w:tc>
        <w:tc>
          <w:tcPr>
            <w:tcW w:w="160" w:type="dxa"/>
            <w:vAlign w:val="bottom"/>
          </w:tcPr>
          <w:p>
            <w:pPr>
              <w:spacing w:after="0"/>
              <w:rPr>
                <w:sz w:val="12"/>
                <w:szCs w:val="12"/>
                <w:color w:val="auto"/>
              </w:rPr>
            </w:pPr>
          </w:p>
        </w:tc>
        <w:tc>
          <w:tcPr>
            <w:tcW w:w="9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920" w:type="dxa"/>
            <w:vAlign w:val="bottom"/>
            <w:gridSpan w:val="4"/>
          </w:tcPr>
          <w:p>
            <w:pPr>
              <w:jc w:val="center"/>
              <w:ind w:right="320"/>
              <w:spacing w:after="0" w:line="149" w:lineRule="exact"/>
              <w:rPr>
                <w:sz w:val="20"/>
                <w:szCs w:val="20"/>
                <w:color w:val="auto"/>
              </w:rPr>
            </w:pPr>
            <w:r>
              <w:rPr>
                <w:rFonts w:ascii="Arial" w:cs="Arial" w:eastAsia="Arial" w:hAnsi="Arial"/>
                <w:sz w:val="14"/>
                <w:szCs w:val="14"/>
                <w:color w:val="auto"/>
                <w:w w:val="81"/>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gridSpan w:val="3"/>
          </w:tcPr>
          <w:p>
            <w:pPr>
              <w:jc w:val="center"/>
              <w:ind w:right="300"/>
              <w:spacing w:after="0" w:line="159" w:lineRule="exact"/>
              <w:rPr>
                <w:sz w:val="20"/>
                <w:szCs w:val="20"/>
                <w:color w:val="auto"/>
              </w:rPr>
            </w:pPr>
            <w:r>
              <w:rPr>
                <w:rFonts w:ascii="Arial" w:cs="Arial" w:eastAsia="Arial" w:hAnsi="Arial"/>
                <w:sz w:val="14"/>
                <w:szCs w:val="14"/>
                <w:color w:val="auto"/>
                <w:w w:val="83"/>
              </w:rPr>
              <w:t>revenues (a)</w:t>
            </w:r>
          </w:p>
        </w:tc>
        <w:tc>
          <w:tcPr>
            <w:tcW w:w="7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revenues</w:t>
            </w:r>
          </w:p>
        </w:tc>
        <w:tc>
          <w:tcPr>
            <w:tcW w:w="220" w:type="dxa"/>
            <w:vAlign w:val="bottom"/>
          </w:tcPr>
          <w:p>
            <w:pPr>
              <w:spacing w:after="0"/>
              <w:rPr>
                <w:sz w:val="13"/>
                <w:szCs w:val="13"/>
                <w:color w:val="auto"/>
              </w:rPr>
            </w:pPr>
          </w:p>
        </w:tc>
        <w:tc>
          <w:tcPr>
            <w:tcW w:w="80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7"/>
              </w:rPr>
              <w:t>(loss)</w:t>
            </w:r>
          </w:p>
        </w:tc>
        <w:tc>
          <w:tcPr>
            <w:tcW w:w="160" w:type="dxa"/>
            <w:vAlign w:val="bottom"/>
          </w:tcPr>
          <w:p>
            <w:pPr>
              <w:spacing w:after="0"/>
              <w:rPr>
                <w:sz w:val="13"/>
                <w:szCs w:val="13"/>
                <w:color w:val="auto"/>
              </w:rPr>
            </w:pPr>
          </w:p>
        </w:tc>
        <w:tc>
          <w:tcPr>
            <w:tcW w:w="90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w w:val="81"/>
              </w:rPr>
              <w:t>revenues (a)</w:t>
            </w:r>
          </w:p>
        </w:tc>
        <w:tc>
          <w:tcPr>
            <w:tcW w:w="80" w:type="dxa"/>
            <w:vAlign w:val="bottom"/>
          </w:tcPr>
          <w:p>
            <w:pPr>
              <w:spacing w:after="0"/>
              <w:rPr>
                <w:sz w:val="13"/>
                <w:szCs w:val="13"/>
                <w:color w:val="auto"/>
              </w:rPr>
            </w:pPr>
          </w:p>
        </w:tc>
        <w:tc>
          <w:tcPr>
            <w:tcW w:w="920" w:type="dxa"/>
            <w:vAlign w:val="bottom"/>
            <w:gridSpan w:val="4"/>
          </w:tcPr>
          <w:p>
            <w:pPr>
              <w:jc w:val="center"/>
              <w:ind w:right="320"/>
              <w:spacing w:after="0" w:line="159" w:lineRule="exact"/>
              <w:rPr>
                <w:sz w:val="20"/>
                <w:szCs w:val="20"/>
                <w:color w:val="auto"/>
              </w:rPr>
            </w:pPr>
            <w:r>
              <w:rPr>
                <w:rFonts w:ascii="Arial" w:cs="Arial" w:eastAsia="Arial" w:hAnsi="Arial"/>
                <w:sz w:val="14"/>
                <w:szCs w:val="14"/>
                <w:color w:val="auto"/>
                <w:w w:val="83"/>
              </w:rPr>
              <w:t>revenues</w:t>
            </w:r>
          </w:p>
        </w:tc>
        <w:tc>
          <w:tcPr>
            <w:tcW w:w="7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6"/>
          </w:tcPr>
          <w:p>
            <w:pPr>
              <w:jc w:val="right"/>
              <w:ind w:right="740"/>
              <w:spacing w:after="0" w:line="142" w:lineRule="exact"/>
              <w:rPr>
                <w:sz w:val="20"/>
                <w:szCs w:val="20"/>
                <w:color w:val="auto"/>
              </w:rPr>
            </w:pPr>
            <w:r>
              <w:rPr>
                <w:rFonts w:ascii="Arial" w:cs="Arial" w:eastAsia="Arial" w:hAnsi="Arial"/>
                <w:sz w:val="14"/>
                <w:szCs w:val="14"/>
                <w:color w:val="auto"/>
                <w:w w:val="94"/>
              </w:rPr>
              <w:t>(in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32,561</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111,976</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35,333</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249,850</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107,387</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237,462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103,096</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165,293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1,552</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76,508</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153,544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68,631</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12,041</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(8,601)</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1,846</w:t>
            </w: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(1,160)</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(14,781)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119,899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18,698</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34,361</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93,042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23,517</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291,185</w:t>
            </w: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3,257</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52,350</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306,848</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48,657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145,246</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(17,450)</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(30,900)</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95,400</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(25,617)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(64,530)</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1,088,932</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274,113</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997,112</w:t>
            </w:r>
          </w:p>
        </w:tc>
        <w:tc>
          <w:tcPr>
            <w:tcW w:w="80" w:type="dxa"/>
            <w:vAlign w:val="bottom"/>
          </w:tcPr>
          <w:p>
            <w:pPr>
              <w:spacing w:after="0"/>
              <w:rPr>
                <w:sz w:val="19"/>
                <w:szCs w:val="19"/>
                <w:color w:val="auto"/>
              </w:rPr>
            </w:pPr>
          </w:p>
        </w:tc>
        <w:tc>
          <w:tcPr>
            <w:tcW w:w="92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206,463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color w:val="auto"/>
              </w:rPr>
              <w:t>Average total assets</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8"/>
          </w:tcPr>
          <w:p>
            <w:pPr>
              <w:jc w:val="right"/>
              <w:ind w:right="800"/>
              <w:spacing w:after="0" w:line="131" w:lineRule="exact"/>
              <w:rPr>
                <w:sz w:val="20"/>
                <w:szCs w:val="20"/>
                <w:color w:val="auto"/>
              </w:rPr>
            </w:pPr>
            <w:r>
              <w:rPr>
                <w:rFonts w:ascii="Arial" w:cs="Arial" w:eastAsia="Arial" w:hAnsi="Arial"/>
                <w:sz w:val="14"/>
                <w:szCs w:val="14"/>
                <w:color w:val="auto"/>
                <w:w w:val="97"/>
              </w:rPr>
              <w:t>Three months ended</w:t>
            </w:r>
          </w:p>
        </w:tc>
        <w:tc>
          <w:tcPr>
            <w:tcW w:w="72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2"/>
              </w:rPr>
              <w:t>Year ended</w:t>
            </w:r>
          </w:p>
        </w:tc>
        <w:tc>
          <w:tcPr>
            <w:tcW w:w="28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5"/>
          </w:tcPr>
          <w:p>
            <w:pPr>
              <w:jc w:val="center"/>
              <w:ind w:right="280"/>
              <w:spacing w:after="0"/>
              <w:rPr>
                <w:sz w:val="20"/>
                <w:szCs w:val="20"/>
                <w:color w:val="auto"/>
              </w:rPr>
            </w:pPr>
            <w:r>
              <w:rPr>
                <w:rFonts w:ascii="Arial" w:cs="Arial" w:eastAsia="Arial" w:hAnsi="Arial"/>
                <w:sz w:val="14"/>
                <w:szCs w:val="14"/>
                <w:color w:val="auto"/>
                <w:w w:val="85"/>
              </w:rPr>
              <w:t>December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92"/>
              <w:spacing w:after="0" w:line="159" w:lineRule="exact"/>
              <w:rPr>
                <w:sz w:val="20"/>
                <w:szCs w:val="20"/>
                <w:color w:val="auto"/>
              </w:rPr>
            </w:pPr>
            <w:r>
              <w:rPr>
                <w:rFonts w:ascii="Arial" w:cs="Arial" w:eastAsia="Arial" w:hAnsi="Arial"/>
                <w:sz w:val="14"/>
                <w:szCs w:val="14"/>
                <w:color w:val="auto"/>
                <w:w w:val="96"/>
              </w:rPr>
              <w:t>2013</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72"/>
              <w:spacing w:after="0" w:line="159"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jc w:val="right"/>
              <w:ind w:right="380"/>
              <w:spacing w:after="0" w:line="142" w:lineRule="exact"/>
              <w:rPr>
                <w:sz w:val="20"/>
                <w:szCs w:val="20"/>
                <w:color w:val="auto"/>
              </w:rPr>
            </w:pPr>
            <w:r>
              <w:rPr>
                <w:rFonts w:ascii="Arial" w:cs="Arial" w:eastAsia="Arial" w:hAnsi="Arial"/>
                <w:sz w:val="14"/>
                <w:szCs w:val="14"/>
                <w:color w:val="auto"/>
                <w:w w:val="93"/>
              </w:rPr>
              <w:t>(in millions)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Commercial Banking</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21,272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19,158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17,054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16,316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16,585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15,804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Retail Banking</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11,391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11,856</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81,913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78,026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79,983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306" w:lineRule="auto"/>
        <w:tabs>
          <w:tab w:leader="none" w:pos="4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w:t>
      </w:r>
    </w:p>
    <w:p>
      <w:pPr>
        <w:spacing w:after="0" w:line="93" w:lineRule="exact"/>
        <w:rPr>
          <w:rFonts w:ascii="Arial" w:cs="Arial" w:eastAsia="Arial" w:hAnsi="Arial"/>
          <w:sz w:val="16"/>
          <w:szCs w:val="16"/>
          <w:i w:val="1"/>
          <w:iCs w:val="1"/>
          <w:color w:val="auto"/>
        </w:rPr>
      </w:pPr>
    </w:p>
    <w:p>
      <w:pPr>
        <w:ind w:left="5620" w:hanging="96"/>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64"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i w:val="1"/>
          <w:iCs w:val="1"/>
          <w:color w:val="auto"/>
        </w:rPr>
        <w:t>(e.g. deposits). The taxable-equivalent adjustment aggregated $6,450,000 and $6,705,000 for the three-month periods ended March 31, 2013 and 2012,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$86 million at March 31, 2013.</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$3.7 billion and $3.8 billion at March 31, 2013 and December 31, 2012, respectively. Amounts recorded as capitalized servicing assets for such loans totaled $7 million at March 31, 2013 and $8 million at December 31, 2012. In addition, capitalized servicing rights at each of March 31, 2013 and December 31, 2012 also included $2 million for servicing rights that were obtained from Bayview Financial related to residential mortgage loans with outstanding principal balances of $2.6 billion at March 31, 2013 and $2.7 billion at December 31, 2012. Revenues from servicing residential and small-balance commercial mortgage loans obtained from BLG and Bayview Financial were $8 million and $10 million during the quarters ended March 31, 2013 and 2012, respectively. The Company sub-services residential mortgage loans for Bayview Financial and affiliates having outstanding principal balances totaling $10.9 billion and $11.4 billion at March 31, 2013 and December 31, 2012, respectively. Revenues earned for sub-servicing those loans were $2 million for each of the three-month periods ended March 31, 2013 and 2012. In addition, at March 31, 2013 and December 31, 2012, the Company held $8 million and $11 million, respectively, of collateralized mortgage obligations in its available-for-sale investment securities portfolio that were securitized by Bayview Financial. Finally, the Company held $237 million and $242 million of similar investment securities in its held-to-maturity portfolio at March 31, 2013 and December 31, 2012, respectively.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M&amp;T Bank Corporation (“M&amp;T”) recorded net income in the first quarter of 2013 of $274 million or $1.98 of diluted earnings per common share, compared with $206 million or $1.50 of diluted earnings per common share in the year-earlier quarter. During the fourth quarter of 2012, net income aggregated $296 million or $2.16 of diluted earnings per common share. Basic earnings per common share were $2.00 in the initial 2013 quarter, compared with $1.50 and $2.18 in the first and fourth quarters of 2012, respectively. The after-tax impact of acquisition and integration-related expenses (included herein as merger-related expenses) was $3 million ($5 million pre-tax), or $.02 of basic and diluted earnings per common share in the recent quarter, compared with $2 million ($3 million pre-tax), or $.01 of basic and diluted earnings per common share in the first quarter of 2012. There were no merger-related expenses in the final quarter of 2012. Such merger-related expenses in 2013’s initial quarter were associated with M&amp;T’s pending acquisition of Hudson City Bancorp, Inc. (“Hudson City”), headquartered in Paramus, New Jersey, and in the first quarter of 2012 were associated with M&amp;T’s May 16, 2011 acquisition of Wilmington Trust Corporation (“Wilmington Trust”), headquartered in Wilmington, Delaware.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recent quarter was 1.36%, compared with 1.06% in the first quarter of 2012 and 1.45% in the fourth quarter of 2012. The annualized rate of return on average common shareholders’ equity was 11.10% in the first three months of 2013, compared with 9.04% and 12.10% in the first and fourth quarters of 2012, respectively.</w:t>
      </w:r>
    </w:p>
    <w:p>
      <w:pPr>
        <w:spacing w:after="0" w:line="10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On August 27, 2012, M&amp;T announced that it had entered into a definitive agreement with Hudson City under which Hudson City would be acquired by M&amp;T. Pursuant to the terms of the agreement, Hudson City shareholders will receive consideration for each common share of Hudson City in an amount valued at</w:t>
      </w:r>
    </w:p>
    <w:p>
      <w:pPr>
        <w:ind w:right="200"/>
        <w:spacing w:after="0" w:line="255" w:lineRule="auto"/>
        <w:rPr>
          <w:sz w:val="20"/>
          <w:szCs w:val="20"/>
          <w:color w:val="auto"/>
        </w:rPr>
      </w:pPr>
      <w:r>
        <w:rPr>
          <w:rFonts w:ascii="Arial" w:cs="Arial" w:eastAsia="Arial" w:hAnsi="Arial"/>
          <w:sz w:val="18"/>
          <w:szCs w:val="18"/>
          <w:color w:val="auto"/>
        </w:rPr>
        <w:t>.08403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March 31, 2013 total consideration to be paid was valued at approximately $4.4 billion.</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March 31, 2013, Hudson City had $40.3 billion of assets, including $26.2 billion of loans and $10.6 billion of investment securities, and $35.6 billion of liabilities, including $23.2 billion of deposits. After the merger is completed, M&amp;T forecasts that it will likely repay approximately $12 billion of Hudson City’s long-term borrowings and sell investment securities. The merger has received the approval of the common shareholders of M&amp;T and Hudson City. However, the merger is subject to a number of other conditions, including regulatory approvals. On April 12, 2013, M&amp;T announced that additional time would be required to obtain a regulatory determination on the applications for the proposed merger with Hudson City. M&amp;T has learned that regulators have identified certain concerns with the Company’s procedures, systems and processes related to the Company’s Bank Secrecy Act and anti-money-laundering compliance program. In this regard, M&amp;T has not been advised of any incidents of wrongdoing or illegal activity by the Company or its employees nor of any identified instances of actual money-laundering activity. M&amp;T has commenced a major initiative, including the hiring of an outside consulting firm, intended to fully address those regulator concerns. In view of the potential timeframe required to implement this initiative, demonstrate its efficacy to the satisfaction of the regulators and otherwise meet any other regulatory requirements that may be imposed in connection with these matters, M&amp;T and Hudson City believe that the timeframe for closing the transaction will be extended substantially beyond the date previously expected. Accordingly,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M&amp;T and Hudson City have extended the date after which either party may elect to terminate the merger agreement if the merger has not yet been completed from August 27, 2013 to January 31, 2014. Nevertheless, there can be no assurances that the merger will be completed by that date. The consideration and exchange ratio as provided in the merger agreement will remain the same. M&amp;T and Hudson City intend to close the merger as soon as possible following the receipt of all necessary regulatory approvals and satisfaction of all other conditions to closing.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discussed in the Company’s Form 10-K for the year ended December 31, 2012,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Many aspects of the Dodd-Frank Act still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could require M&amp;T and M&amp;T Bank to further seek other sources of capital in the future.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discussion of the provisions of the Dodd-Frank Act is included in Part II, Item 7 of the Company’s Form 10-K for the year ended December 31,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business combinations and other acquisitions, the Company had intangible assets consisting of goodwill and core deposit and other 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totaling $3.6 billion at each of March 31, 2013 and December 31, 2012 and $3.7 billion at March 31, 2012. Included in such intangible assets was goodwill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billion at each of those dates. Amortization of core deposit and other intangible assets, after tax effect, was $8 million during each of quarters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2013 and December 31, 2012 ($.06 per diluted common share and $.07 per diluted common share, respectively), compared with $10 million ($.08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common share) during the first quarter of 2012.</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operating income totaled $285 million in the first quarter of 2013, compared with $218 million in the year-earlier quarter. Diluted net operating earnings per common share for the recent quarter were $2.06, compared with $1.59 in the initial quarter of 2012. Net operating income and diluted net operating earnings per common share were $305 million and $2.23, respectively, in the final quarter of 2012.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Net operating income in the recent quarter expressed as an annualized rate of return on average tangible assets was 1.48%, compared with 1.18% and</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1.56% in the first and fourth quarters of 2012, respectively. Net operating income represented an annualized return on average tangible common equity of 18.71% in the initial 2013 quarter, compared with 16.79% in the year-earlier quarter and 20.46% in the final quarter of 2012.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Taxable-equivalent net interest income aggregated $663 million in the first quarter of 2013, up 6% from $627 million in the year-earlier quarter. That improvement reflects higher average earning assets, which rose $3.9 billion, or 6%, to $72.3 billion from $68.4 billion in the first quarter of 2012 and a 2 basis point (hundredths of one percent) widening of the Company’s net interest margin, or taxable-equivalent net interest income expressed as an annualized percentage of average earning assets. The increase in average earning assets was attributable to a $5.4 billion rise in average loans outstanding, partially offset by a $1.7 billion decline in average balances of investment securities. The higher average outstanding loan balances were attributable to increased demand for commercial loans and commercial real estate loans, and higher residential real estate loan balances resulting from the Company’s decision to retain for portfolio more of such loans rather than selling them. Taxable-equivalent net interest income in the recent quarter was 2% below the $674 million recorded in the fourth quarter of 2012. That decline reflects two less days in the recent quarter.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Average loans and leases rose 9% to $65.9 billion in the recent quarter from $60.5 billion in the first quarter of 2012. Commercial loans and leases averaged $17.3 billion in the first quarter of 2013, up $1.6 billion or 10% from $15.7 billion in the year-earlier quarter. Average commercial real estate loans rose 6% to $25.9 billion in the recent quarter from $24.6 billion in the first quarter of 2012. Average residential real estate loans outstanding rose to $11.1 billion in the first quarter of 2013 from $8.3 billion in the corresponding quarter of 2012. Included in that portfolio were loans held for sale, which averaged $1.1 billion in the recent quarter, compared with $211 million in the first quarter of 2012. As noted earlier, the growth in residential real estate loans reflects the Company’s decision during the third quarter of 2011 to retain for portfolio a higher proportion of originated loans. Beginning in September 2012, the Company began originating for sale the majority of residential real estate loans originated due to the significant growth in the portfolio and the pending Hudson City acquisition. Average consumer loans and leases totaled $11.5 billion in the recent quarter, $440 million or 4% lower than $11.9 billion in 2012’s initial quarter. That decrease was largely due to lower average balances of automobile and home equity loans and outstanding lines of credit.</w:t>
      </w:r>
    </w:p>
    <w:p>
      <w:pPr>
        <w:spacing w:after="0" w:line="120"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Average loan balances in the recent quarter rose $840 million, or 1%, from the fourth quarter of 2012. Reflecting increased loan demand, average outstanding commercial loan and lease balances increased $334 million, or 2%, average balances of commercial real estate loans rose $583 million, or 2%, and average residential real estate loan balances were up $55 million. Average outstanding consumer loans declined $131 million or 1% from 2012’s final quarter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due largely to lower outstanding balances of home equity lines of credit. The accompanying table summarizes quarterly changes in the major components of the loan and lease portfolio.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1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1st Qtr.</w:t>
            </w: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2"/>
              </w:rPr>
              <w:t>1st Qtr.</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4th Qtr.</w:t>
            </w:r>
          </w:p>
        </w:tc>
        <w:tc>
          <w:tcPr>
            <w:tcW w:w="0" w:type="dxa"/>
            <w:vAlign w:val="bottom"/>
          </w:tcPr>
          <w:p>
            <w:pPr>
              <w:spacing w:after="0"/>
              <w:rPr>
                <w:sz w:val="1"/>
                <w:szCs w:val="1"/>
                <w:color w:val="auto"/>
              </w:rPr>
            </w:pPr>
          </w:p>
        </w:tc>
      </w:tr>
      <w:tr>
        <w:trPr>
          <w:trHeight w:val="159"/>
        </w:trPr>
        <w:tc>
          <w:tcPr>
            <w:tcW w:w="67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rPr>
              <w:t>2013</w:t>
            </w: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2012</w:t>
            </w:r>
          </w:p>
        </w:tc>
        <w:tc>
          <w:tcPr>
            <w:tcW w:w="6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$17,328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25,915</w:t>
            </w:r>
          </w:p>
        </w:tc>
        <w:tc>
          <w:tcPr>
            <w:tcW w:w="5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6</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11,142</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Consumer</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2,517</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Home equity lines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5,793</w:t>
            </w:r>
          </w:p>
        </w:tc>
        <w:tc>
          <w:tcPr>
            <w:tcW w:w="5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loans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2,698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consumer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65,852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investment securities portfolio averaged $5.8 billion in the recent quarter, down $1.7 billion or 23% from $7.5 billion in the first quarter of 2012 and $492 million below the $6.3 billion averaged in the fourth quarter of 2012. The recent quarter declines as compared with the first and fourth quarters of 2012 were predominantly due to maturities and paydowns of mortgage-backed securities. The investment securities portfolio is largely comprised of residential mortgage-backed securities and collateralized mortgage obligations (“CMOs”),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18"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The Company regularly reviews its investment securities for declines in value below amortized cost that might be characterized as “other than temporary.” Other-than-temporary impairment charges recognized during the quarters ended March 31, 2013, March 31, 2012 and December 31, 2012 were $10 million, $11 million and $14 million, respectively. Such impairment charges related to certain privately issued CMOs backed by residential and commercial real estate loans. Persistently high unemployment, loan delinquencies and foreclosures that have led to a backlog of homes held for sale by financial institutions and others were significant factors contributing to the recognition of the other-than-temporary impairment charges related to the CMOs. Based on management’s assessment of future cash flows associated with individual investment securities, as of March 31, 2013,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12 of Notes to Financial Statements.</w:t>
      </w:r>
    </w:p>
    <w:p>
      <w:pPr>
        <w:spacing w:after="0" w:line="10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Other earning assets include interest-earning deposits at the Federal Reserve Bank of New York and other banks, trading account assets, federal funds sold and agreements to resell securities. Those other earning assets in the aggregate averaged $684 million in the recently completed quarter, compared with $397 million and $373 million in the first and fourth quarters of 2012, respectively. Interest-bearing deposits at banks averaged $527</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million, $301 million and $273 million during the three-month periods ended March 31, 2013, March 31, 2012 and December 31, 2012, respectively.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a result of the changes described herein, average earning assets aggregated $72.3 billion in the first quarter of 2013, compared with $68.4 billion in the year-earlier quarter and $71.7 billion in the fourth quarter of 2012.</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Certificates of deposit of $250,000 or less generated on a nationwide basis by Wilmington Trust, National Association (“Wilmington Trust, N.A.”), a wholly owned bank subsidiary of M&amp;T, were also included in core deposits. Core deposits averaged $61.9 billion in the initial 2013 quarter, compared with $56.2 billion in the year-earlier quarter and $61.6 billion in the final quarter of 2012. Average core deposits of Wilmington Trust, N.A. were $1.0 billion, $476 million and $1.2 billion during the three-month periods ended March 31, 2013, March 31, 2012 and December 31, 2012, respectively. The growth in core deposits since the first quarter of 2012 was due, in part, to the lack of attractive alternative investments available to the Company’s customers resulting from lower interest rates and from the economic environment in the U.S. and higher balances held on behalf of trust customers.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color w:val="auto"/>
              </w:rPr>
              <w:t>Percent increase</w:t>
            </w:r>
          </w:p>
        </w:tc>
      </w:tr>
      <w:tr>
        <w:trPr>
          <w:trHeight w:val="162"/>
        </w:trPr>
        <w:tc>
          <w:tcPr>
            <w:tcW w:w="4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color w:val="auto"/>
              </w:rPr>
              <w:t>(decrease) from</w:t>
            </w:r>
          </w:p>
        </w:tc>
      </w:tr>
      <w:tr>
        <w:trPr>
          <w:trHeight w:val="149"/>
        </w:trPr>
        <w:tc>
          <w:tcPr>
            <w:tcW w:w="4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8"/>
              <w:spacing w:after="0" w:line="149" w:lineRule="exact"/>
              <w:rPr>
                <w:sz w:val="20"/>
                <w:szCs w:val="20"/>
                <w:color w:val="auto"/>
              </w:rPr>
            </w:pPr>
            <w:r>
              <w:rPr>
                <w:rFonts w:ascii="Arial" w:cs="Arial" w:eastAsia="Arial" w:hAnsi="Arial"/>
                <w:sz w:val="14"/>
                <w:szCs w:val="14"/>
                <w:color w:val="auto"/>
                <w:w w:val="82"/>
              </w:rPr>
              <w:t>1st Qtr.</w:t>
            </w:r>
          </w:p>
        </w:tc>
        <w:tc>
          <w:tcPr>
            <w:tcW w:w="580" w:type="dxa"/>
            <w:vAlign w:val="bottom"/>
          </w:tcPr>
          <w:p>
            <w:pPr>
              <w:spacing w:after="0"/>
              <w:rPr>
                <w:sz w:val="12"/>
                <w:szCs w:val="12"/>
                <w:color w:val="auto"/>
              </w:rPr>
            </w:pP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2"/>
              </w:rPr>
              <w:t>1st Qtr.</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4th Qtr.</w:t>
            </w:r>
          </w:p>
        </w:tc>
      </w:tr>
      <w:tr>
        <w:trPr>
          <w:trHeight w:val="159"/>
        </w:trPr>
        <w:tc>
          <w:tcPr>
            <w:tcW w:w="4440" w:type="dxa"/>
            <w:vAlign w:val="bottom"/>
            <w:tcBorders>
              <w:bottom w:val="single" w:sz="8" w:color="CCEEFF"/>
            </w:tcBorders>
          </w:tcPr>
          <w:p>
            <w:pPr>
              <w:spacing w:after="0"/>
              <w:rPr>
                <w:sz w:val="13"/>
                <w:szCs w:val="13"/>
                <w:color w:val="auto"/>
              </w:rPr>
            </w:pPr>
          </w:p>
        </w:tc>
        <w:tc>
          <w:tcPr>
            <w:tcW w:w="2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rPr>
              <w:t>2013</w:t>
            </w:r>
          </w:p>
        </w:tc>
        <w:tc>
          <w:tcPr>
            <w:tcW w:w="5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4"/>
                <w:szCs w:val="14"/>
                <w:color w:val="auto"/>
              </w:rPr>
              <w:t>2012</w:t>
            </w:r>
          </w:p>
        </w:tc>
        <w:tc>
          <w:tcPr>
            <w:tcW w:w="6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3"/>
                <w:szCs w:val="13"/>
                <w:color w:val="auto"/>
              </w:rPr>
            </w:pPr>
          </w:p>
        </w:tc>
      </w:tr>
      <w:tr>
        <w:trPr>
          <w:trHeight w:val="210"/>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NOW accounts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Savings deposits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34,403</w:t>
            </w: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22,956</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61,904</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4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$329 million in the first quarter of 2013, compared with $495 million and $352 million in the first and fourth quarters of 2012, respectively. Cayman Islands office deposits averaged $858 million, $495 million and $763 million for the three-month periods ended March 31, 2013, March 31, 2012 and December 31, 2012, respectively. Average brokered time deposits totaled $431 million during the recently completed quarter, compared with $973 million and $505 million in the first and fourth quarters of 2012, respectively. The Company also had brokered NOW and brokered money-market deposit accounts, which in the aggregate averaged $1.0 billion during the recent quarter, compared with $1.1 billion in each of the first and fourth quarters of 2012. The levels of brokered NOW and brokered money-market deposit accounts reflect the demand for such deposits, largely resulting from continued uncertain economic markets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and the desire of brokerage firms to earn reasonable yields while ensuring that customer deposits are fully insured. The level of Cayman Islands office deposits are also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and others as sources of funding. Short-term borrowings averaged $637 million in the recent quarter, compared with $828 million in the first quarter of 2012 and $677 million in the final 2012 quarter. Included in short-term borrowings were unsecured federal funds borrowings, which generally mature on the next business day, that averaged $500 million in 2013’s initial quarter, compared with $628 million and $522 million in the first and fourth quarters of 2012, respectively. Overnight federal funds borrowings represented the largest component of short-term borrowings and totaled $248 million and $324 million at March 31, 2013 and 2012, respectively, and $939 million at December 31, 2012.</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Long-term borrowings averaged $4.7 billion in the first quarter of 2013, compared with $6.5 billion in the similar 2012 quarter and $4.5 billion in the final quarter of 2012. Included in average long-term borrowings were amounts borrowed from the FHLBs of $30 million in the first quarter of 2013, compared with $1.4 billion and $71 million in the first and fourth quarters of 2012, respectively, and subordinated capital notes of $1.8 billion in each of the two most recent quarters and $2.2 billion in the three-month period ended March 31, 2012. During the first quarter of 2013, M&amp;T Bank, the principal bank subsidiary of M&amp;T, finalized a Bank Note Program whereby M&amp;T Bank may offer up to $5 billion of unsecured senior and subordinated notes, which will mature 270 days or more from their date of issue. During March 2013, three-year floating rate senior notes due March 2016 were issued for $300 million and five-year 1.45% fixed rate senior notes due March 2018 were issued for $500 million. The net proceeds from the sale of the notes will be used for general corporate purposes. On April 15, 2013, $250 million of 4.875% subordinated notes of the Company matured and were redeemed. The Company has utilized interest rate swap agreements to modify the repricing characteristics of certain components of long-term debt. As of March 31, 2013, interest rate swap agreements were used to hedge approximately $900 million of fixed rate subordinated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March 31, 2013, March 31, 2012 and December 31, 2012. Additional information regarding junior subordinated debentures is provided in note 5 of Notes to Financial Statements. Also included in long-term borrowings were agreements to repurchase securities, which averaged $1.4 billion during each of the first quarters of 2013 and 2012 and the fourth quarter of 2012. The agreements have various repurchase dates through 2017, however, the contractual maturities of the underlying securities extend beyond such repurchase dates.</w:t>
      </w:r>
    </w:p>
    <w:p>
      <w:pPr>
        <w:spacing w:after="0" w:line="12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3.49% in the first quarter of 2013 and 3.44% in the year-earlier quarter. The yield on earning assets during the recent quarter was 4.13%, down 11 basis points from 4.24% in the first quarter of 2012, while the rate paid on interest-bearing liabilities decreased 16 basis points to ..64% from .80%. In 2012’s fourth quarter, the net interest spread was 3.50%, the yield on earning assets was 4.17% and the rate paid on interest-bearing liabilities was .67%. The widening of the net interest spread in the recent quarter as compared with the first quarter of 2012 reflects the effect of declining interest rates paid on deposits.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$25.4 billion in the first quarter of 2013, compared with $21.4 billion and $25.5 billion in the first and fourth quarters of 2012, respectively. The significant increases in average net interest-free funds in the two most recent quarters as compared with the first quarter of 2012 were predominantly the result of higher average balances of noninterest-bearing deposits. Such deposits averaged $23.0 billion in the recent quarter, compared with $19.6 billion and $23.3 billion in the first and fourth quarters of 2012, respectively. Goodwill and core deposit and other intangible assets averaged $3.6 billion during the quarters ended March 31, 2013 and December 31, 2012, compared with $3.7 billion during the quarter ended March 31, 2012. The cash surrender value of bank owned life insurance averaged $1.6 billion in each of the three-month periods ended March 31, 2013, March 31, 2012 and December 31, 2012. Increases in the cash surrender value of bank owned life insurance and benefits received are not included in interest income, but rather are recorded in “other revenues from operations.” The contribution of net interest-free funds to net interest margin was .22% in the recent quarter, compared with .25% and .24% in the first and fourth quarters of 2012.</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 3.71% in the first quarter of 2013, compared with 3.69% in the year-earlier quarter and 3.74% in the fourth quarter of 2012.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March 31, 2013, March 31, 2012 and December 31, 2012. Under the terms of those swap agreements, the Company received payments based on the outstanding notional amount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March 31, 2013 and 2012 and the quarter ended December 31, 2012 were not material to the Company’s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results of operations. The estimated aggregate fair value of interest rate swap agreements designated as fair value hedges represented gains of approximately $134 million at March 31, 2013, $140 million at March 31, 2012 and $143 million at December 31, 2012.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March 31, 2013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$73 million of collateral with the Company.</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6.07% and 1.83%, respectively, at March 31, 2013.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w w:val="88"/>
              </w:rPr>
              <w:t>Three months ended 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w w:val="91"/>
              </w:rPr>
              <w:t>Amount</w:t>
            </w:r>
          </w:p>
        </w:tc>
        <w:tc>
          <w:tcPr>
            <w:tcW w:w="20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(9,514)</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9,514</w:t>
            </w:r>
          </w:p>
        </w:tc>
        <w:tc>
          <w:tcPr>
            <w:tcW w:w="28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8,989</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6.16%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6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qualify for inclusion in the Company’s total capital as defined by Federal regulators. However, pursuant to the Dodd-Frank Act, junior subordinated debentures associated with trust preferred securities are being phased-out of the definition of Tier 1 capital over a three-year period which began January 1, 2013. The specific rules regarding that phase-out have not yet been finalized.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funds borrowings were $248 million at March 31, 2013, $324 million at March 31, 2012 and $939 million at December 31, 2012. In general, those borrowings were unsecured and matured on the next business day. In addition to satisfying customer demand, Cayman Islands office deposits and brokered certificates of deposit may be used by the Company as an alternative to short-term borrowings. Cayman Islands office deposits also generally mature on the next business day and totaled $266 million, $395 million and $1.0 billion at March 31, 2013, March 31, 2012 and December 31, 2012, respectively. Outstanding brokered time deposits at March 31, 2013, March 31, 2012 and December 31, 2012 were $422 million, $935 million and $462 million, respectively. At March 31, 2013, the weighted-average remaining term to maturity of brokered time deposits was 5 months. Certain of those brokered time deposits have provisions that allow for early redemption. The Company also had brokered NOW and brokered money-market deposit accounts which aggregated $942 million at March 31, 2013, compared with $1.1 billion at each of March 31 and December 31, 2012.</w:t>
      </w:r>
    </w:p>
    <w:p>
      <w:pPr>
        <w:spacing w:after="0" w:line="118" w:lineRule="exact"/>
        <w:rPr>
          <w:sz w:val="20"/>
          <w:szCs w:val="20"/>
          <w:color w:val="auto"/>
        </w:rPr>
      </w:pPr>
    </w:p>
    <w:p>
      <w:pPr>
        <w:ind w:right="300" w:firstLine="456"/>
        <w:spacing w:after="0" w:line="314" w:lineRule="auto"/>
        <w:rPr>
          <w:sz w:val="20"/>
          <w:szCs w:val="20"/>
          <w:color w:val="auto"/>
        </w:rPr>
      </w:pPr>
      <w:r>
        <w:rPr>
          <w:rFonts w:ascii="Arial" w:cs="Arial" w:eastAsia="Arial" w:hAnsi="Arial"/>
          <w:sz w:val="15"/>
          <w:szCs w:val="15"/>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 million at March 31, 2013, $20 million at March 31, 2012 and $7 million at December 31, 2012. The total amount of VRDBs outstanding backed by M&amp;T Bank letters of credit was $2.1 billion at March 31, 2013 and $1.9 billion at each of March 31, 2012 and December 31, 2012. M&amp;T Bank also serves as remarketing agent for most of those bonds.</w:t>
      </w:r>
    </w:p>
    <w:p>
      <w:pPr>
        <w:spacing w:after="0" w:line="1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at March 31, 2013 approximately $712 million was available for payment of dividends to M&amp;T from banking subsidiaries. These historic sources of cash flow have been augmented in the past by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issuance of trust preferred securities and senior notes payable. Information regarding trust preferred securities and the related junior subordinated debentures is included in note 5 of Notes to Financial Statements. M&amp;T also maintains a $30 million line of credit with an unaffiliated commercial bank, on which there were no borrowings outstanding at March 31, 2013 or at December 31, 2012.</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accompanying table as of March 31, 2013 and December 31, 2012 displays the estimated impact on net interest income from non-trading financial instruments in the base scenario described above resulting from parallel changes in interest rates across repricing categories during the first modeling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20" w:type="dxa"/>
            <w:vAlign w:val="bottom"/>
            <w:gridSpan w:val="5"/>
          </w:tcPr>
          <w:p>
            <w:pPr>
              <w:jc w:val="right"/>
              <w:ind w:right="64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7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44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9"/>
        </w:trPr>
        <w:tc>
          <w:tcPr>
            <w:tcW w:w="1420" w:type="dxa"/>
            <w:vAlign w:val="bottom"/>
            <w:tcBorders>
              <w:bottom w:val="single" w:sz="8" w:color="auto"/>
            </w:tcBorders>
            <w:vMerge w:val="continue"/>
          </w:tcPr>
          <w:p>
            <w:pPr>
              <w:spacing w:after="0"/>
              <w:rPr>
                <w:sz w:val="14"/>
                <w:szCs w:val="14"/>
                <w:color w:val="auto"/>
              </w:rPr>
            </w:pPr>
          </w:p>
        </w:tc>
        <w:tc>
          <w:tcPr>
            <w:tcW w:w="57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March 31, 2013</w:t>
            </w:r>
          </w:p>
        </w:tc>
        <w:tc>
          <w:tcPr>
            <w:tcW w:w="15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December 31, 2012</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+200 basis points</w:t>
            </w:r>
          </w:p>
        </w:tc>
        <w:tc>
          <w:tcPr>
            <w:tcW w:w="4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202,681</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210,030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113,087</w:t>
            </w:r>
          </w:p>
        </w:tc>
        <w:tc>
          <w:tcPr>
            <w:tcW w:w="4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117,198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(66,788)</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(69,687)</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720" w:type="dxa"/>
            <w:vAlign w:val="bottom"/>
            <w:gridSpan w:val="3"/>
          </w:tcPr>
          <w:p>
            <w:pPr>
              <w:jc w:val="right"/>
              <w:ind w:right="360"/>
              <w:spacing w:after="0"/>
              <w:rPr>
                <w:sz w:val="20"/>
                <w:szCs w:val="20"/>
                <w:color w:val="auto"/>
              </w:rPr>
            </w:pPr>
            <w:r>
              <w:rPr>
                <w:rFonts w:ascii="Arial" w:cs="Arial" w:eastAsia="Arial" w:hAnsi="Arial"/>
                <w:sz w:val="18"/>
                <w:szCs w:val="18"/>
                <w:color w:val="auto"/>
              </w:rPr>
              <w:t>(95,060)</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(90,333)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can affect the values assigned to the Company’s investment securities. Information about the fair valuation of such securities is presented herein under the heading “Capital” and in notes 3 and 12 of Notes to Financial Statements.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notional amounts of interest rate contracts entered into for trading purposes aggregated $15.2 billion at March 31, 2013, compared with $14.3 billion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2012 and $15.5 billion at December 31, 2012. The notional amounts of foreign currency and other option and futures contracts entered into for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totaled $921 million at March 31, 2013, compared with $1.4 billion and $869 million at March 31 and December 31, 2012, respectively. Although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notional amounts of these trading contracts are not recorded in the consolidated balance sheet, the fair values of all financial instruments used for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are recorded in the consolidated balance sheet. The fair values of all trading account assets and liabilities were $420 million and $328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March 31, 2013, $518 million and $398 million, respectively, at March 31, 2012, and $489 million and $374 million, respectively,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Included in trading account assets were assets related to deferred compensation plans totaling $26 million and $35 million at March 31, 2013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2012, respectively, and $36 million at December 31, 2012. Changes in the fair value of such assets are recorded as “trading account and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gains” in the consolidated statement of income. Included in “other liabilities” in the consolidated balance sheet at each of March 31, 2013 and December 31,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$30 million of liabilities related to deferred compensation plans, compared with $32 million at March 31, 2012. Changes in the balances of such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valuation of allocated investment options to which the liabilities are indexed are recorded in “other costs of operations” in the consolidated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16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10 of 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first quarter of 2013 was $38 million, compared with $49 million in each of the first and fourth quarters of 2012. While the Company has experienced improvement in its credit quality metrics during the past two years, sluggish economic activity, relatively high unemployment rates, generally depressed real estate valuations and higher than normal levels of delinquencies and charge-offs have significantly affected the quality of the Company’s loan portfolios. In particular, the Company’s alternative (“Alt-A”) residential real estate loan portfolio and its residential real estate builder and developer loan portfolio experienced the majority of the credit problems related to the turmoil in the residential real estate market place.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The Company also experienced higher levels of commercial loan and consumer loan charge-offs over the past several years due to, among other things, higher unemployment levels and the recessionary economy.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Net loan charge-offs were $37 million in the recent quarter, compared with $48 million and $44 million during the three-month periods ended March 31, 2012 and December 31, 2012, respectively. Net charge-offs as an annualized percentage of average loans and leases were .23% in the first quarter of 2013, compared with .32% and ..27% in the first and fourth quarters of 2012, respectively. A summary of net charge-offs by loan type follows.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w w:val="86"/>
              </w:rPr>
              <w:t>First Quarter</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w w:val="86"/>
              </w:rPr>
              <w:t>First Quarter</w:t>
            </w:r>
          </w:p>
        </w:tc>
        <w:tc>
          <w:tcPr>
            <w:tcW w:w="900" w:type="dxa"/>
            <w:vAlign w:val="bottom"/>
            <w:gridSpan w:val="2"/>
          </w:tcPr>
          <w:p>
            <w:pPr>
              <w:spacing w:after="0"/>
              <w:rPr>
                <w:sz w:val="20"/>
                <w:szCs w:val="20"/>
                <w:color w:val="auto"/>
              </w:rPr>
            </w:pPr>
            <w:r>
              <w:rPr>
                <w:rFonts w:ascii="Arial" w:cs="Arial" w:eastAsia="Arial" w:hAnsi="Arial"/>
                <w:sz w:val="14"/>
                <w:szCs w:val="14"/>
                <w:color w:val="auto"/>
                <w:w w:val="95"/>
              </w:rPr>
              <w:t>Fourth Quarter</w:t>
            </w:r>
          </w:p>
        </w:tc>
      </w:tr>
      <w:tr>
        <w:trPr>
          <w:trHeight w:val="159"/>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2013</w:t>
            </w:r>
          </w:p>
        </w:tc>
        <w:tc>
          <w:tcPr>
            <w:tcW w:w="1300" w:type="dxa"/>
            <w:vAlign w:val="bottom"/>
            <w:gridSpan w:val="2"/>
          </w:tcPr>
          <w:p>
            <w:pPr>
              <w:jc w:val="right"/>
              <w:ind w:right="137"/>
              <w:spacing w:after="0" w:line="159" w:lineRule="exact"/>
              <w:rPr>
                <w:sz w:val="20"/>
                <w:szCs w:val="20"/>
                <w:color w:val="auto"/>
              </w:rPr>
            </w:pPr>
            <w:r>
              <w:rPr>
                <w:rFonts w:ascii="Arial" w:cs="Arial" w:eastAsia="Arial" w:hAnsi="Arial"/>
                <w:sz w:val="14"/>
                <w:szCs w:val="14"/>
                <w:color w:val="auto"/>
              </w:rPr>
              <w:t>2012</w:t>
            </w:r>
          </w:p>
        </w:tc>
        <w:tc>
          <w:tcPr>
            <w:tcW w:w="600" w:type="dxa"/>
            <w:vAlign w:val="bottom"/>
          </w:tcPr>
          <w:p>
            <w:pPr>
              <w:spacing w:after="0"/>
              <w:rPr>
                <w:sz w:val="13"/>
                <w:szCs w:val="13"/>
                <w:color w:val="auto"/>
              </w:rPr>
            </w:pPr>
          </w:p>
        </w:tc>
        <w:tc>
          <w:tcPr>
            <w:tcW w:w="800" w:type="dxa"/>
            <w:vAlign w:val="bottom"/>
          </w:tcPr>
          <w:p>
            <w:pPr>
              <w:jc w:val="right"/>
              <w:ind w:right="178"/>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leasing, etc.</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8,823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3,721</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10,844</w:t>
            </w:r>
          </w:p>
        </w:tc>
        <w:tc>
          <w:tcPr>
            <w:tcW w:w="800" w:type="dxa"/>
            <w:vAlign w:val="bottom"/>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17,461</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100" w:type="dxa"/>
            <w:vAlign w:val="bottom"/>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0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36,743</w:t>
            </w:r>
          </w:p>
        </w:tc>
        <w:tc>
          <w:tcPr>
            <w:tcW w:w="6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48,284</w:t>
            </w:r>
          </w:p>
        </w:tc>
        <w:tc>
          <w:tcPr>
            <w:tcW w:w="800" w:type="dxa"/>
            <w:vAlign w:val="bottom"/>
          </w:tcPr>
          <w:p>
            <w:pPr>
              <w:jc w:val="right"/>
              <w:spacing w:after="0"/>
              <w:rPr>
                <w:sz w:val="20"/>
                <w:szCs w:val="20"/>
                <w:color w:val="auto"/>
              </w:rPr>
            </w:pPr>
            <w:r>
              <w:rPr>
                <w:rFonts w:ascii="Arial" w:cs="Arial" w:eastAsia="Arial" w:hAnsi="Arial"/>
                <w:sz w:val="18"/>
                <w:szCs w:val="18"/>
                <w:color w:val="auto"/>
              </w:rPr>
              <w:t>44,363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Included in net charge-offs of commercial real estate loans were charge-offs of loans to residential homebuilders and developers of $2 million in the first quarter of 2013, compared with $3 million and $8 million in the quarters ended March 31, 2012 and December 31, 2012, respectively. Reflected in net charge-offs of residential real estate loans were net charge-offs of Alt-A first mortgage loans of $4 million in each of the two most recent quarters, compared with $6 million in the quarter ended March 31, 2012. Included in net charge-offs of consumer loans and leases were net charge-offs during the quarters ended March 31,</w:t>
      </w:r>
    </w:p>
    <w:p>
      <w:pPr>
        <w:spacing w:after="0" w:line="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2013, March 31, 2012 and December 31, 2012, respectively, of: automobile loans of $3 million, $4 million and $4 million; recreational vehicle loans of $4 million, $5 million and $4 million; and home equity loans and lines of credit, including Alt-A second lien loans, of $6 million, $9 million and $8 million. Including both first and second lien mortgages, net charge-offs of Alt-A loans totaled $4 million in each of the two most recent quarters and $7 million in the first quarter of 2012.</w:t>
      </w:r>
    </w:p>
    <w:p>
      <w:pPr>
        <w:spacing w:after="0" w:line="14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$5.3 billion, $7.8 billion and $5.8 billion at March 31, 2013, March 31, 2012 and December 31, 2012, respectively. The portion of the nonaccretable balance related to remaining principal losses as well as life-to-date principal losses charged against the nonaccretable balance as of March 31, 2013 and December 31, 2012 are presented in the accompanying table.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color w:val="auto"/>
                <w:w w:val="87"/>
              </w:rPr>
              <w:t>Nonaccretable balance—principal</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tcPr>
          <w:p>
            <w:pPr>
              <w:jc w:val="right"/>
              <w:ind w:right="940"/>
              <w:spacing w:after="0" w:line="142" w:lineRule="exact"/>
              <w:rPr>
                <w:sz w:val="20"/>
                <w:szCs w:val="20"/>
                <w:color w:val="auto"/>
              </w:rPr>
            </w:pPr>
            <w:r>
              <w:rPr>
                <w:rFonts w:ascii="Arial" w:cs="Arial" w:eastAsia="Arial" w:hAnsi="Arial"/>
                <w:sz w:val="14"/>
                <w:szCs w:val="14"/>
                <w:color w:val="auto"/>
              </w:rPr>
              <w:t>Remaining balance</w:t>
            </w:r>
          </w:p>
        </w:tc>
        <w:tc>
          <w:tcPr>
            <w:tcW w:w="1880" w:type="dxa"/>
            <w:vAlign w:val="bottom"/>
            <w:gridSpan w:val="3"/>
          </w:tcPr>
          <w:p>
            <w:pPr>
              <w:jc w:val="right"/>
              <w:ind w:right="318"/>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r>
      <w:tr>
        <w:trPr>
          <w:trHeight w:val="131"/>
        </w:trPr>
        <w:tc>
          <w:tcPr>
            <w:tcW w:w="4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60" w:type="dxa"/>
            <w:vAlign w:val="bottom"/>
            <w:tcBorders>
              <w:top w:val="single" w:sz="8" w:color="auto"/>
            </w:tcBorders>
            <w:gridSpan w:val="3"/>
          </w:tcPr>
          <w:p>
            <w:pPr>
              <w:ind w:left="60"/>
              <w:spacing w:after="0" w:line="131" w:lineRule="exact"/>
              <w:rPr>
                <w:sz w:val="20"/>
                <w:szCs w:val="20"/>
                <w:color w:val="auto"/>
              </w:rPr>
            </w:pPr>
            <w:r>
              <w:rPr>
                <w:rFonts w:ascii="Arial" w:cs="Arial" w:eastAsia="Arial" w:hAnsi="Arial"/>
                <w:sz w:val="14"/>
                <w:szCs w:val="14"/>
                <w:color w:val="auto"/>
              </w:rPr>
              <w:t>March 31,</w:t>
            </w: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500" w:type="dxa"/>
            <w:vAlign w:val="bottom"/>
          </w:tcPr>
          <w:p>
            <w:pPr>
              <w:spacing w:after="0"/>
              <w:rPr>
                <w:sz w:val="11"/>
                <w:szCs w:val="11"/>
                <w:color w:val="auto"/>
              </w:rPr>
            </w:pPr>
          </w:p>
        </w:tc>
        <w:tc>
          <w:tcPr>
            <w:tcW w:w="112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4"/>
                <w:szCs w:val="14"/>
                <w:color w:val="auto"/>
              </w:rPr>
              <w:t>March 31,</w:t>
            </w: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r>
      <w:tr>
        <w:trPr>
          <w:trHeight w:val="159"/>
        </w:trPr>
        <w:tc>
          <w:tcPr>
            <w:tcW w:w="4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1"/>
              <w:spacing w:after="0" w:line="159" w:lineRule="exact"/>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8"/>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4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80" w:type="dxa"/>
            <w:vAlign w:val="bottom"/>
            <w:gridSpan w:val="4"/>
          </w:tcPr>
          <w:p>
            <w:pPr>
              <w:jc w:val="center"/>
              <w:ind w:right="400"/>
              <w:spacing w:after="0" w:line="142" w:lineRule="exact"/>
              <w:rPr>
                <w:sz w:val="20"/>
                <w:szCs w:val="20"/>
                <w:color w:val="auto"/>
              </w:rPr>
            </w:pPr>
            <w:r>
              <w:rPr>
                <w:rFonts w:ascii="Arial" w:cs="Arial" w:eastAsia="Arial" w:hAnsi="Arial"/>
                <w:sz w:val="14"/>
                <w:szCs w:val="14"/>
                <w:color w:val="auto"/>
                <w:w w:val="87"/>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39,433</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40,198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63,911</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264,824</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285,681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272,810</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262,062</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34,620</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36,471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48,645</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46,842</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Consumer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46,905</w:t>
            </w:r>
          </w:p>
        </w:tc>
        <w:tc>
          <w:tcPr>
            <w:tcW w:w="4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50,856</w:t>
            </w:r>
          </w:p>
        </w:tc>
        <w:tc>
          <w:tcPr>
            <w:tcW w:w="640" w:type="dxa"/>
            <w:vAlign w:val="bottom"/>
          </w:tcPr>
          <w:p>
            <w:pPr>
              <w:jc w:val="right"/>
              <w:spacing w:after="0"/>
              <w:rPr>
                <w:sz w:val="20"/>
                <w:szCs w:val="20"/>
                <w:color w:val="auto"/>
              </w:rPr>
            </w:pPr>
            <w:r>
              <w:rPr>
                <w:rFonts w:ascii="Arial" w:cs="Arial" w:eastAsia="Arial" w:hAnsi="Arial"/>
                <w:sz w:val="18"/>
                <w:szCs w:val="18"/>
                <w:color w:val="auto"/>
              </w:rPr>
              <w:t>67,077</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63,132</w:t>
            </w:r>
          </w:p>
        </w:tc>
        <w:tc>
          <w:tcPr>
            <w:tcW w:w="100" w:type="dxa"/>
            <w:vAlign w:val="bottom"/>
          </w:tcPr>
          <w:p>
            <w:pPr>
              <w:spacing w:after="0"/>
              <w:rPr>
                <w:sz w:val="18"/>
                <w:szCs w:val="18"/>
                <w:color w:val="auto"/>
              </w:rPr>
            </w:pPr>
          </w:p>
        </w:tc>
      </w:tr>
      <w:tr>
        <w:trPr>
          <w:trHeight w:val="27"/>
        </w:trPr>
        <w:tc>
          <w:tcPr>
            <w:tcW w:w="4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385,782</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413,206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452,443</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435,226</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Nonaccrual loans totaled $1.05 billion or 1.60% of total loans and leases outstanding at March 31, 2013, compared with $1.07 billion or 1.75% a year earlier and $1.01 billion or 1.52% at December 31, 2012. The increase in nonaccrual loans from December 31, 2012 to March 31, 2013 was partially attributable to the Company’s ability to now identify home equity loans and lines of credit as nonaccrual when those loans are less than ninety days past due but the related senior lien loan that is not owned by the Company is more than ninety days past due. That change in method did not have a significant impact on the Company’s provision or allowance for credit losses.</w:t>
      </w:r>
    </w:p>
    <w:p>
      <w:pPr>
        <w:spacing w:after="0" w:line="14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Accruing loans past due 90 days or more (excluding acquired loans) were $331 million or .50% of total loans and leases at March 31, 2013, compared with $273 million or .45% at March 31, 2012 and $358 million or .54% at December 31, 2012. Those loans included loans guaranteed by government-related entities of $312 million, $253 million and $316 million at March 31, 2013, March 31, 2012 and December 31, 2012, respectively.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fully guaranteed by government-related entities totaled $284 million, $241 million and $294 million at March 31, 2013, March 31, 2012 and December 31, 2012, respectively.</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$425 million at March 31, 2013, or less than 1% of total loans. Of that amount, $395 million related to the Wilmington Trust acquisition. Purchased impaired loans totaled $605 million and $447 million at March 31 and December 31, 2012, respectively.</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Such loans totaled $157 million at March 31, 2013, compared with $165 million at March 31, 2012 and $167 million at December 31, 2012.</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$190 million, $156 million and $167 million at March 31, 2013, March 31, 2012 and December 31, 2012, respectively.</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Nonaccrual commercial loans and leases aggregated $204 million at March 31, 2013, $155 million at March 31, 2012 and $152 million at December 31, 2012. The increase in commercial loans classified as nonaccrual was the result of the recent quarter addition of one relationship with a motor vehicle-related wholesaler with outstanding balances of $59 million. Commercial real estate loans classified as nonaccrual totaled $393 million at March 31, 2013, $542 million at March 31, 2012 and $412 million at December 31, 2012. Reflected in such nonaccrual loans were loans to residential homebuilders and developers aggregating $167 million and $267 million at March 31, 2013 and 2012, respectively, and $182 million at December 31, 2012. Information about the location of nonaccrual and charged-off loans to residential real estate builders and developers as of and for the three-month period ended March 31, 2013 is presented in the accompanying table.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color w:val="auto"/>
                <w:w w:val="84"/>
              </w:rPr>
              <w:t>Quarter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ind w:right="1340"/>
              <w:spacing w:after="0" w:line="159" w:lineRule="exact"/>
              <w:rPr>
                <w:sz w:val="20"/>
                <w:szCs w:val="20"/>
                <w:color w:val="auto"/>
              </w:rPr>
            </w:pPr>
            <w:r>
              <w:rPr>
                <w:rFonts w:ascii="Arial" w:cs="Arial" w:eastAsia="Arial" w:hAnsi="Arial"/>
                <w:sz w:val="14"/>
                <w:szCs w:val="14"/>
                <w:color w:val="auto"/>
                <w:w w:val="96"/>
              </w:rPr>
              <w:t>March 31, 2013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8"/>
              </w:rPr>
              <w:t>March 31, 2013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ind w:right="2"/>
              <w:spacing w:after="0" w:line="131"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860"/>
              <w:spacing w:after="0" w:line="159" w:lineRule="exact"/>
              <w:rPr>
                <w:sz w:val="20"/>
                <w:szCs w:val="20"/>
                <w:color w:val="auto"/>
              </w:rPr>
            </w:pPr>
            <w:r>
              <w:rPr>
                <w:rFonts w:ascii="Arial" w:cs="Arial" w:eastAsia="Arial" w:hAnsi="Arial"/>
                <w:sz w:val="14"/>
                <w:szCs w:val="14"/>
                <w:color w:val="auto"/>
              </w:rPr>
              <w:t>Nonaccrual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6"/>
              </w:rPr>
              <w:t>(recoveries)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Percent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outstanding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4"/>
              </w:rPr>
              <w:t>balances(a)</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8"/>
              <w:spacing w:after="0" w:line="159" w:lineRule="exact"/>
              <w:rPr>
                <w:sz w:val="20"/>
                <w:szCs w:val="20"/>
                <w:color w:val="auto"/>
              </w:rPr>
            </w:pPr>
            <w:r>
              <w:rPr>
                <w:rFonts w:ascii="Arial" w:cs="Arial" w:eastAsia="Arial" w:hAnsi="Arial"/>
                <w:sz w:val="14"/>
                <w:szCs w:val="14"/>
                <w:color w:val="auto"/>
                <w:w w:val="79"/>
              </w:rPr>
              <w:t>Balances</w:t>
            </w:r>
          </w:p>
        </w:tc>
        <w:tc>
          <w:tcPr>
            <w:tcW w:w="400" w:type="dxa"/>
            <w:vAlign w:val="bottom"/>
          </w:tcPr>
          <w:p>
            <w:pPr>
              <w:spacing w:after="0"/>
              <w:rPr>
                <w:sz w:val="13"/>
                <w:szCs w:val="13"/>
                <w:color w:val="auto"/>
              </w:rPr>
            </w:pPr>
          </w:p>
        </w:tc>
        <w:tc>
          <w:tcPr>
            <w:tcW w:w="9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2"/>
              </w:rPr>
              <w:t>balances</w:t>
            </w:r>
          </w:p>
        </w:tc>
        <w:tc>
          <w:tcPr>
            <w:tcW w:w="18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w w:val="86"/>
              </w:rPr>
              <w:t>(dollars in thousands)</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Pennsylvania</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195,860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58,820</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30.03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92,177</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1,515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200,821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7,302</w:t>
            </w: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(164)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1,201,471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168,899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1,627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$35 million of loans not secured by real estate, of which approximately $2 million are in nonaccrual status.</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Residential real estate loans classified as nonaccrual were $341 million at March 31, 2013, compared with $277 million at March 31, 2012 and $345 million at December 31, 2012. The increase in residential real estate loans classified as nonaccrual from March 31, 2012 to the two most recent quarter-ends was predominantly related to the addition of $64 million of loans to one customer that are secured by residential real estate. Depressed real estate values and high levels of delinquencies have contributed to the higher than historical levels of residential real estate loans classified as nonaccrual. Included in residential real estate loans classified as nonaccrual were Alt-A loans of $88 million, $102 million and $96 million at March 31, 2013, March 31, 2012 and December 31, 2012,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Residential real estate loans past due 90 days or more and accruing interest (excluding acquired loans) totaled $309 million at March 31, 2013, compared with $249 million a year earlier and $313 million at December 31, 2012. A substantial portion of such amounts related to guaranteed loans repurchased from government-related entities. Information about the location of nonaccrual and charged-off residential real estate loans as of and for the quarter ended March 31, 2013 is presented in the accompanying table.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Nonaccrual consumer loans and leases aggregated $114 million at March 31, 2013, compared with $91 million at March 31, 2012 and $104 million at December 31, 2012. The increases in such nonaccrual loans at the recent quarter-end as compared with March 31 and December 31, 2012 were largely the result of the previously noted change in the method of identifying nonaccrual home equity loans and lines of credit to reflect the repayment performance of the related senior lien loan that is not owned by the Company. Included in nonaccrual consumer loans and leases at March 31, 2013, March 31, 2012 and December 31, 2012 were automobile loans of $20 million, $23 million and $25 million, respectively; recreational vehicle loans of $11 million, $11 million and $10 million, respectively; and outstanding balances of home equity loans and lines of credit, including junior lien Alt-A loans, of $72 million, $48 million and $58 million, respectively. Information about the location of nonaccrual and charged-off home equity loans and lines of credit as of and for the quarter-ended March 31, 2013 is presented in the accompanying table.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86"/>
              </w:rPr>
              <w:t>Quarter ended</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4"/>
          </w:tcPr>
          <w:p>
            <w:pPr>
              <w:jc w:val="right"/>
              <w:ind w:right="420"/>
              <w:spacing w:after="0" w:line="159" w:lineRule="exact"/>
              <w:rPr>
                <w:sz w:val="20"/>
                <w:szCs w:val="20"/>
                <w:color w:val="auto"/>
              </w:rPr>
            </w:pPr>
            <w:r>
              <w:rPr>
                <w:rFonts w:ascii="Arial" w:cs="Arial" w:eastAsia="Arial" w:hAnsi="Arial"/>
                <w:sz w:val="14"/>
                <w:szCs w:val="14"/>
                <w:color w:val="auto"/>
                <w:w w:val="94"/>
              </w:rPr>
              <w:t>March 31, 2013</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360"/>
              <w:spacing w:after="0" w:line="159" w:lineRule="exact"/>
              <w:rPr>
                <w:sz w:val="20"/>
                <w:szCs w:val="20"/>
                <w:color w:val="auto"/>
              </w:rPr>
            </w:pPr>
            <w:r>
              <w:rPr>
                <w:rFonts w:ascii="Arial" w:cs="Arial" w:eastAsia="Arial" w:hAnsi="Arial"/>
                <w:sz w:val="14"/>
                <w:szCs w:val="14"/>
                <w:color w:val="auto"/>
                <w:w w:val="88"/>
              </w:rPr>
              <w:t>March 31, 2013</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4"/>
                <w:szCs w:val="14"/>
                <w:color w:val="auto"/>
                <w:w w:val="87"/>
              </w:rPr>
              <w:t>Net charge-offs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860"/>
              <w:spacing w:after="0" w:line="159" w:lineRule="exact"/>
              <w:rPr>
                <w:sz w:val="20"/>
                <w:szCs w:val="20"/>
                <w:color w:val="auto"/>
              </w:rPr>
            </w:pPr>
            <w:r>
              <w:rPr>
                <w:rFonts w:ascii="Arial" w:cs="Arial" w:eastAsia="Arial" w:hAnsi="Arial"/>
                <w:sz w:val="14"/>
                <w:szCs w:val="14"/>
                <w:color w:val="auto"/>
              </w:rPr>
              <w:t>Nonaccrual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340"/>
              <w:spacing w:after="0" w:line="159" w:lineRule="exact"/>
              <w:rPr>
                <w:sz w:val="20"/>
                <w:szCs w:val="20"/>
                <w:color w:val="auto"/>
              </w:rPr>
            </w:pPr>
            <w:r>
              <w:rPr>
                <w:rFonts w:ascii="Arial" w:cs="Arial" w:eastAsia="Arial" w:hAnsi="Arial"/>
                <w:sz w:val="14"/>
                <w:szCs w:val="14"/>
                <w:color w:val="auto"/>
                <w:w w:val="86"/>
              </w:rPr>
              <w:t>(recoveries)</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Annualized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percent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Percent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outstanding</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2"/>
              </w:rPr>
              <w:t>balances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83"/>
              </w:rPr>
              <w:t>Balances</w:t>
            </w:r>
          </w:p>
        </w:tc>
        <w:tc>
          <w:tcPr>
            <w:tcW w:w="9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3"/>
                <w:szCs w:val="13"/>
                <w:color w:val="auto"/>
              </w:rPr>
            </w:pPr>
          </w:p>
        </w:tc>
        <w:tc>
          <w:tcPr>
            <w:tcW w:w="94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w w:val="86"/>
              </w:rPr>
              <w:t>Balances</w:t>
            </w:r>
          </w:p>
        </w:tc>
        <w:tc>
          <w:tcPr>
            <w:tcW w:w="9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2"/>
              </w:rPr>
              <w:t>balances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color w:val="auto"/>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4,208,793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68,556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446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1,428,302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2,401,203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37,381</w:t>
            </w: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(1,133)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2,589,928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127,768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10,628,226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250,851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391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37,769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1,948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68,656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17,861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953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83,309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14,633</w:t>
            </w:r>
          </w:p>
        </w:tc>
        <w:tc>
          <w:tcPr>
            <w:tcW w:w="640" w:type="dxa"/>
            <w:vAlign w:val="bottom"/>
          </w:tcPr>
          <w:p>
            <w:pPr>
              <w:jc w:val="right"/>
              <w:spacing w:after="0"/>
              <w:rPr>
                <w:sz w:val="20"/>
                <w:szCs w:val="20"/>
                <w:color w:val="auto"/>
              </w:rPr>
            </w:pPr>
            <w:r>
              <w:rPr>
                <w:rFonts w:ascii="Arial" w:cs="Arial" w:eastAsia="Arial" w:hAnsi="Arial"/>
                <w:sz w:val="18"/>
                <w:szCs w:val="18"/>
                <w:color w:val="auto"/>
              </w:rPr>
              <w:t>17.56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409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262,993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53,042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2,330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428,582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88,303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3,741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1,658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14,911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1,086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569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17,732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800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86,103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539</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196,351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4,107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942,765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4,116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245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564,612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2,298</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236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2,184,662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11,607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744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38,521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3,308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133,397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1,400</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230,076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6,044</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1,411,449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35,052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2,125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557,630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1,516,926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7,700</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1,334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3,578,181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49,177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3,855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vMerge w:val="restart"/>
          </w:tcPr>
          <w:p>
            <w:pPr>
              <w:jc w:val="right"/>
              <w:ind w:right="152"/>
              <w:spacing w:after="0"/>
              <w:rPr>
                <w:sz w:val="20"/>
                <w:szCs w:val="20"/>
                <w:color w:val="auto"/>
              </w:rPr>
            </w:pPr>
            <w:r>
              <w:rPr>
                <w:rFonts w:ascii="Arial" w:cs="Arial" w:eastAsia="Arial" w:hAnsi="Arial"/>
                <w:sz w:val="18"/>
                <w:szCs w:val="18"/>
                <w:color w:val="auto"/>
              </w:rPr>
              <w:t>- 67 -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Real estate and other foreclosed assets totaled $96 million and $140 million at March 31, 2013 and March 31, 2012, and $104 million at December 31, 2012. At March 31, 2013, the Company’s holding of residential real estate-related properties comprised 58% of foreclosed assets.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32" w:lineRule="exact"/>
        <w:rPr>
          <w:sz w:val="20"/>
          <w:szCs w:val="20"/>
          <w:color w:val="auto"/>
        </w:rPr>
      </w:pPr>
    </w:p>
    <w:p>
      <w:pPr>
        <w:ind w:right="4280"/>
        <w:spacing w:after="0" w:line="268"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ind w:right="474"/>
              <w:spacing w:after="0"/>
              <w:rPr>
                <w:sz w:val="20"/>
                <w:szCs w:val="20"/>
                <w:color w:val="auto"/>
              </w:rPr>
            </w:pPr>
            <w:r>
              <w:rPr>
                <w:rFonts w:ascii="Arial" w:cs="Arial" w:eastAsia="Arial" w:hAnsi="Arial"/>
                <w:sz w:val="14"/>
                <w:szCs w:val="14"/>
                <w:color w:val="auto"/>
              </w:rPr>
              <w:t>2012 Quarters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First Quarter</w:t>
            </w:r>
          </w:p>
        </w:tc>
        <w:tc>
          <w:tcPr>
            <w:tcW w:w="400" w:type="dxa"/>
            <w:vAlign w:val="bottom"/>
          </w:tcPr>
          <w:p>
            <w:pPr>
              <w:spacing w:after="0"/>
              <w:rPr>
                <w:sz w:val="13"/>
                <w:szCs w:val="13"/>
                <w:color w:val="auto"/>
              </w:rPr>
            </w:pPr>
          </w:p>
        </w:tc>
        <w:tc>
          <w:tcPr>
            <w:tcW w:w="11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Fourth</w:t>
            </w:r>
          </w:p>
        </w:tc>
        <w:tc>
          <w:tcPr>
            <w:tcW w:w="116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Third</w:t>
            </w:r>
          </w:p>
        </w:tc>
        <w:tc>
          <w:tcPr>
            <w:tcW w:w="740" w:type="dxa"/>
            <w:vAlign w:val="bottom"/>
          </w:tcPr>
          <w:p>
            <w:pPr>
              <w:jc w:val="right"/>
              <w:ind w:right="74"/>
              <w:spacing w:after="0" w:line="159" w:lineRule="exact"/>
              <w:rPr>
                <w:sz w:val="20"/>
                <w:szCs w:val="20"/>
                <w:color w:val="auto"/>
              </w:rPr>
            </w:pPr>
            <w:r>
              <w:rPr>
                <w:rFonts w:ascii="Arial" w:cs="Arial" w:eastAsia="Arial" w:hAnsi="Arial"/>
                <w:sz w:val="14"/>
                <w:szCs w:val="14"/>
                <w:color w:val="auto"/>
              </w:rPr>
              <w:t>Second</w:t>
            </w:r>
          </w:p>
        </w:tc>
        <w:tc>
          <w:tcPr>
            <w:tcW w:w="4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Nonaccrual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1,052,794</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1,013,176</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925,231</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968,328</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1,065,229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95,680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104,279</w:t>
            </w:r>
          </w:p>
        </w:tc>
        <w:tc>
          <w:tcPr>
            <w:tcW w:w="3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112,160</w:t>
            </w:r>
          </w:p>
        </w:tc>
        <w:tc>
          <w:tcPr>
            <w:tcW w:w="740" w:type="dxa"/>
            <w:vAlign w:val="bottom"/>
          </w:tcPr>
          <w:p>
            <w:pPr>
              <w:jc w:val="right"/>
              <w:spacing w:after="0"/>
              <w:rPr>
                <w:sz w:val="20"/>
                <w:szCs w:val="20"/>
                <w:color w:val="auto"/>
              </w:rPr>
            </w:pPr>
            <w:r>
              <w:rPr>
                <w:rFonts w:ascii="Arial" w:cs="Arial" w:eastAsia="Arial" w:hAnsi="Arial"/>
                <w:sz w:val="18"/>
                <w:szCs w:val="18"/>
                <w:color w:val="auto"/>
              </w:rPr>
              <w:t>115,580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140,297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1,148,474</w:t>
            </w: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1,117,455</w:t>
            </w:r>
          </w:p>
        </w:tc>
        <w:tc>
          <w:tcPr>
            <w:tcW w:w="3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1,037,391</w:t>
            </w: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1,083,908</w:t>
            </w: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1,205,526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331,283</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358,397</w:t>
            </w:r>
          </w:p>
        </w:tc>
        <w:tc>
          <w:tcPr>
            <w:tcW w:w="760" w:type="dxa"/>
            <w:vAlign w:val="bottom"/>
          </w:tcPr>
          <w:p>
            <w:pPr>
              <w:jc w:val="right"/>
              <w:spacing w:after="0"/>
              <w:rPr>
                <w:sz w:val="20"/>
                <w:szCs w:val="20"/>
                <w:color w:val="auto"/>
              </w:rPr>
            </w:pPr>
            <w:r>
              <w:rPr>
                <w:rFonts w:ascii="Arial" w:cs="Arial" w:eastAsia="Arial" w:hAnsi="Arial"/>
                <w:sz w:val="18"/>
                <w:szCs w:val="18"/>
                <w:color w:val="auto"/>
              </w:rPr>
              <w:t>309,420</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274,598</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273,081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63,385</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57,420</w:t>
            </w:r>
          </w:p>
        </w:tc>
        <w:tc>
          <w:tcPr>
            <w:tcW w:w="760" w:type="dxa"/>
            <w:vAlign w:val="bottom"/>
          </w:tcPr>
          <w:p>
            <w:pPr>
              <w:jc w:val="right"/>
              <w:spacing w:after="0"/>
              <w:rPr>
                <w:sz w:val="20"/>
                <w:szCs w:val="20"/>
                <w:color w:val="auto"/>
              </w:rPr>
            </w:pPr>
            <w:r>
              <w:rPr>
                <w:rFonts w:ascii="Arial" w:cs="Arial" w:eastAsia="Arial" w:hAnsi="Arial"/>
                <w:sz w:val="18"/>
                <w:szCs w:val="18"/>
                <w:color w:val="auto"/>
              </w:rPr>
              <w:t>54,583</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48,712</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311,579</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316,403</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280,410</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255,495</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272,285</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271,971</w:t>
            </w:r>
          </w:p>
        </w:tc>
        <w:tc>
          <w:tcPr>
            <w:tcW w:w="760" w:type="dxa"/>
            <w:vAlign w:val="bottom"/>
          </w:tcPr>
          <w:p>
            <w:pPr>
              <w:jc w:val="right"/>
              <w:spacing w:after="0"/>
              <w:rPr>
                <w:sz w:val="20"/>
                <w:szCs w:val="20"/>
                <w:color w:val="auto"/>
              </w:rPr>
            </w:pPr>
            <w:r>
              <w:rPr>
                <w:rFonts w:ascii="Arial" w:cs="Arial" w:eastAsia="Arial" w:hAnsi="Arial"/>
                <w:sz w:val="18"/>
                <w:szCs w:val="18"/>
                <w:color w:val="auto"/>
              </w:rPr>
              <w:t>266,526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267,111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213,024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157,068</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166,554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161,424</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165,163</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customer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790,048</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828,571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978,731</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1,037,458</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1,158,829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425,232</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447,114</w:t>
            </w:r>
          </w:p>
        </w:tc>
        <w:tc>
          <w:tcPr>
            <w:tcW w:w="760" w:type="dxa"/>
            <w:vAlign w:val="bottom"/>
          </w:tcPr>
          <w:p>
            <w:pPr>
              <w:jc w:val="right"/>
              <w:spacing w:after="0"/>
              <w:rPr>
                <w:sz w:val="20"/>
                <w:szCs w:val="20"/>
                <w:color w:val="auto"/>
              </w:rPr>
            </w:pPr>
            <w:r>
              <w:rPr>
                <w:rFonts w:ascii="Arial" w:cs="Arial" w:eastAsia="Arial" w:hAnsi="Arial"/>
                <w:sz w:val="18"/>
                <w:szCs w:val="18"/>
                <w:color w:val="auto"/>
              </w:rPr>
              <w:t>528,001</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560,700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604,779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08"/>
        </w:trPr>
        <w:tc>
          <w:tcPr>
            <w:tcW w:w="5820" w:type="dxa"/>
            <w:vAlign w:val="bottom"/>
          </w:tcPr>
          <w:p>
            <w:pPr>
              <w:spacing w:after="0"/>
              <w:rPr>
                <w:sz w:val="20"/>
                <w:szCs w:val="20"/>
                <w:color w:val="auto"/>
              </w:rPr>
            </w:pPr>
            <w:r>
              <w:rPr>
                <w:rFonts w:ascii="Arial" w:cs="Arial" w:eastAsia="Arial" w:hAnsi="Arial"/>
                <w:sz w:val="18"/>
                <w:szCs w:val="18"/>
                <w:color w:val="auto"/>
                <w:w w:val="95"/>
              </w:rPr>
              <w:t>Nonperforming assets to total net loans and leases and real estate and other</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820" w:type="dxa"/>
            <w:vAlign w:val="bottom"/>
          </w:tcPr>
          <w:p>
            <w:pPr>
              <w:ind w:left="220"/>
              <w:spacing w:after="0"/>
              <w:rPr>
                <w:sz w:val="20"/>
                <w:szCs w:val="20"/>
                <w:color w:val="auto"/>
              </w:rPr>
            </w:pPr>
            <w:r>
              <w:rPr>
                <w:rFonts w:ascii="Arial" w:cs="Arial" w:eastAsia="Arial" w:hAnsi="Arial"/>
                <w:sz w:val="18"/>
                <w:szCs w:val="18"/>
                <w:color w:val="auto"/>
              </w:rPr>
              <w:t>foreclosed assets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Accruing loans past due 90 days or more (a) to total loans and leases, net of</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2" w:lineRule="exact"/>
        <w:rPr>
          <w:rFonts w:ascii="Arial" w:cs="Arial" w:eastAsia="Arial" w:hAnsi="Arial"/>
          <w:sz w:val="16"/>
          <w:szCs w:val="16"/>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Management cautiously and conservatively evaluated the allowance for credit losses as of March 31, 2013 in light of: (i) residential real estate values and the level of delinquencies of residential real estate loans;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While there has been general improvement in economic conditions, concerns continue to exist about the strength of such improvement in both national and international markets; the level and volatility of energy prices; the slowly strengthening but still depressed housing market; the troubled state of financial and credit markets; Federal Reserve positioning of monetary policy; high levels of unemployment;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regions of upstate New York and central Pennsylvania. Approximately 60% of the Company’s loans are to customers in New York State and Pennsylvania. Home prices in upstate New York and central Pennsylvania were relatively stable in recent years, in contrast to declines in values in many other regions of the country. Therefore, despite the conditions, as previously described, the most severe credit issues experienced by the Company during the recent financial downturn have been centered around residential real estate, including loans to builders and developers of residential real estate, in areas other than New York State and Pennsylvania.</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Reflecting more stable economic conditions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regions served by the Company, criticized commercial loans and commercial real estate loans were $2.3 billion at March 31, 2013, compared with $2.8 billion at March 31, 2012 and $2.4 billion at December 31, 2012.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expected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March 31, 2013, approximately 39% of the Company’s home equity portfolio consisted of first lien loans. Of the remaining junior lien loans in the portfolio, approximately 83% (or approximately 52% of the aggregate home equity portfolio) consisted of junior lien loans that were behind a first lien mortgage loan that was not owned or serviced by the Company. That determination that the Company is in a junior lien position was largely based on information available to the Company at the time it originated the junior lien loan. The Company is continuing its efforts to obtain reliable updated information as to whether the related senior lien loans not owned by the Company are still outstanding. To the extent known by the Company, if the senior lien loan would be on nonaccrual status because of payment delinquency, even if such senior lien loan was not owned by the Company, the junior lien loan or line that is owned by the Company is placed on nonaccrual status. At March 31, 2013, the balance of junior lien loans and lines that were in nonaccrual status solely as a result of first lien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loan performance was $24 million, compared with $7 million at December 31, 2012 when such determination was based only on the status of related senior lien loans that were owned or serviced by the Company.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precise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March 31, 2013, approximately 96% of all outstanding balances of home equity lines of credit related to lines that were still in the draw period, the weighted-average remaining draw periods were approximately five years, and approximately 23% were making contractually allowed payments that do not include repayment of principal.</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61% of the Company’s home equity portfolio consists of junior lien loans and lines of credit. The Company generally evaluates residential real estate loans and home equity loans and lines of credit that are more than 150 days past due for collectibility on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loan-by-loan basis and the excess of the loan balance over the net realizable value of the property collateralizing the loan is charged-off at that time. Except for consumer loans and leases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Management believes that the allowance for credit losses at March 31, 2013 appropriately reflected credit losses inherent in the portfolio as of that date. The allowance for credit losses was $927 million, or 1.41% of total loans and leases at March 31, 2013, compared with $909 million or 1.49% at March 31, 2012 and $926 million or 1.39% at December 31, 2012. The ratio of the allowance to total loans and leases at each respective date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decline in the ratio of the allowance to total loans and leases from March 31, 2012 to the two most recent quarter-ends largely reflects the impact of improvement in the levels of criticized loans.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for credit losses to nonaccrual loans was 88% at March 31, 2013, compared with 85% a year earlier and 91% at December 31, 2012.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Other income totaled $433 million in the first quarter of 2013, compared with $377 million in the corresponding 2012 quarter and $453 million in the final quarter of 2012. Contributing to the rise in such income in the recent quarter as compared with the first quarter of 2012 was a $37 million increase in mortgage banking revenues and higher trust income. As compared with the fourth quarter of 2012, the leading factor for the decline in other income was a lower level of mortgage banking revenues.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Mortgage banking revenues totaled $93 million in the recent quarter, up from $56 million in the year-earlier quarter, but down from $117 million in the fourth quarter of 2012.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$76 million in the initial 2013 quarter, compared with $38 million in the year-earlier quarter and $96 million in the fourth quarter of 2012. The significant increase in residential mortgage banking revenues from the first quarter of 2012 to the recent quarter was due to increased volumes of loans originated for sale and wider margins related to such loans. Those higher volumes reflect increased refinancing activity by consumers in light of the low interest rate environment and include the impact of the Company’s involvement in the U.S. government’s Home Affordable Refinance Program (“HARP 2.0”), which allows homeowners to refinance their Fannie Mae or Freddie Mac mortgages when the value of their home has fallen such that they have little or no equity. The HARP 2.0 program was set to expire December 31, 2013, but was recently extended and will now be available to borrowers through December 31, 2015. As compared with the final quarter of 2012, the recent quarter’s decline in residential mortgage banking revenues reflects lower volumes of loans originated for sale and narrower margins related to such loans.</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New commitments to originate residential mortgage loans to be sold were approximately $1.9 billion in the recent quarter, compared with $439 million in the initial quarter of 2012 and $2.0 billion in the fourth quarter of 2012. Included in those commitments to originate residential mortgage loans to be sold were HARP 2.0 commitments of $480 million, $172 million and $567 million during the quarters ended March 31, 2013, March 31, 2012 and December 31, 2012, respectively. During the initial 2012 quarter, the Company was originating the majority of residential real estate loans to be held in its loan portfolio.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$50 million in the first quarter of 2013, compared with gains of $10 million and $70 million in the first and fourth quarters of 2012, respectively.</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purchasers and estimates of losses that may be associated with previously sold loans. Residential mortgage banking revenues during the three-month period ended March 31, 2013 were reduced by approximately $5 million, compared with similar reductions of $4 million during each of the three-month periods ended March 31 and December 31, 2012, related to the actual or anticipated settlement of repurchase obligations.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From July 2011 through August 2012, the Company originated the majority of residential real estate loans to be held in its loan portfolio, rather than selling such loans. The loans conform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The decision to retain for portfolio the majority of such loans originated rather than selling them resulted in a reduction of residential mortgage banking revenues of approximately $21 million during the three-month period ended March 31, 2012. Due to the significant growth in the Company’s residential real estate loan portfolio, beginning in September 2012 the majority of the Company’s commitments are to originate residential real estate loans for sale to third parties.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Loans held for sale that are secured by residential real estate totaled $1.1 billion and $186 million at March 31, 2013 and 2012, respectively, and $1.2</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billion at December 31, 2012. Commitments to sell residential mortgage loans and commitments to originate residential mortgage loans for sale at pre-determined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rates were $2.0 billion and $1.3 billion, respectively, at March 31, 2013, compared with $372 million and $295 million at March 31, 2012, and $2.3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 billion, respectively, at December 31, 2012. Net unrealized gains on residential mortgage loans held for sale, commitments to sell loans, and commitments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originate loans for sale were $57 million and $13 million at March 31, 2013 and March 31, 2012, respectively, and $83 million at December 31, 2012.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net unrealized gains and losses are recorded in mortgage banking revenues and resulted in a net decrease in revenue of $26 million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compared with net increases in revenue of $7 million in the first quarter of 2012 and $12 million in the final 2012 quarter.</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Revenues from servicing residential mortgage loans for others were $24 million in each of the two most recent quarters, compared with $27 million during the quarter ended March 31, 2012. Included in such servicing revenues were amounts related to purchased servicing rights associated with small balance commercial mortgage loans, totaling $4 million in the first quarter of 2013 and $5 million in each of the initial 2012 quarter and the fourth quarter of 2012. Residential mortgage loans serviced for others were $35.8 billion at March 31, 2013, $39.4 billion at March 31, 2012 and $35.9 billion at December 31, 2012, including the small balance commercial mortgage loans noted above of approximately $3.7 billion at March 31, 2013, $4.3 billion at March 31, 2012 and $3.8 billion at December 31, 2012. Reflected in residential mortgage loans serviced for others were loans sub-serviced for others of $11.9 billion, $13.9 billion and $12.5 billion at March 31, 2013, March 31, 2012 and December 31, 2012, respectively. Capitalized residential mortgage loan servicing assets, net of any applicable valuation allowance for possible impairment, totaled $111 million at March 31, 2013, compared with $135 million at March 31, 2012 and $108 million at December 31, 2012. The valuation allowance for possible impairment of capitalized residential mortgage servicing assets totaled $4 million at March 31, 2013, $1 million at March 31, 2012 and $5 million at December 31, 2012. Included in capitalized residential mortgage servicing assets were purchased servicing rights associated with the small balance commercial mortgage loans noted above of $7 million, $14 million, and $8 million at March 31, 2013, March 31, 2012 and December 31, 2012 respectively. At March 31, 2013, March 31, 2012 and December 31, 2012 capitalized servicing rights included $2 million, $4</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million and $2 million, respectively, of servicing rights for $2.6 billion, $3.0 billion and $2.7 billion, respectively, of loans that were purchased from affiliates of Bayview Lending Group LLC (“BLG”). In addition, reflected in residential mortgage loans sub-serviced for others were loans sub-serviced for BLG-affiliated companies of $10.9 billion, $12.8 billion, $11.4 billion at March 31, 2013, March 31, 2012 and December 31, 2012, respectively. Additional information about the Company’s relationship with BLG and its affiliates is provided in note 15 of Notes to Financial Statements.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Commercial mortgage banking revenues totaled $17 million in the recent quarter, compared with $18 million in the first quarter of 2012 and $21 million in the final 2012 quarter. Included in such amounts were revenues from loan origination and sales activities of $10 million and $12 million in the quarters ended March 31, 2013 and 2012, respectively, and $14 million in the final quarter of 2012. Commercial mortgage loan servicing revenues were $7 million in each of the two most recent quarters and $6 million in the initial quarter of 2012. Capitalized commercial mortgage servicing assets totaled $63 million at March 31, 2013, compared with $53 million and $60 million at March 31, 2012 and December 31, 2012, respectively. Commercial mortgage loans serviced for other investors totaled $10.9 billion, $9.6 billion and $10.6 billion at March 31, 2013, March 31, 2012 and December 31, 2012, respectively, and included $2.1 billion, $1.9 billion and $2.0 billion, respectively, of loan balances for which investors had recourse to the Company if such balances are ultimately uncollectible. Commitments to sell commercial mortgage loans and commitments to originate commercial mortgage loans for sale were $185 million and $106 million, respectively, at March 31, 2013, $231 million and $190 million, respectively, at March 31, 2012 and $340 million and $140 million, respectively, at December 31, 2012. Commercial mortgage loans held for sale at March 31, 2013, March 31, 2012 and December 31, 2012 were $79 million, $40 million, and $200 million, respectively.</w:t>
      </w:r>
    </w:p>
    <w:p>
      <w:pPr>
        <w:spacing w:after="0" w:line="339"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Service charges on deposit accounts aggregated $111 million in the initial quarter of 2013, compared with $109 million in the year-earlier quarter and $112 million in the fourth quarter of 2012. Trust income includes fees for trust and custody services provided to personal, corporate and institutional customers, and investment management and advisory fees that are often based on a percentage of the market value of assets under management. Trust income aggregated $122 million in the recent quarter, compared with $117 million in each of the first and fourth quarters of 2012. Reflected in trust income are fees related to two significant businesses. The Institutional Client Services (“ICS”) business, with $61 million of revenues,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ICS clients are multinational corporations and institutions. The Wealth Advisory Services (“WAS”) business, with $49 million of revenues, helps high net worth clients grow their wealth, protect it, and transfer it to their heirs. A comprehensive array of wealth management services are offered, including asset management, fiduciary services and family office services. Prior to 2013, certain other trust operations of the Company were not combined with the respective ICS and WAS activities. Revenues for ICS, WAS and those other trust revenues were $49 million, $35 million and $33 million, respectively, in the first quarter of 2012 and $47 million, $40 million, and $30 million, respectively, in the fourth quarter of 2012. Adversely impacting trust income for the three-month periods ended March 31, 2013, March 31, 2012 and December 31, 2012 were $18 million, $11 million and $15 million, respectively, of fee waivers by the Company in order to provide for proprietary money-market mutual funds to pay customers a yield on their investments in such funds. Total trust assets, which include assets under management and assets under administration, aggregated $263.5 billion at March 31, 2013, compared with $273.0 billion and $255.9 billion at March 31, 2012 and December 31, 2012, respectively. Trust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assets under management were $63.3 billion, $55.3 billion and $61.5 billion at March 31, 2013, March 31, 2012 and December 31, 2012, respectively. In addition to the asset amounts noted above, trust assets under management of affiliates totaled $16.5 billion at March 31, 2013, $15.7 billion at March 31, 2012 and $15.4 billion at December 31, 2012. Furthermore, the Company’s proprietary mutual funds had assets of $13.3 billion, $12.6 billion and $13.9 billion at March 31, 2013, March 31, 2012 and December 31, 2012, respectively.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$16 million in the recent quarter, compared with $14 million in the first quarter of 2012 and $15 million in the fourth quarter of 2012. Gains from trading account and foreign exchange activity totaled $9 million during the recent quarter, compared with $11 million and $10 million in the first and fourth quarters of 2012, respectively.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first quarter of 2013, the Company recognized net losses on investment securities of $10 million, compared with net losses of $11 million in the year-earlier quarter and $14 million in the fourth quarter of 2012. Those net losses were predominantly the result of the other-than-temporary impairment of certain of the Company’s privately issued CMOs backed by residential and commercial real estate loans. Each reporting period, the Company reviews its investment securities for other-than-temporary impairment. Additional information about other-than-temporary impairment losses is included herein under the heading “Capital.”</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M&amp;T’s share of the operating losses of BLG in the recent quarter was $4 million, compared with $5 million in each of the first and fourth quarters of 2012. The operating losses of BLG resulted from the disruptions in the residential and commercial real estate markets and reflected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on the timing of loan workouts and collateral liquidations and, given ongoing loan loss provisioning, it is difficult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largely reinvested their earnings to generate additional servicing and asset management activities, further contributing to the value of those affiliates. Information about the Company’s relationship with BLG and its affiliates is included in note 15 of Notes to Financial Statements.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revenues from operations totaled $96 million in the first quarter of 2013, compared with $86 million in the corresponding 2012 period and $102 million in the fourth quarter of 2012. The increase in the recent quarter as compared with the year-earlier quarter resulted largely from higher loan syndication and other credit-related fees. The decline as compared with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final 2012 quarter was largely attributable to lower letter of credit and other credit-related fees. Included in other revenues from operations were the following significant components. Letter of credit and other credit-related fees totaled $32 million in the recent quarter, compared with $27 million and $36 million in the first and fourth quarters of 2012, respectively. Tax-exempt income from bank owned life insurance, which includes increases in the cash surrender value of life insurance policies and benefits received, totaled $13 million during the recent quarter, compared with $12 million in the first quarter of 2012 and $14 million in the fourth quarter of 2012. Revenues from merchant discount and credit card fees were $20 million in each of the two most recent quarters, compared with $18 million in the quarter ended March 31, 2012. Insurance-related sales commissions and other revenues totaled $13 million in the initial quarter of 2013, compared with $12 million in the year-earlier quarter and $11 million in the fourth quarter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expense totaled $636 million in the first quarter of 2013, compared with $640 million in the year-earlier quarter and $626 million in the fourth quarter of 2012. Included in those amounts are expenses considered by management to be “nonoperating” in nature consisting of amortization of core deposit and other intangible assets of $13 million in the recent quarter, $17 million in the first quarter of 2012 and $14 million in the fourth quarter of 2012, and merger-related expenses of $5 million and $3 million in the three-month periods ended March 31, 2013 and March 31, 2012, respectively. There were no merger-related expenses in the fourth quarter of 2012. The merger-related expenses in the initial 2013 quarter were incurred in connection with the pending Hudson City acquisition and in the first quarter of 2012 related to the Wilmington Trust acquisition. Those expenses consisted largely of professional services and other temporary help fees associated with the actual or planned conversion of systems and/or integration of operations; initial marketing and promotion expenses designed to introduce M&amp;T Bank to its new customers; travel costs; and printing, postage, supplies and other costs. Exclusive of these nonoperating expenses, noninterest operating expenses totaled $618 million in the first three months of 2013, compared with $620 million and $612 million in the first and fourth quarters of 2012, respectively. Higher costs for salaries and employee benefits in the recent quarter were largely offset by lower FDIC assessments as compared with the year-earlier quarter. The increase in expenses from the fourth quarter of 2012 was largely the result of seasonally higher stock-based compensation, payroll-related taxes and benefits costs in the recent quarter, offset, in part, by lower professional services expenses. Table 2 provides a reconciliation of other expense to noninterest operating expense.</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Salaries and employee benefits expense aggregated $357 million in the recent quarter, compared with $346 million in the year-earlier quarter and $323 million in the fourth quarter of 2012. As compared with the year-earlier quarter, the recent quarter reflects higher costs for incentive compensation, including stock-based compensation. Contributing to the rise in such expenses in the recent quarter as compared with the fourth quarter of 2012 were seasonally higher stock-based compensation, unemployment insurance, payroll-related taxes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2013 and 2012 included $17 million and $10 million, respectively, that would have been recognized over the normal four-year vesting period if not for the accelerated expense recognition provisions of GAAP. That acceleration had no effect on the value of stock-based compensation awarded to employees. Salaries and employee benefits expense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stock-based compensation of $28 million and $23 million in the quarters ended March 31, 2013 and March 31, 2012, respectively, and $11 million in the quarter ended December 31, 2012. The number of full-time equivalent employees was 14,576 at March 31, 2013, compared with 14,864 and 14,404 at March 31, 2012 and December 31, 2012, respectively.</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Excluding the nonoperating expenses described earlier from each quarter, nonpersonnel operating expenses were $262 million and $276 million in the quarters ended March 31, 2013 and March 31, 2012, respectively, and $289 million in the fourth quarter of 2012. The decline in such expenses in the recent quarter as compared with the year-earlier quarter was due largely to lower FDIC assessments. As compared with the fourth quarter of 2012, the decrease in nonpersonnel operating expenses in the initial 2013 quarter predominantly resulted from lower professional services expenses and FDIC assessments. The efficiency ratio measures the relationship of noninterest operating expenses to revenues. The Company’s efficiency ratio was 55.9% in the first quarter of 2013, compared with 61.1% in the year-earlier period and 53.6% in the fourth quarter of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provision for income taxes for the first quarter of 2013 was $141 million, compared with $102 million in the year-earlier quarter and $149 million in the fourth quarter of 2012. The effective tax rates were 34.0%, 33.1% and 33.5% for the quarters ended March 31, 2013, March 31, 2012 and December 31, 2012,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 was $10.4 billion at March 31, 2013, representing 12.59% of total assets, compared with $9.4 billion or 11.91% at March 31, 2012 and</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$10.2 billion or 12.29% at December 31, 2012. Included in shareholders’ equity was preferred stock with financial statement carrying values of $875 million at March 31, 2013, $866 million at March 31, 2012 and $873 million at December 31, 2012, respectively.</w:t>
      </w:r>
    </w:p>
    <w:p>
      <w:pPr>
        <w:spacing w:after="0" w:line="13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August 2012, the U.S. Department of Treasury (“U.S. Treasury”) completed a public offering of its holding of M&amp;T Series A and Series C preferred stock, resulting in M&amp;T’s exit from the Troubled Asset Relief Program – Capital Purchase Program (“TARP”) of the U.S. Treasury. In conjunction with the U.S. Treasury’s public offering, M&amp;T modified certain of the terms of the Series A and Series C Preferred Stock related to the dividend rate on the preferred shares at the reset dates, which was originally set to change from 5% to 9% on November 15, 2013 for the Series C preferred shares and on February 15, 2014 for the Series A preferred shares. In each case, the dividend rate will now change to 6.375% on November 15, 2013. The other modification related to M&amp;T agreeing to not redeem the Series A and Series C preferred shares until on or after November 15, 2018, except that if an event occurs such that the shares no longer qualify as Tier 1</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capital, M&amp;T may redeem all of the shares within 90 days following that occurrence. Those modifications were subsequently approved by M&amp;T’s common shareholders on April 16, 2013.</w:t>
      </w:r>
    </w:p>
    <w:p>
      <w:pPr>
        <w:spacing w:after="0" w:line="132"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Common shareholders’ equity was $9.5 billion, or $73.99 per share, at March 31, 2013, compared with $8.6 billion, or $67.64 per share, at March 31, 2012 and $9.3 billion, or $72.73 per share, at December 31, 2012. Tangible equity per common share, which excludes goodwill and core deposit and other intangible assets and applicable deferred tax balances, was $46.11 at March 31, 2013, $38.89 at March 31, 2012 and $44.61 at December 31, 2012. The Company’s ratio of tangible common equity to tangible assets was 7.51% at March 31, 2013, compared with 6.51% a year earlier and 7.20% at December 31, 2012. Reconciliations of total common shareholders’ equity and tangible common equity and total assets and tangible assets as of each of those respective dates are presented in table 2.</w:t>
      </w:r>
    </w:p>
    <w:p>
      <w:pPr>
        <w:spacing w:after="0" w:line="10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$47 million, or $.36 per common share, at March 31, 2013, compared with net unrealized losses of $58 million, or $.46 per common share, at March 31, 2012 and net unrealized gains of $37 million, or $.29 per common share, at December 31, 2012. Such unrealized gains and losses include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Information about unrealized gains and losses as of March 31, 2013 and December 31, 2012 is included in note 3 of Notes to Financial Statements.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Reflected in net unrealized gains at March 31, 2013 were pre-tax effect unrealized losses of $121 million on available-for-sale investment securities with an amortized cost of $1.0 billion and pre-tax effect unrealized gains of $232 million on securities with an amortized cost of $3.3 billion. The pre-tax effect unrealized losses reflect $98 million of losses on privately issued residential mortgage-backed securities with an amortized cost of $883 million and an estimated fair value of $785 million (considered Level 3 valuations) and $22 million of losses on trust preferred securities issued by financial institutions having an amortized cost of $123 million and an estimated fair value of $101 million (generally considered Level 2 valuations).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March 31, 2013. As with any accounting estimate or other data, changes in fair values and investment ratings may occur at any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a percentage of</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Current payment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10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1"/>
              </w:rPr>
              <w:t>fair value</w:t>
            </w: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status(c)</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unrealized</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Credit</w:t>
            </w:r>
          </w:p>
        </w:tc>
        <w:tc>
          <w:tcPr>
            <w:tcW w:w="100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2"/>
              </w:rPr>
              <w:t>Bonds</w:t>
            </w: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Bonds</w:t>
            </w:r>
          </w:p>
        </w:tc>
        <w:tc>
          <w:tcPr>
            <w:tcW w:w="0" w:type="dxa"/>
            <w:vAlign w:val="bottom"/>
          </w:tcPr>
          <w:p>
            <w:pPr>
              <w:spacing w:after="0"/>
              <w:rPr>
                <w:sz w:val="1"/>
                <w:szCs w:val="1"/>
                <w:color w:val="auto"/>
              </w:rPr>
            </w:pPr>
          </w:p>
        </w:tc>
      </w:tr>
      <w:tr>
        <w:trPr>
          <w:trHeight w:val="14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Collateral type</w:t>
            </w:r>
          </w:p>
        </w:tc>
        <w:tc>
          <w:tcPr>
            <w:tcW w:w="80" w:type="dxa"/>
            <w:vAlign w:val="bottom"/>
          </w:tcPr>
          <w:p>
            <w:pPr>
              <w:spacing w:after="0"/>
              <w:rPr>
                <w:sz w:val="12"/>
                <w:szCs w:val="12"/>
                <w:color w:val="auto"/>
              </w:rPr>
            </w:pPr>
          </w:p>
        </w:tc>
        <w:tc>
          <w:tcPr>
            <w:tcW w:w="7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Fair</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gains</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Senior</w:t>
            </w: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enhance-</w:t>
            </w:r>
          </w:p>
        </w:tc>
        <w:tc>
          <w:tcPr>
            <w:tcW w:w="1000" w:type="dxa"/>
            <w:vAlign w:val="bottom"/>
            <w:gridSpan w:val="2"/>
          </w:tcPr>
          <w:p>
            <w:pPr>
              <w:jc w:val="center"/>
              <w:ind w:right="552"/>
              <w:spacing w:after="0" w:line="149" w:lineRule="exact"/>
              <w:rPr>
                <w:sz w:val="20"/>
                <w:szCs w:val="20"/>
                <w:color w:val="auto"/>
              </w:rPr>
            </w:pPr>
            <w:r>
              <w:rPr>
                <w:rFonts w:ascii="Arial" w:cs="Arial" w:eastAsia="Arial" w:hAnsi="Arial"/>
                <w:sz w:val="14"/>
                <w:szCs w:val="14"/>
                <w:b w:val="1"/>
                <w:bCs w:val="1"/>
                <w:color w:val="auto"/>
                <w:w w:val="92"/>
              </w:rPr>
              <w:t>with</w:t>
            </w: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0" w:type="dxa"/>
            <w:vAlign w:val="bottom"/>
          </w:tcPr>
          <w:p>
            <w:pPr>
              <w:spacing w:after="0"/>
              <w:rPr>
                <w:sz w:val="1"/>
                <w:szCs w:val="1"/>
                <w:color w:val="auto"/>
              </w:rPr>
            </w:pPr>
          </w:p>
        </w:tc>
      </w:tr>
      <w:tr>
        <w:trPr>
          <w:trHeight w:val="155"/>
        </w:trPr>
        <w:tc>
          <w:tcPr>
            <w:tcW w:w="37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16"/>
              <w:spacing w:after="0" w:line="148" w:lineRule="exact"/>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3"/>
                <w:szCs w:val="13"/>
                <w:color w:val="auto"/>
              </w:rPr>
            </w:pP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value</w:t>
            </w:r>
          </w:p>
        </w:tc>
        <w:tc>
          <w:tcPr>
            <w:tcW w:w="10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5"/>
              </w:rPr>
              <w:t>(losses)</w:t>
            </w:r>
          </w:p>
        </w:tc>
        <w:tc>
          <w:tcPr>
            <w:tcW w:w="108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grade</w:t>
            </w:r>
          </w:p>
        </w:tc>
        <w:tc>
          <w:tcPr>
            <w:tcW w:w="8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2"/>
              </w:rPr>
              <w:t>tranche</w:t>
            </w:r>
          </w:p>
        </w:tc>
        <w:tc>
          <w:tcPr>
            <w:tcW w:w="9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ment(b)</w:t>
            </w:r>
          </w:p>
        </w:tc>
        <w:tc>
          <w:tcPr>
            <w:tcW w:w="1000" w:type="dxa"/>
            <w:vAlign w:val="bottom"/>
            <w:gridSpan w:val="2"/>
          </w:tcPr>
          <w:p>
            <w:pPr>
              <w:jc w:val="center"/>
              <w:ind w:right="552"/>
              <w:spacing w:after="0" w:line="148" w:lineRule="exact"/>
              <w:rPr>
                <w:sz w:val="20"/>
                <w:szCs w:val="20"/>
                <w:color w:val="auto"/>
              </w:rPr>
            </w:pPr>
            <w:r>
              <w:rPr>
                <w:rFonts w:ascii="Arial" w:cs="Arial" w:eastAsia="Arial" w:hAnsi="Arial"/>
                <w:sz w:val="14"/>
                <w:szCs w:val="14"/>
                <w:b w:val="1"/>
                <w:bCs w:val="1"/>
                <w:color w:val="auto"/>
              </w:rPr>
              <w:t>OTTI</w:t>
            </w: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OTTI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40"/>
              <w:spacing w:after="0" w:line="149" w:lineRule="exact"/>
              <w:rPr>
                <w:sz w:val="20"/>
                <w:szCs w:val="20"/>
                <w:color w:val="auto"/>
              </w:rPr>
            </w:pPr>
            <w:r>
              <w:rPr>
                <w:rFonts w:ascii="Arial" w:cs="Arial" w:eastAsia="Arial" w:hAnsi="Arial"/>
                <w:sz w:val="14"/>
                <w:szCs w:val="14"/>
                <w:color w:val="auto"/>
                <w:w w:val="98"/>
              </w:rPr>
              <w:t>(Dollars in thousands)</w:t>
            </w: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700" w:type="dxa"/>
            <w:vAlign w:val="bottom"/>
            <w:gridSpan w:val="4"/>
          </w:tcPr>
          <w:p>
            <w:pPr>
              <w:spacing w:after="0"/>
              <w:rPr>
                <w:sz w:val="20"/>
                <w:szCs w:val="20"/>
                <w:color w:val="auto"/>
              </w:rPr>
            </w:pPr>
            <w:r>
              <w:rPr>
                <w:rFonts w:ascii="Arial" w:cs="Arial" w:eastAsia="Arial" w:hAnsi="Arial"/>
                <w:sz w:val="18"/>
                <w:szCs w:val="18"/>
                <w:color w:val="auto"/>
              </w:rPr>
              <w:t>Residential mortgage loans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Prime – fixed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35,333</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38,781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%(d)</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420"/>
              <w:spacing w:after="0"/>
              <w:rPr>
                <w:sz w:val="20"/>
                <w:szCs w:val="20"/>
                <w:color w:val="auto"/>
              </w:rPr>
            </w:pPr>
            <w:r>
              <w:rPr>
                <w:rFonts w:ascii="Arial" w:cs="Arial" w:eastAsia="Arial" w:hAnsi="Arial"/>
                <w:sz w:val="18"/>
                <w:szCs w:val="18"/>
                <w:color w:val="auto"/>
              </w:rPr>
              <w:t>Prime – hybrid ARMs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923,282</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849,517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(73,765)</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23</w:t>
            </w:r>
          </w:p>
        </w:tc>
        <w:tc>
          <w:tcPr>
            <w:tcW w:w="4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97</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380" w:type="dxa"/>
            <w:vAlign w:val="bottom"/>
          </w:tcPr>
          <w:p>
            <w:pPr>
              <w:ind w:left="200"/>
              <w:spacing w:after="0"/>
              <w:rPr>
                <w:sz w:val="20"/>
                <w:szCs w:val="20"/>
                <w:color w:val="auto"/>
              </w:rPr>
            </w:pPr>
            <w:r>
              <w:rPr>
                <w:rFonts w:ascii="Arial" w:cs="Arial" w:eastAsia="Arial" w:hAnsi="Arial"/>
                <w:sz w:val="18"/>
                <w:szCs w:val="18"/>
                <w:color w:val="auto"/>
                <w:w w:val="79"/>
              </w:rPr>
              <w:t>19</w:t>
            </w:r>
          </w:p>
        </w:tc>
        <w:tc>
          <w:tcPr>
            <w:tcW w:w="6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Alt-A – hybrid ARMs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107,810</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86,438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(21,372)</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30</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11,454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10,953</w:t>
            </w:r>
          </w:p>
        </w:tc>
        <w:tc>
          <w:tcPr>
            <w:tcW w:w="3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(501)</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 (d)</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1,077,879</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985,689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(92,190)</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19</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31"/>
        </w:trPr>
        <w:tc>
          <w:tcPr>
            <w:tcW w:w="3700" w:type="dxa"/>
            <w:vAlign w:val="bottom"/>
            <w:gridSpan w:val="4"/>
          </w:tcPr>
          <w:p>
            <w:pPr>
              <w:spacing w:after="0"/>
              <w:rPr>
                <w:sz w:val="20"/>
                <w:szCs w:val="20"/>
                <w:color w:val="auto"/>
              </w:rPr>
            </w:pPr>
            <w:r>
              <w:rPr>
                <w:rFonts w:ascii="Arial" w:cs="Arial" w:eastAsia="Arial" w:hAnsi="Arial"/>
                <w:sz w:val="18"/>
                <w:szCs w:val="18"/>
                <w:color w:val="auto"/>
              </w:rPr>
              <w:t>Commercial mortgage loans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6,414</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7,558</w:t>
            </w:r>
          </w:p>
        </w:tc>
        <w:tc>
          <w:tcPr>
            <w:tcW w:w="680" w:type="dxa"/>
            <w:vAlign w:val="bottom"/>
          </w:tcPr>
          <w:p>
            <w:pPr>
              <w:jc w:val="right"/>
              <w:spacing w:after="0"/>
              <w:rPr>
                <w:sz w:val="20"/>
                <w:szCs w:val="20"/>
                <w:color w:val="auto"/>
              </w:rPr>
            </w:pPr>
            <w:r>
              <w:rPr>
                <w:rFonts w:ascii="Arial" w:cs="Arial" w:eastAsia="Arial" w:hAnsi="Arial"/>
                <w:sz w:val="18"/>
                <w:szCs w:val="18"/>
                <w:color w:val="auto"/>
              </w:rPr>
              <w:t>1,144</w:t>
            </w:r>
          </w:p>
        </w:tc>
        <w:tc>
          <w:tcPr>
            <w:tcW w:w="320" w:type="dxa"/>
            <w:vAlign w:val="bottom"/>
          </w:tcPr>
          <w:p>
            <w:pPr>
              <w:spacing w:after="0"/>
              <w:rPr>
                <w:sz w:val="24"/>
                <w:szCs w:val="24"/>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 (d)</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investment securities available for</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sale</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1,084,293</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993,247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(91,046)</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21"/>
        </w:trPr>
        <w:tc>
          <w:tcPr>
            <w:tcW w:w="3700" w:type="dxa"/>
            <w:vAlign w:val="bottom"/>
            <w:gridSpan w:val="4"/>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and commercial mortgage loans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(81,391)</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%(d)</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vMerge w:val="restart"/>
          </w:tcPr>
          <w:p>
            <w:pPr>
              <w:ind w:left="480"/>
              <w:spacing w:after="0"/>
              <w:rPr>
                <w:sz w:val="20"/>
                <w:szCs w:val="20"/>
                <w:color w:val="auto"/>
              </w:rPr>
            </w:pPr>
            <w:r>
              <w:rPr>
                <w:rFonts w:ascii="Arial" w:cs="Arial" w:eastAsia="Arial" w:hAnsi="Arial"/>
                <w:sz w:val="18"/>
                <w:szCs w:val="18"/>
                <w:color w:val="auto"/>
              </w:rPr>
              <w:t>25%</w:t>
            </w: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96%</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9%</w:t>
            </w:r>
          </w:p>
        </w:tc>
        <w:tc>
          <w:tcPr>
            <w:tcW w:w="1000" w:type="dxa"/>
            <w:vAlign w:val="bottom"/>
            <w:gridSpan w:val="2"/>
            <w:vMerge w:val="restart"/>
          </w:tcPr>
          <w:p>
            <w:pPr>
              <w:ind w:left="200"/>
              <w:spacing w:after="0"/>
              <w:rPr>
                <w:sz w:val="20"/>
                <w:szCs w:val="20"/>
                <w:color w:val="auto"/>
              </w:rPr>
            </w:pPr>
            <w:r>
              <w:rPr>
                <w:rFonts w:ascii="Arial" w:cs="Arial" w:eastAsia="Arial" w:hAnsi="Arial"/>
                <w:sz w:val="18"/>
                <w:szCs w:val="18"/>
                <w:color w:val="auto"/>
              </w:rPr>
              <w:t>19%</w:t>
            </w:r>
          </w:p>
        </w:tc>
        <w:tc>
          <w:tcPr>
            <w:tcW w:w="64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1,320,925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1,148,488</w:t>
            </w:r>
          </w:p>
        </w:tc>
        <w:tc>
          <w:tcPr>
            <w:tcW w:w="3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(172,437)</w:t>
            </w:r>
          </w:p>
        </w:tc>
        <w:tc>
          <w:tcPr>
            <w:tcW w:w="108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March 31, 2013.</w:t>
      </w:r>
    </w:p>
    <w:p>
      <w:pPr>
        <w:spacing w:after="0" w:line="15" w:lineRule="exact"/>
        <w:rPr>
          <w:rFonts w:ascii="Arial" w:cs="Arial" w:eastAsia="Arial" w:hAnsi="Arial"/>
          <w:sz w:val="18"/>
          <w:szCs w:val="18"/>
          <w:i w:val="1"/>
          <w:iCs w:val="1"/>
          <w:color w:val="auto"/>
        </w:rPr>
      </w:pPr>
    </w:p>
    <w:p>
      <w:pPr>
        <w:ind w:left="460" w:right="280" w:hanging="452"/>
        <w:spacing w:after="0" w:line="250" w:lineRule="auto"/>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1" w:lineRule="exact"/>
        <w:rPr>
          <w:rFonts w:ascii="Arial" w:cs="Arial" w:eastAsia="Arial" w:hAnsi="Arial"/>
          <w:sz w:val="18"/>
          <w:szCs w:val="18"/>
          <w:i w:val="1"/>
          <w:iCs w:val="1"/>
          <w:color w:val="auto"/>
        </w:rPr>
      </w:pPr>
    </w:p>
    <w:p>
      <w:pPr>
        <w:ind w:left="460" w:right="40" w:hanging="452"/>
        <w:spacing w:after="0" w:line="250" w:lineRule="auto"/>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contractually required principal and interest payments expected at acquisition continue to be received.</w:t>
      </w: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bonds in this category.</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estimating values for privately issued mortgage-backed securities, the Company was restricted in the level of market observable assumptions used in the valuation of such securities. Because of reduced trading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March 31, 2013 and December 31, 2012.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mortgage-backed securities with an amortized cost basis of $1.1 billion at each of March 31, 2013 and December 31, 2012. The Company’s internal modeling techniques included discounting estimated bond-specific cash flows using assumptions about cash flows associated with loans underlying each of the bonds. In estimating those cash flows, the Company used conservative assumptions as to default and loss rates in order to mitigate exposure that might be attributable to the risk that actual future credit losses could exceed assumed credit losses. To determine the most representative fair value for those bonds under current market conditions, the Company averaged the internal model valuations and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indications obtained from the two independent pricing sources resulting in a one-third weighting on the internal model valuation and a two-thirds weighting on valuations provided by the independent sources. Further information concerning the Company’s valuations of privately issued mortgage-backed securities can be found in note 12 of Notes to Financial Statements.</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During the quarter ended March 31, 2013, the Company recognized $10 million (pre-tax) of other-than-temporary impairment losses related to privately issued mortgage-backed securities.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For privately issued mortgage-backed securities, the modeling for other-than-temporary impairment utilized assumptions about the expected underlying performance of the mortgage loan collateral considering recent collateral performance and future assumptions regarding default and loss severity. At March 31, 2013, projected model default percentages on the underlying mortgage loan collateral ranged from 1% to 28% and loss severities ranged from 10% to 83%. For bonds in which the Company has recognized an other-than-temporary impairment charge, the weighted-average percentage of default collateral was 14% and the weighted-average loss severity was 40%. For bonds without other-than-temporary impairment losses, the weighted-average default percentage and loss severity were 11% and 26%, respectively. Underlying mortgage loan collateral cash flows, after considering the impact of estimated credit losses, were distributed by the model to the various securities within the securitization structure to determine the timing and extent of losses at the bond-level, if any. Despite continuing high levels of delinquencies and losses in the underlying mortgage loan collateral, given credit enhancements resulting from the structures of individual bonds, the Company has concluded that as of March 31, 2013 its remaining privately issued mortgage-backed securities were not other-than-temporarily impaired. Nevertheless, given recent market conditions, it is possible that adverse changes in repayment performance and fair value could occur during the remainder of 2013 and later years that could impact the Company’s conclusions. For example, a 20% increase in the estimated default rate assumption and a 20% increase in the severity rate assumption would have increased the other-than-temporary impairment charge recognized by the Company for the three months ended March 31, 2013 by $33 million. Information comparing the amortized cost and fair value of investment securities is included in note 3 of Notes to Financial Statements. The Company’s model as described above uses projected default and loss severity assumptions. Information on the current credit enhancement and current payment status of privately issued mortgage-backed securities at March 31, 2013 is included in the accompanying table.</w:t>
      </w:r>
    </w:p>
    <w:p>
      <w:pPr>
        <w:spacing w:after="0" w:line="1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Similar to its evaluation of available-for-sale privately issued mortgage-backed securities, the Company assesses impairment losses on privately issued CMOs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CMOs in the held-to-maturity portfolio during the first quarter of 2013. In total, at March 31, 2013 and December 31, 2012, the Company had in its held-to-maturity portfolio CMOs with an amortized cost basis of $237 million and $242 million, respectively, and a fair value of $155 million and $148 million, respectively.</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March 31, 2013, the Company also had pre-tax unrealized losses of $23 million on $130 million of trust preferred securities issued by financial institutions, securities backed by trust preferred securities, and other debt securities (reflecting $1 million of unrealized losses on $7 million of securities using a Level 3 valuation). Pre-tax unrealized losses of $28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million existed on $130 million of such securities at December 31, 2012. After evaluating the expected repayment performance of those bonds the Company did not recognize any other-than-temporary impairment losses related to those securities during the quarter ended March 31, 2013.</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 of March 31, 2013,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continue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2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$272 million, or $2.11 per common share, at March 31, 2013, $277 million, or $2.16 per common share, at December 31, 2012, and $273 million, or $2.16 per common share, at March 31, 2012.</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Cash dividends declared on M&amp;T’s common stock during the quarter ended March 31, 2013 totaled $91 million, compared with $89 million and $90 million in the quarters ended March 31, 2012 and December 31, 2012, respectively, and represented a quarterly dividend payment of $.70 per common share in each of those three quarters.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were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w w:val="86"/>
              </w:rPr>
              <w:t>First Quarter</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w w:val="86"/>
              </w:rPr>
              <w:t>First Quarter</w:t>
            </w:r>
          </w:p>
        </w:tc>
        <w:tc>
          <w:tcPr>
            <w:tcW w:w="900" w:type="dxa"/>
            <w:vAlign w:val="bottom"/>
            <w:gridSpan w:val="2"/>
          </w:tcPr>
          <w:p>
            <w:pPr>
              <w:spacing w:after="0"/>
              <w:rPr>
                <w:sz w:val="20"/>
                <w:szCs w:val="20"/>
                <w:color w:val="auto"/>
              </w:rPr>
            </w:pPr>
            <w:r>
              <w:rPr>
                <w:rFonts w:ascii="Arial" w:cs="Arial" w:eastAsia="Arial" w:hAnsi="Arial"/>
                <w:sz w:val="14"/>
                <w:szCs w:val="14"/>
                <w:color w:val="auto"/>
                <w:w w:val="95"/>
              </w:rPr>
              <w:t>Fourth Quarter</w:t>
            </w:r>
          </w:p>
        </w:tc>
        <w:tc>
          <w:tcPr>
            <w:tcW w:w="0" w:type="dxa"/>
            <w:vAlign w:val="bottom"/>
          </w:tcPr>
          <w:p>
            <w:pPr>
              <w:spacing w:after="0"/>
              <w:rPr>
                <w:sz w:val="1"/>
                <w:szCs w:val="1"/>
                <w:color w:val="auto"/>
              </w:rPr>
            </w:pPr>
          </w:p>
        </w:tc>
      </w:tr>
      <w:tr>
        <w:trPr>
          <w:trHeight w:val="159"/>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2013</w:t>
            </w:r>
          </w:p>
        </w:tc>
        <w:tc>
          <w:tcPr>
            <w:tcW w:w="1300" w:type="dxa"/>
            <w:vAlign w:val="bottom"/>
            <w:gridSpan w:val="2"/>
          </w:tcPr>
          <w:p>
            <w:pPr>
              <w:jc w:val="right"/>
              <w:ind w:right="137"/>
              <w:spacing w:after="0" w:line="159" w:lineRule="exact"/>
              <w:rPr>
                <w:sz w:val="20"/>
                <w:szCs w:val="20"/>
                <w:color w:val="auto"/>
              </w:rPr>
            </w:pPr>
            <w:r>
              <w:rPr>
                <w:rFonts w:ascii="Arial" w:cs="Arial" w:eastAsia="Arial" w:hAnsi="Arial"/>
                <w:sz w:val="14"/>
                <w:szCs w:val="14"/>
                <w:color w:val="auto"/>
              </w:rPr>
              <w:t>2012</w:t>
            </w:r>
          </w:p>
        </w:tc>
        <w:tc>
          <w:tcPr>
            <w:tcW w:w="600" w:type="dxa"/>
            <w:vAlign w:val="bottom"/>
          </w:tcPr>
          <w:p>
            <w:pPr>
              <w:spacing w:after="0"/>
              <w:rPr>
                <w:sz w:val="13"/>
                <w:szCs w:val="13"/>
                <w:color w:val="auto"/>
              </w:rPr>
            </w:pPr>
          </w:p>
        </w:tc>
        <w:tc>
          <w:tcPr>
            <w:tcW w:w="800" w:type="dxa"/>
            <w:vAlign w:val="bottom"/>
          </w:tcPr>
          <w:p>
            <w:pPr>
              <w:jc w:val="right"/>
              <w:ind w:right="179"/>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Series C</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1,894</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1,894</w:t>
            </w:r>
          </w:p>
        </w:tc>
        <w:tc>
          <w:tcPr>
            <w:tcW w:w="80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13,363</w:t>
            </w:r>
          </w:p>
        </w:tc>
        <w:tc>
          <w:tcPr>
            <w:tcW w:w="6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13,363</w:t>
            </w:r>
          </w:p>
        </w:tc>
        <w:tc>
          <w:tcPr>
            <w:tcW w:w="800" w:type="dxa"/>
            <w:vAlign w:val="bottom"/>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2012 or the first quarter of 2013.</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March 31, 2013, Tier 1 capital included trust preferred securities of $1.2 billion as described in note 5 of Notes to Financial Statements and total capital further included subordinated capital notes of $1.5 billion. Pursuant to the Dodd-Frank Act, trust preferred securities are being phased-out of the definition of Tier 1 capital of bank holding companies (with 25% expected to be phased out in 2013), however, rules for implementing that phase-out have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not been finalized and, as a result, M&amp;T included the full $1.2 billion of trust preferred securities in its Tier 1 regulatory capital as of March 31, 2013.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March 31, 2013 are presented in the accompanying table.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2013</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220" w:type="dxa"/>
            <w:vAlign w:val="bottom"/>
            <w:gridSpan w:val="2"/>
          </w:tcPr>
          <w:p>
            <w:pPr>
              <w:jc w:val="right"/>
              <w:ind w:right="82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Wilmington</w:t>
            </w:r>
          </w:p>
        </w:tc>
        <w:tc>
          <w:tcPr>
            <w:tcW w:w="0" w:type="dxa"/>
            <w:vAlign w:val="bottom"/>
          </w:tcPr>
          <w:p>
            <w:pPr>
              <w:spacing w:after="0"/>
              <w:rPr>
                <w:sz w:val="1"/>
                <w:szCs w:val="1"/>
                <w:color w:val="auto"/>
              </w:rPr>
            </w:pPr>
          </w:p>
        </w:tc>
      </w:tr>
      <w:tr>
        <w:trPr>
          <w:trHeight w:val="159"/>
        </w:trPr>
        <w:tc>
          <w:tcPr>
            <w:tcW w:w="5980" w:type="dxa"/>
            <w:vAlign w:val="bottom"/>
          </w:tcPr>
          <w:p>
            <w:pPr>
              <w:spacing w:after="0"/>
              <w:rPr>
                <w:sz w:val="13"/>
                <w:szCs w:val="13"/>
                <w:color w:val="auto"/>
              </w:rPr>
            </w:pPr>
          </w:p>
        </w:tc>
        <w:tc>
          <w:tcPr>
            <w:tcW w:w="154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w w:val="85"/>
              </w:rPr>
              <w:t>(Consolidated)</w:t>
            </w:r>
          </w:p>
        </w:tc>
        <w:tc>
          <w:tcPr>
            <w:tcW w:w="1220" w:type="dxa"/>
            <w:vAlign w:val="bottom"/>
            <w:gridSpan w:val="2"/>
          </w:tcPr>
          <w:p>
            <w:pPr>
              <w:jc w:val="right"/>
              <w:ind w:right="840"/>
              <w:spacing w:after="0" w:line="159" w:lineRule="exact"/>
              <w:rPr>
                <w:sz w:val="20"/>
                <w:szCs w:val="20"/>
                <w:color w:val="auto"/>
              </w:rPr>
            </w:pPr>
            <w:r>
              <w:rPr>
                <w:rFonts w:ascii="Arial" w:cs="Arial" w:eastAsia="Arial" w:hAnsi="Arial"/>
                <w:sz w:val="14"/>
                <w:szCs w:val="14"/>
                <w:color w:val="auto"/>
              </w:rPr>
              <w:t>Bank</w:t>
            </w: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Trust, N.A.</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10.62%</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13.81%</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12.12%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10.26%</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Business Banking segment recorded net income of $33 million in the first quarter of 2013, a decline of 8% from the $35 million earned in the first three months of 2012 and 10% below the $36 million recorded in 2012’s fourth quarter. The decline from the year-earlier quarter reflects lower net interest income of $7 million offset, in part, by a $2 million decrease in the provision for credit losses. The lower net interest income reflects a 39 basis point narrowing of the net interest margin on deposits, partially offset by an increase of $498 million in average outstanding deposit balances. As compared with the fourth quarter of 2012, lower net interest income of $9 million, predominantly due to a 26 basis point narrowing of the net interest margin on deposits and a $424 million decrease in average deposit balances, was the most significant contributor to the decline in the recent quarter’s net income.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income earned by the Commercial Banking segment totaled $107 million in the recent quarter, up 4% from the $103 million recorded in the first quarter of 2012, but down 7% from the $116 million earned in the immediately preceding quarter. The improved performance as compared with 2012’s first quarter was primarily due to higher net interest income of $8 million offset, in part, by a $3 million increase in the provision for credit losses. The rise in net interest income was largely attributable to higher average outstanding loan and deposit balances of $2.1 billion and $540 million, respectively, partially offset by a 15 basis point narrowing of the net interest margin on deposits. The main factor contributing to the decline in the recent quarter’s performance as compared with the final 2012 quarter was a decline in net interest income of $13 million. That decrease resulted from the narrowing of the net interest margin on deposits and loans of 15 basis points and 6 basis points, respectively, and lower average outstanding deposit balances of $539 million.</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Net income contributed by the Commercial Real Estate segment was $77 million during the quarter ended March 31, 2013, compared with $69 million in the year-earlier quarter and $84 million in the fourth quarter of 2012. The 11% increase in the recent quarter’s net income as compared with the initial 2012 quarter reflects an $8 million rise in net interest income, mainly attributable to a 15 basis point widening of the net interest margin on loans and higher average outstanding loan balances of $720 million, and a $3 million decrease in the provision for credit losses. Contributing to the 9% decline in net income as compared with the final 2012 quarter was an increase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the provision for credit losses and lower mortgage banking revenues.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Discretionary Portfolio segment earned net income of $2 million in the initial 2013 quarter, compared with net losses of $8 million and $5 million in the first and fourth quarters of 2012, respectively. Included in the results of each of those quarters were pre-tax other-than-temporary impairment charges (relating to certain privately issued CMOs) of $10 million in the recent quarter, $11 million in the year-earlier quarter and $14 million in the fourth quarter of 2012. The favorable performance in the recent quarter as compared with the year-earlier quarter was due to the following factors: a $7 million decrease in intersegment costs related to lower amounts of residential real estate loans being retained in portfolio rather than being sold; a $5 million rise in net interest income, resulting from growth in average outstanding loan balances of $2.3 billion offset, in part, by a 6 basis point narrowing of the net interest margin on loans; and a $5 million reduction in the provision for credit losses. The favorable performance in the recent quarter as compared with the fourth quarter of 2012 was predominantly due to a decrease in intersegment costs related to lower amounts of residential real estate loans being retained.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contribution from the Residential Mortgage Banking segment totaled $34 million in the recent quarter, improved from $24 million in the year-earlier quarter, but down from $41 million in the fourth quarter of 2012. As compared with the year-earlier quarter, a $17 million increase in revenues from residential mortgage origination and sales activities (including intersegment revenues), due to higher origination volumes and wider sales margins on loans originated for sale, and a $5 million increase in net interest income, largely from higher average outstanding loans of $625 million and a 39 basis point widening of the net interest margin on loans, were the main factors contributing to the improved results. Those factors were partially offset by increased personnel costs of $8 million. Contributing to the recent quarter decline as compared with 2012’s fourth quarter was a $19 million decrease in residential mortgage origination and sales revenues, reflecting lower origination volumes and narrower sales margins on loans originated for sale. That factor was offset, in part, by a $2 million increase in net interest income, resulting from a 46 basis point widening of the net interest margin on loans.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Net income recorded by the Retail Banking segment totaled $52 million, up 8% from $49 million in the three-month period ended March 31, 2012, but down 6% from $56 million in the fourth quarter of 2012. Factors contributing to the recent quarter’s improvement as compared with the first quarter of 2012 included a lower provision for credit losses of $7 million, lower personnel and advertising and promotion expenses of $4 million each, and decreases in other operating expenses. Partially offsetting those favorable factors was a $17 million decline in net interest income, which reflected a 27 basis point narrowing of the net interest margin on deposits, partially offset by higher average deposit balances outstanding of $1.0 billion. The recent quarter’s unfavorable performance as compared with the immediately preceding quarter was largely attributable to lower net interest income of $17 million, resulting from a 22 basis point narrowing of the net interest margin on deposits partially offset by higher average deposit balances of $669 million. Favorable factors partially offsetting the lower net interest income were a decline in the provision for credit losses of $6 million, lower professional service costs of $5 million and decreased advertising and promotion costs of $3 million.</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related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activities of the Company. The various components of the “All Other” category resulted in net losses totaling $31 million in each of the quarters ended March 31, 2013 and December 31, 2012 and $65 million in the first quarter of 2012. The improved performance in the recent quarter as compared with the year-earlier period was attributable to decreased FDIC assessments of $11 million, higher trust revenues of $5 million, and the impact from the Company’s allocation methodologies for internal transfers for funding charges and credits associated with the earning assets and interest-bearing liabilities of the Company’s reportable segments and the provision for credit losses. Partially offsetting those factors were higher personnel-related costs of $5 million. As compared with the fourth quarter of 2012, the recent quarter’s results included lower professional services costs of $22 million and costs associated with the impact from the Company’s allocation methodologies for internal transfers for funding charges and credits associated with the earning assets and interest-bearing liabilities of the Company’s reportable segments and the provision for credit losses. Partially offsetting those factors was a $35 million increase in personnel-related costs. The higher personnel costs in the recent quarter were largely related to seasonally higher stock-based compensation, payroll-related taxes, unemployment insurance and employer contributions for retirement savings plan benefits related to incentive compensation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October 2012, the Financial Accounting Standards Board (“FASB”) issued amended accounting guidance relating to subsequent accounting for an indemnification asset recognized at the acquisition date as a result of a government-assisted acquisition of a financial institution. The amendment clarifies the existing subsequent measurement guidance for indemnification assets recognized as a result of a government-assisted acquisition of a financial institution that includes a loss-sharing agreement. Specifically, when an entity recognizes an indemnification asset as a result of a government-assisted acquisition of a financial institution and subsequently a change in the cash flows expected to be collected on the indemnification asset occurs (as a result of a change in cash flows expected to be collected on the assets subject to indemnification), the entity should account for the change in the measurement of the indemnification asset on the same basis as the change in the assets subject to indemnification. Any amortization of changes in value would be limited to the lesser of the contractual term of the indemnification agreement and the remaining life of the indemnified assets. The guidance is effective for fiscal years, and interim periods within those years, beginning on or after December 15, 2012. The guidance should be applied prospectively to any new indemnification assets recognized after the date of adoption and to indemnification assets existing as of the date of adoption. The adoption of this guidance did not have a significant effect on the Company’s financial position or results of operations.</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December 2011, the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arrangements. The guidance is effective for annual reporting periods beginning on or after January 1, 2013, and interim periods within those annual periods. The new required disclosures should be applied retrospectively for all comparable periods presented. The Company’s disclosures relating to offsetting assets and liabilities can be found in notes 5 and 10 of Notes to the Financial Statements.</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The presentation guidance was effective for fiscal years, and interim periods within those years, beginning after December 15, 2011 and was to be applied retrospectively. The Company has complied with the new presentation guidance using separate but consecutive statements. In February 2013, the FASB again amended presentation guidance relating to comprehensive income to require disclosures of significant amounts reclassified out of accumulated other comprehensive income by component for reporting periods beginning after December 15, 2012. The Company’s disclosures relating to accumulated other comprehensive income can be found in note 9 of Notes to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00"/>
          </w:cols>
          <w:pgMar w:left="240" w:top="459" w:right="259" w:bottom="1440" w:gutter="0" w:footer="0" w:header="0"/>
        </w:sectPr>
      </w:pPr>
    </w:p>
    <w:bookmarkStart w:id="87" w:name="page88"/>
    <w:bookmarkEnd w:id="87"/>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378"/>
        </w:trPr>
        <w:tc>
          <w:tcPr>
            <w:tcW w:w="640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2013</w:t>
            </w:r>
          </w:p>
        </w:tc>
        <w:tc>
          <w:tcPr>
            <w:tcW w:w="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color w:val="auto"/>
              </w:rPr>
              <w:t>2012 Quarters</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6"/>
              </w:rPr>
              <w:t>First Quarter</w:t>
            </w:r>
          </w:p>
        </w:tc>
        <w:tc>
          <w:tcPr>
            <w:tcW w:w="380" w:type="dxa"/>
            <w:vAlign w:val="bottom"/>
          </w:tcPr>
          <w:p>
            <w:pPr>
              <w:spacing w:after="0"/>
              <w:rPr>
                <w:sz w:val="12"/>
                <w:szCs w:val="12"/>
                <w:color w:val="auto"/>
              </w:rPr>
            </w:pPr>
          </w:p>
        </w:tc>
        <w:tc>
          <w:tcPr>
            <w:tcW w:w="10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Fourth</w:t>
            </w:r>
          </w:p>
        </w:tc>
        <w:tc>
          <w:tcPr>
            <w:tcW w:w="1040" w:type="dxa"/>
            <w:vAlign w:val="bottom"/>
            <w:gridSpan w:val="2"/>
          </w:tcPr>
          <w:p>
            <w:pPr>
              <w:jc w:val="right"/>
              <w:ind w:right="560"/>
              <w:spacing w:after="0" w:line="142" w:lineRule="exact"/>
              <w:rPr>
                <w:sz w:val="20"/>
                <w:szCs w:val="20"/>
                <w:color w:val="auto"/>
              </w:rPr>
            </w:pPr>
            <w:r>
              <w:rPr>
                <w:rFonts w:ascii="Arial" w:cs="Arial" w:eastAsia="Arial" w:hAnsi="Arial"/>
                <w:sz w:val="14"/>
                <w:szCs w:val="14"/>
                <w:color w:val="auto"/>
              </w:rPr>
              <w:t>Third</w:t>
            </w: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Second</w:t>
            </w:r>
          </w:p>
        </w:tc>
        <w:tc>
          <w:tcPr>
            <w:tcW w:w="6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736,425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751,860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751,385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744,031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73,925</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77,931</w:t>
            </w:r>
          </w:p>
        </w:tc>
        <w:tc>
          <w:tcPr>
            <w:tcW w:w="3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82,129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89,403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93,706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662,500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673,929</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669,256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654,628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627,094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38,000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49,000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46,000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432,882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453,164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445,733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391,650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376,723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other expense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635,596</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626,146</w:t>
            </w:r>
          </w:p>
        </w:tc>
        <w:tc>
          <w:tcPr>
            <w:tcW w:w="3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616,027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627,392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639,695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421,786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451,947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452,962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358,886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141,223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149,247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152,966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118,861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6,534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6,645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274,113</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296,193</w:t>
            </w:r>
          </w:p>
        </w:tc>
        <w:tc>
          <w:tcPr>
            <w:tcW w:w="3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293,462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233,380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206,463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255,096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276,605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273,896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214,716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Diluted earnings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2.17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127,669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126,918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125,819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125,488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128,636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127,800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126,292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125,897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Return 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Average common shareholders’ equity</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11.10%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12.40%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on average earning assets (taxable-equivalent basis)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285,136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304,657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302,060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247,433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Annualized return 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assets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Average tangible common shareholders’ equity</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18.71%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20.46%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21.53%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18.54%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Average balances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81,913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81,366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80,432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80,087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Total tangible assets (c)</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78,311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77,755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76,810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76,455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72,339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71,679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70,662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70,450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5,803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6,295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6,811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7,271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65,852</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65,011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63,455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61,826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64,540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64,269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62,743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61,530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shareholders’ equity (c)</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9,448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9,233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5,846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5,622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5,297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5,036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Total assets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82,812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83,009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81,085</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80,808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tangible assets (c)</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79,215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79,402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77,469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77,181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73,543</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72,859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71,220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71,065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5,661</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6,624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65,924</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66,571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64,112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62,851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65,090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65,611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64,007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62,549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w w:val="93"/>
              </w:rPr>
              <w:t>Common shareholders’ equity, net of undeclared cumulative preferred dividends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9,545</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9,327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9,071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8,758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5,948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Equity per common share</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73.99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72.73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71.17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69.15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Tangible equity per common share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46.11</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44.61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42.80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105.90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105.33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95.98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99.59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95.02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82.29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76.92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Closing</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103.16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98.47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95.16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82.57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11" w:orient="portrait"/>
          <w:cols w:equalWidth="0" w:num="1">
            <w:col w:w="11420"/>
          </w:cols>
          <w:pgMar w:left="240" w:top="459" w:right="239" w:bottom="0" w:gutter="0" w:footer="0" w:header="0"/>
        </w:sectPr>
      </w:pPr>
    </w:p>
    <w:p>
      <w:pPr>
        <w:spacing w:after="0" w:line="8" w:lineRule="exact"/>
        <w:rPr>
          <w:sz w:val="20"/>
          <w:szCs w:val="20"/>
          <w:color w:val="auto"/>
        </w:rPr>
      </w:pPr>
    </w:p>
    <w:p>
      <w:pPr>
        <w:jc w:val="both"/>
        <w:ind w:left="460" w:right="80" w:hanging="452"/>
        <w:spacing w:after="0" w:line="259" w:lineRule="auto"/>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sectPr>
          <w:pgSz w:w="11900" w:h="16911" w:orient="portrait"/>
          <w:cols w:equalWidth="0" w:num="1">
            <w:col w:w="11420"/>
          </w:cols>
          <w:pgMar w:left="240" w:top="459" w:right="239" w:bottom="0" w:gutter="0" w:footer="0" w:header="0"/>
          <w:type w:val="continuous"/>
        </w:sectPr>
      </w:pPr>
    </w:p>
    <w:bookmarkStart w:id="88" w:name="page89"/>
    <w:bookmarkEnd w:id="88"/>
    <w:p>
      <w:pPr>
        <w:ind w:left="452" w:hanging="452"/>
        <w:spacing w:after="0"/>
        <w:tabs>
          <w:tab w:leader="none" w:pos="452"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15" w:lineRule="exact"/>
        <w:rPr>
          <w:rFonts w:ascii="Arial" w:cs="Arial" w:eastAsia="Arial" w:hAnsi="Arial"/>
          <w:sz w:val="18"/>
          <w:szCs w:val="18"/>
          <w:i w:val="1"/>
          <w:iCs w:val="1"/>
          <w:color w:val="auto"/>
        </w:rPr>
      </w:pPr>
    </w:p>
    <w:p>
      <w:pPr>
        <w:ind w:left="452" w:hanging="452"/>
        <w:spacing w:after="0" w:line="361" w:lineRule="auto"/>
        <w:tabs>
          <w:tab w:leader="none" w:pos="452"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55" w:lineRule="exact"/>
        <w:rPr>
          <w:rFonts w:ascii="Arial" w:cs="Arial" w:eastAsia="Arial" w:hAnsi="Arial"/>
          <w:sz w:val="15"/>
          <w:szCs w:val="15"/>
          <w:i w:val="1"/>
          <w:iCs w:val="1"/>
          <w:color w:val="auto"/>
        </w:rPr>
      </w:pPr>
    </w:p>
    <w:p>
      <w:pPr>
        <w:ind w:left="5612" w:hanging="96"/>
        <w:spacing w:after="0"/>
        <w:tabs>
          <w:tab w:leader="none" w:pos="56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88 -</w:t>
      </w:r>
    </w:p>
    <w:p>
      <w:pPr>
        <w:sectPr>
          <w:pgSz w:w="11900" w:h="16838" w:orient="portrait"/>
          <w:cols w:equalWidth="0" w:num="1">
            <w:col w:w="10972"/>
          </w:cols>
          <w:pgMar w:left="248" w:top="131" w:right="679" w:bottom="1440" w:gutter="0" w:footer="0" w:header="0"/>
        </w:sectPr>
      </w:pPr>
    </w:p>
    <w:bookmarkStart w:id="89" w:name="page90"/>
    <w:bookmarkEnd w:id="8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378"/>
        </w:trPr>
        <w:tc>
          <w:tcPr>
            <w:tcW w:w="6260" w:type="dxa"/>
            <w:vAlign w:val="bottom"/>
            <w:gridSpan w:val="2"/>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color w:val="auto"/>
              </w:rPr>
              <w:t>2012 Quarters</w:t>
            </w:r>
          </w:p>
        </w:tc>
        <w:tc>
          <w:tcPr>
            <w:tcW w:w="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1"/>
              </w:rPr>
              <w:t>First Quarter</w:t>
            </w:r>
          </w:p>
        </w:tc>
        <w:tc>
          <w:tcPr>
            <w:tcW w:w="28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rPr>
              <w:t>Fourth</w:t>
            </w:r>
          </w:p>
        </w:tc>
        <w:tc>
          <w:tcPr>
            <w:tcW w:w="104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Third</w:t>
            </w:r>
          </w:p>
        </w:tc>
        <w:tc>
          <w:tcPr>
            <w:tcW w:w="104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Second</w:t>
            </w:r>
          </w:p>
        </w:tc>
        <w:tc>
          <w:tcPr>
            <w:tcW w:w="76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274,113</w:t>
            </w:r>
          </w:p>
        </w:tc>
        <w:tc>
          <w:tcPr>
            <w:tcW w:w="760" w:type="dxa"/>
            <w:vAlign w:val="bottom"/>
          </w:tcPr>
          <w:p>
            <w:pPr>
              <w:jc w:val="right"/>
              <w:spacing w:after="0"/>
              <w:rPr>
                <w:sz w:val="20"/>
                <w:szCs w:val="20"/>
                <w:color w:val="auto"/>
              </w:rPr>
            </w:pPr>
            <w:r>
              <w:rPr>
                <w:rFonts w:ascii="Arial" w:cs="Arial" w:eastAsia="Arial" w:hAnsi="Arial"/>
                <w:sz w:val="18"/>
                <w:szCs w:val="18"/>
                <w:color w:val="auto"/>
              </w:rPr>
              <w:t>296,193</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293,462</w:t>
            </w:r>
          </w:p>
        </w:tc>
        <w:tc>
          <w:tcPr>
            <w:tcW w:w="760" w:type="dxa"/>
            <w:vAlign w:val="bottom"/>
          </w:tcPr>
          <w:p>
            <w:pPr>
              <w:jc w:val="right"/>
              <w:spacing w:after="0"/>
              <w:rPr>
                <w:sz w:val="20"/>
                <w:szCs w:val="20"/>
                <w:color w:val="auto"/>
              </w:rPr>
            </w:pPr>
            <w:r>
              <w:rPr>
                <w:rFonts w:ascii="Arial" w:cs="Arial" w:eastAsia="Arial" w:hAnsi="Arial"/>
                <w:sz w:val="18"/>
                <w:szCs w:val="18"/>
                <w:color w:val="auto"/>
              </w:rPr>
              <w:t>233,380</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285,136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302,060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247,433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218,360</w:t>
            </w: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Diluted net operating earnings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635,596</w:t>
            </w:r>
          </w:p>
        </w:tc>
        <w:tc>
          <w:tcPr>
            <w:tcW w:w="760" w:type="dxa"/>
            <w:vAlign w:val="bottom"/>
          </w:tcPr>
          <w:p>
            <w:pPr>
              <w:jc w:val="right"/>
              <w:spacing w:after="0"/>
              <w:rPr>
                <w:sz w:val="20"/>
                <w:szCs w:val="20"/>
                <w:color w:val="auto"/>
              </w:rPr>
            </w:pPr>
            <w:r>
              <w:rPr>
                <w:rFonts w:ascii="Arial" w:cs="Arial" w:eastAsia="Arial" w:hAnsi="Arial"/>
                <w:sz w:val="18"/>
                <w:szCs w:val="18"/>
                <w:color w:val="auto"/>
              </w:rPr>
              <w:t>626,146</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616,027</w:t>
            </w:r>
          </w:p>
        </w:tc>
        <w:tc>
          <w:tcPr>
            <w:tcW w:w="760" w:type="dxa"/>
            <w:vAlign w:val="bottom"/>
          </w:tcPr>
          <w:p>
            <w:pPr>
              <w:jc w:val="right"/>
              <w:spacing w:after="0"/>
              <w:rPr>
                <w:sz w:val="20"/>
                <w:szCs w:val="20"/>
                <w:color w:val="auto"/>
              </w:rPr>
            </w:pPr>
            <w:r>
              <w:rPr>
                <w:rFonts w:ascii="Arial" w:cs="Arial" w:eastAsia="Arial" w:hAnsi="Arial"/>
                <w:sz w:val="18"/>
                <w:szCs w:val="18"/>
                <w:color w:val="auto"/>
              </w:rPr>
              <w:t>627,392</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639,695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Merger-related expenses</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(4,732)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(7,151)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 operating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617,521</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612,281</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601,942</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604,334</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Merger-related expenses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617,521</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612,281</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601,942</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604,334</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color w:val="auto"/>
              </w:rPr>
              <w:t>Taxable-equivalent net interest income</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662,500</w:t>
            </w:r>
          </w:p>
        </w:tc>
        <w:tc>
          <w:tcPr>
            <w:tcW w:w="760" w:type="dxa"/>
            <w:vAlign w:val="bottom"/>
          </w:tcPr>
          <w:p>
            <w:pPr>
              <w:jc w:val="right"/>
              <w:spacing w:after="0"/>
              <w:rPr>
                <w:sz w:val="20"/>
                <w:szCs w:val="20"/>
                <w:color w:val="auto"/>
              </w:rPr>
            </w:pPr>
            <w:r>
              <w:rPr>
                <w:rFonts w:ascii="Arial" w:cs="Arial" w:eastAsia="Arial" w:hAnsi="Arial"/>
                <w:sz w:val="18"/>
                <w:szCs w:val="18"/>
                <w:color w:val="auto"/>
              </w:rPr>
              <w:t>673,929</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669,256</w:t>
            </w:r>
          </w:p>
        </w:tc>
        <w:tc>
          <w:tcPr>
            <w:tcW w:w="760" w:type="dxa"/>
            <w:vAlign w:val="bottom"/>
          </w:tcPr>
          <w:p>
            <w:pPr>
              <w:jc w:val="right"/>
              <w:spacing w:after="0"/>
              <w:rPr>
                <w:sz w:val="20"/>
                <w:szCs w:val="20"/>
                <w:color w:val="auto"/>
              </w:rPr>
            </w:pPr>
            <w:r>
              <w:rPr>
                <w:rFonts w:ascii="Arial" w:cs="Arial" w:eastAsia="Arial" w:hAnsi="Arial"/>
                <w:sz w:val="18"/>
                <w:szCs w:val="18"/>
                <w:color w:val="auto"/>
              </w:rPr>
              <w:t>654,628</w:t>
            </w:r>
          </w:p>
        </w:tc>
        <w:tc>
          <w:tcPr>
            <w:tcW w:w="2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627,094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432,882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453,164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445,733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391,650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Less: Gain (loss) on bank investment securities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1,105,182</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1,141,584</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1,120,289</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1,062,859</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1,015,258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74,381</w:t>
            </w: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(874)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common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82,812</w:t>
            </w:r>
          </w:p>
        </w:tc>
        <w:tc>
          <w:tcPr>
            <w:tcW w:w="760" w:type="dxa"/>
            <w:vAlign w:val="bottom"/>
          </w:tcPr>
          <w:p>
            <w:pPr>
              <w:jc w:val="right"/>
              <w:spacing w:after="0"/>
              <w:rPr>
                <w:sz w:val="20"/>
                <w:szCs w:val="20"/>
                <w:color w:val="auto"/>
              </w:rPr>
            </w:pPr>
            <w:r>
              <w:rPr>
                <w:rFonts w:ascii="Arial" w:cs="Arial" w:eastAsia="Arial" w:hAnsi="Arial"/>
                <w:sz w:val="18"/>
                <w:szCs w:val="18"/>
                <w:color w:val="auto"/>
              </w:rPr>
              <w:t>83,009</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81,085</w:t>
            </w:r>
          </w:p>
        </w:tc>
        <w:tc>
          <w:tcPr>
            <w:tcW w:w="760" w:type="dxa"/>
            <w:vAlign w:val="bottom"/>
          </w:tcPr>
          <w:p>
            <w:pPr>
              <w:jc w:val="right"/>
              <w:spacing w:after="0"/>
              <w:rPr>
                <w:sz w:val="20"/>
                <w:szCs w:val="20"/>
                <w:color w:val="auto"/>
              </w:rPr>
            </w:pPr>
            <w:r>
              <w:rPr>
                <w:rFonts w:ascii="Arial" w:cs="Arial" w:eastAsia="Arial" w:hAnsi="Arial"/>
                <w:sz w:val="18"/>
                <w:szCs w:val="18"/>
                <w:color w:val="auto"/>
              </w:rPr>
              <w:t>80,808</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Total 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79,215</w:t>
            </w:r>
          </w:p>
        </w:tc>
        <w:tc>
          <w:tcPr>
            <w:tcW w:w="760" w:type="dxa"/>
            <w:vAlign w:val="bottom"/>
          </w:tcPr>
          <w:p>
            <w:pPr>
              <w:jc w:val="right"/>
              <w:spacing w:after="0"/>
              <w:rPr>
                <w:sz w:val="20"/>
                <w:szCs w:val="20"/>
                <w:color w:val="auto"/>
              </w:rPr>
            </w:pPr>
            <w:r>
              <w:rPr>
                <w:rFonts w:ascii="Arial" w:cs="Arial" w:eastAsia="Arial" w:hAnsi="Arial"/>
                <w:sz w:val="18"/>
                <w:szCs w:val="18"/>
                <w:color w:val="auto"/>
              </w:rPr>
              <w:t>79,402</w:t>
            </w:r>
          </w:p>
        </w:tc>
        <w:tc>
          <w:tcPr>
            <w:tcW w:w="2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77,469</w:t>
            </w:r>
          </w:p>
        </w:tc>
        <w:tc>
          <w:tcPr>
            <w:tcW w:w="760" w:type="dxa"/>
            <w:vAlign w:val="bottom"/>
          </w:tcPr>
          <w:p>
            <w:pPr>
              <w:jc w:val="right"/>
              <w:spacing w:after="0"/>
              <w:rPr>
                <w:sz w:val="20"/>
                <w:szCs w:val="20"/>
                <w:color w:val="auto"/>
              </w:rPr>
            </w:pPr>
            <w:r>
              <w:rPr>
                <w:rFonts w:ascii="Arial" w:cs="Arial" w:eastAsia="Arial" w:hAnsi="Arial"/>
                <w:sz w:val="18"/>
                <w:szCs w:val="18"/>
                <w:color w:val="auto"/>
              </w:rPr>
              <w:t>77,181</w:t>
            </w: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10,423</w:t>
            </w:r>
          </w:p>
        </w:tc>
        <w:tc>
          <w:tcPr>
            <w:tcW w:w="760" w:type="dxa"/>
            <w:vAlign w:val="bottom"/>
          </w:tcPr>
          <w:p>
            <w:pPr>
              <w:jc w:val="right"/>
              <w:spacing w:after="0"/>
              <w:rPr>
                <w:sz w:val="20"/>
                <w:szCs w:val="20"/>
                <w:color w:val="auto"/>
              </w:rPr>
            </w:pPr>
            <w:r>
              <w:rPr>
                <w:rFonts w:ascii="Arial" w:cs="Arial" w:eastAsia="Arial" w:hAnsi="Arial"/>
                <w:sz w:val="18"/>
                <w:szCs w:val="18"/>
                <w:color w:val="auto"/>
              </w:rPr>
              <w:t>10,203</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9,945</w:t>
            </w:r>
          </w:p>
        </w:tc>
        <w:tc>
          <w:tcPr>
            <w:tcW w:w="760" w:type="dxa"/>
            <w:vAlign w:val="bottom"/>
          </w:tcPr>
          <w:p>
            <w:pPr>
              <w:jc w:val="right"/>
              <w:spacing w:after="0"/>
              <w:rPr>
                <w:sz w:val="20"/>
                <w:szCs w:val="20"/>
                <w:color w:val="auto"/>
              </w:rPr>
            </w:pPr>
            <w:r>
              <w:rPr>
                <w:rFonts w:ascii="Arial" w:cs="Arial" w:eastAsia="Arial" w:hAnsi="Arial"/>
                <w:sz w:val="18"/>
                <w:szCs w:val="18"/>
                <w:color w:val="auto"/>
              </w:rPr>
              <w:t>9,630</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Undeclared dividends—cumulative preferred stock</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equity, net of undeclared cumulative preferred dividends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90" w:name="page91"/>
    <w:bookmarkEnd w:id="90"/>
    <w:p>
      <w:pPr>
        <w:ind w:left="432"/>
        <w:spacing w:after="0"/>
        <w:tabs>
          <w:tab w:leader="none" w:pos="6232" w:val="left"/>
          <w:tab w:leader="none" w:pos="6632" w:val="left"/>
          <w:tab w:leader="none" w:pos="7672" w:val="left"/>
          <w:tab w:leader="none" w:pos="8712" w:val="left"/>
          <w:tab w:leader="none" w:pos="9752" w:val="left"/>
          <w:tab w:leader="none" w:pos="10792" w:val="left"/>
        </w:tabs>
        <w:rPr>
          <w:sz w:val="20"/>
          <w:szCs w:val="20"/>
          <w:color w:val="auto"/>
        </w:rPr>
      </w:pPr>
      <w:r>
        <w:rPr>
          <w:rFonts w:ascii="Arial" w:cs="Arial" w:eastAsia="Arial" w:hAnsi="Arial"/>
          <w:sz w:val="18"/>
          <w:szCs w:val="18"/>
          <w:color w:val="auto"/>
        </w:rPr>
        <w:t>Total tangible common equity</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5,948</w:t>
      </w:r>
      <w:r>
        <w:rPr>
          <w:sz w:val="20"/>
          <w:szCs w:val="20"/>
          <w:color w:val="auto"/>
        </w:rPr>
        <w:tab/>
      </w:r>
      <w:r>
        <w:rPr>
          <w:rFonts w:ascii="Arial" w:cs="Arial" w:eastAsia="Arial" w:hAnsi="Arial"/>
          <w:sz w:val="18"/>
          <w:szCs w:val="18"/>
          <w:color w:val="auto"/>
        </w:rPr>
        <w:t>5,720</w:t>
      </w:r>
      <w:r>
        <w:rPr>
          <w:sz w:val="20"/>
          <w:szCs w:val="20"/>
          <w:color w:val="auto"/>
        </w:rPr>
        <w:tab/>
      </w:r>
      <w:r>
        <w:rPr>
          <w:rFonts w:ascii="Arial" w:cs="Arial" w:eastAsia="Arial" w:hAnsi="Arial"/>
          <w:sz w:val="18"/>
          <w:szCs w:val="18"/>
          <w:color w:val="auto"/>
        </w:rPr>
        <w:t>5,455</w:t>
      </w:r>
      <w:r>
        <w:rPr>
          <w:sz w:val="20"/>
          <w:szCs w:val="20"/>
          <w:color w:val="auto"/>
        </w:rPr>
        <w:tab/>
      </w:r>
      <w:r>
        <w:rPr>
          <w:rFonts w:ascii="Arial" w:cs="Arial" w:eastAsia="Arial" w:hAnsi="Arial"/>
          <w:sz w:val="18"/>
          <w:szCs w:val="18"/>
          <w:color w:val="auto"/>
        </w:rPr>
        <w:t>5,131</w:t>
      </w:r>
      <w:r>
        <w:rPr>
          <w:sz w:val="20"/>
          <w:szCs w:val="20"/>
          <w:color w:val="auto"/>
        </w:rPr>
        <w:tab/>
      </w:r>
      <w:r>
        <w:rPr>
          <w:rFonts w:ascii="Arial" w:cs="Arial" w:eastAsia="Arial" w:hAnsi="Arial"/>
          <w:sz w:val="15"/>
          <w:szCs w:val="15"/>
          <w:color w:val="auto"/>
        </w:rPr>
        <w:t>4,920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ind w:left="452" w:hanging="452"/>
        <w:spacing w:after="0"/>
        <w:tabs>
          <w:tab w:leader="none" w:pos="452"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58"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212"/>
          </w:cols>
          <w:pgMar w:left="248" w:top="131"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378"/>
        </w:trPr>
        <w:tc>
          <w:tcPr>
            <w:tcW w:w="6980" w:type="dxa"/>
            <w:vAlign w:val="bottom"/>
            <w:gridSpan w:val="10"/>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ind w:left="440"/>
              <w:spacing w:after="0"/>
              <w:rPr>
                <w:sz w:val="20"/>
                <w:szCs w:val="20"/>
                <w:color w:val="auto"/>
              </w:rPr>
            </w:pPr>
            <w:r>
              <w:rPr>
                <w:rFonts w:ascii="Arial" w:cs="Arial" w:eastAsia="Arial" w:hAnsi="Arial"/>
                <w:sz w:val="14"/>
                <w:szCs w:val="14"/>
                <w:color w:val="auto"/>
                <w:w w:val="91"/>
              </w:rPr>
              <w:t>2013 First Quarter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4"/>
                <w:szCs w:val="14"/>
                <w:color w:val="auto"/>
              </w:rPr>
              <w:t>2012 Fourth Quarter</w:t>
            </w:r>
          </w:p>
        </w:tc>
        <w:tc>
          <w:tcPr>
            <w:tcW w:w="1520" w:type="dxa"/>
            <w:vAlign w:val="bottom"/>
            <w:gridSpan w:val="4"/>
          </w:tcPr>
          <w:p>
            <w:pPr>
              <w:ind w:left="460"/>
              <w:spacing w:after="0"/>
              <w:rPr>
                <w:sz w:val="20"/>
                <w:szCs w:val="20"/>
                <w:color w:val="auto"/>
              </w:rPr>
            </w:pPr>
            <w:r>
              <w:rPr>
                <w:rFonts w:ascii="Arial" w:cs="Arial" w:eastAsia="Arial" w:hAnsi="Arial"/>
                <w:sz w:val="14"/>
                <w:szCs w:val="14"/>
                <w:color w:val="auto"/>
                <w:w w:val="87"/>
              </w:rPr>
              <w:t>2012 Third Quarter</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w w:val="95"/>
              </w:rPr>
              <w:t>Average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4"/>
              </w:rPr>
              <w:t>Average</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Average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4"/>
              </w:rPr>
              <w:t>Average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Average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66"/>
        </w:trPr>
        <w:tc>
          <w:tcPr>
            <w:tcW w:w="4640" w:type="dxa"/>
            <w:vAlign w:val="bottom"/>
            <w:gridSpan w:val="3"/>
            <w:vMerge w:val="continue"/>
          </w:tcPr>
          <w:p>
            <w:pPr>
              <w:spacing w:after="0"/>
              <w:rPr>
                <w:sz w:val="14"/>
                <w:szCs w:val="14"/>
                <w:color w:val="auto"/>
              </w:rPr>
            </w:pPr>
          </w:p>
        </w:tc>
        <w:tc>
          <w:tcPr>
            <w:tcW w:w="76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w w:val="94"/>
              </w:rPr>
              <w:t>Balance</w:t>
            </w:r>
          </w:p>
        </w:tc>
        <w:tc>
          <w:tcPr>
            <w:tcW w:w="840" w:type="dxa"/>
            <w:vAlign w:val="bottom"/>
            <w:gridSpan w:val="2"/>
          </w:tcPr>
          <w:p>
            <w:pPr>
              <w:ind w:left="140"/>
              <w:spacing w:after="0" w:line="146" w:lineRule="exact"/>
              <w:rPr>
                <w:sz w:val="20"/>
                <w:szCs w:val="20"/>
                <w:color w:val="auto"/>
              </w:rPr>
            </w:pPr>
            <w:r>
              <w:rPr>
                <w:rFonts w:ascii="Arial" w:cs="Arial" w:eastAsia="Arial" w:hAnsi="Arial"/>
                <w:sz w:val="14"/>
                <w:szCs w:val="14"/>
                <w:color w:val="auto"/>
              </w:rPr>
              <w:t>Interest</w:t>
            </w:r>
          </w:p>
        </w:tc>
        <w:tc>
          <w:tcPr>
            <w:tcW w:w="74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Rate</w:t>
            </w:r>
          </w:p>
        </w:tc>
        <w:tc>
          <w:tcPr>
            <w:tcW w:w="72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w w:val="90"/>
              </w:rPr>
              <w:t>Balance</w:t>
            </w:r>
          </w:p>
        </w:tc>
        <w:tc>
          <w:tcPr>
            <w:tcW w:w="620" w:type="dxa"/>
            <w:vAlign w:val="bottom"/>
          </w:tcPr>
          <w:p>
            <w:pPr>
              <w:jc w:val="right"/>
              <w:ind w:right="13"/>
              <w:spacing w:after="0" w:line="146" w:lineRule="exact"/>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4"/>
                <w:szCs w:val="14"/>
                <w:color w:val="auto"/>
              </w:rPr>
            </w:pPr>
          </w:p>
        </w:tc>
        <w:tc>
          <w:tcPr>
            <w:tcW w:w="740" w:type="dxa"/>
            <w:vAlign w:val="bottom"/>
            <w:gridSpan w:val="2"/>
          </w:tcPr>
          <w:p>
            <w:pPr>
              <w:jc w:val="right"/>
              <w:ind w:right="380"/>
              <w:spacing w:after="0" w:line="146" w:lineRule="exact"/>
              <w:rPr>
                <w:sz w:val="20"/>
                <w:szCs w:val="20"/>
                <w:color w:val="auto"/>
              </w:rPr>
            </w:pPr>
            <w:r>
              <w:rPr>
                <w:rFonts w:ascii="Arial" w:cs="Arial" w:eastAsia="Arial" w:hAnsi="Arial"/>
                <w:sz w:val="14"/>
                <w:szCs w:val="14"/>
                <w:color w:val="auto"/>
              </w:rPr>
              <w:t>Rate</w:t>
            </w:r>
          </w:p>
        </w:tc>
        <w:tc>
          <w:tcPr>
            <w:tcW w:w="7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w w:val="90"/>
              </w:rPr>
              <w:t>Balance</w:t>
            </w:r>
          </w:p>
        </w:tc>
        <w:tc>
          <w:tcPr>
            <w:tcW w:w="82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Interest</w:t>
            </w:r>
          </w:p>
        </w:tc>
        <w:tc>
          <w:tcPr>
            <w:tcW w:w="6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Commercial, financial, etc.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17,328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$156,204</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16,995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157,414</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3.68%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16,504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154,840</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estate—commercial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25,915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25,332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291,267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24,995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288,193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Real estate—consumer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11,142</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113,939</w:t>
            </w: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11,087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113,698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10,296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110,346</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11,467</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11,597</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136,615</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11,660</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139,524</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Total loans and leases, net</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65,852</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687,840</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65,011</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698,994</w:t>
            </w: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63,455</w:t>
            </w: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692,903</w:t>
            </w: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620" w:type="dxa"/>
            <w:vAlign w:val="bottom"/>
          </w:tcPr>
          <w:p>
            <w:pPr>
              <w:jc w:val="right"/>
              <w:spacing w:after="0"/>
              <w:rPr>
                <w:sz w:val="20"/>
                <w:szCs w:val="20"/>
                <w:color w:val="auto"/>
              </w:rPr>
            </w:pPr>
            <w:r>
              <w:rPr>
                <w:rFonts w:ascii="Arial" w:cs="Arial" w:eastAsia="Arial" w:hAnsi="Arial"/>
                <w:sz w:val="18"/>
                <w:szCs w:val="18"/>
                <w:color w:val="auto"/>
              </w:rPr>
              <w:t>2,695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640" w:type="dxa"/>
            <w:vAlign w:val="bottom"/>
          </w:tcPr>
          <w:p>
            <w:pPr>
              <w:jc w:val="right"/>
              <w:spacing w:after="0"/>
              <w:rPr>
                <w:sz w:val="20"/>
                <w:szCs w:val="20"/>
                <w:color w:val="auto"/>
              </w:rPr>
            </w:pPr>
            <w:r>
              <w:rPr>
                <w:rFonts w:ascii="Arial" w:cs="Arial" w:eastAsia="Arial" w:hAnsi="Arial"/>
                <w:sz w:val="18"/>
                <w:szCs w:val="18"/>
                <w:color w:val="auto"/>
              </w:rPr>
              <w:t>2,899</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47,610</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52,409</w:t>
            </w: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58,072</w:t>
            </w: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72,339</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736,425</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71,679</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751,860</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70,662</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751,385</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81,913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81,366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80,432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35,394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14,037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34,587</w:t>
            </w:r>
          </w:p>
        </w:tc>
        <w:tc>
          <w:tcPr>
            <w:tcW w:w="620" w:type="dxa"/>
            <w:vAlign w:val="bottom"/>
          </w:tcPr>
          <w:p>
            <w:pPr>
              <w:jc w:val="right"/>
              <w:spacing w:after="0"/>
              <w:rPr>
                <w:sz w:val="20"/>
                <w:szCs w:val="20"/>
                <w:color w:val="auto"/>
              </w:rPr>
            </w:pPr>
            <w:r>
              <w:rPr>
                <w:rFonts w:ascii="Arial" w:cs="Arial" w:eastAsia="Arial" w:hAnsi="Arial"/>
                <w:sz w:val="18"/>
                <w:szCs w:val="18"/>
                <w:color w:val="auto"/>
              </w:rPr>
              <w:t>16,378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33,298</w:t>
            </w:r>
          </w:p>
        </w:tc>
        <w:tc>
          <w:tcPr>
            <w:tcW w:w="640" w:type="dxa"/>
            <w:vAlign w:val="bottom"/>
          </w:tcPr>
          <w:p>
            <w:pPr>
              <w:jc w:val="right"/>
              <w:spacing w:after="0"/>
              <w:rPr>
                <w:sz w:val="20"/>
                <w:szCs w:val="20"/>
                <w:color w:val="auto"/>
              </w:rPr>
            </w:pPr>
            <w:r>
              <w:rPr>
                <w:rFonts w:ascii="Arial" w:cs="Arial" w:eastAsia="Arial" w:hAnsi="Arial"/>
                <w:sz w:val="18"/>
                <w:szCs w:val="18"/>
                <w:color w:val="auto"/>
              </w:rPr>
              <w:t>16,510</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41,584</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22,943</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40,958</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26,432</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40,039</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28,016</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677</w:t>
            </w: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50,751</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51,229</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46,909</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73,925</w:t>
            </w:r>
          </w:p>
        </w:tc>
        <w:tc>
          <w:tcPr>
            <w:tcW w:w="1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46,145</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77,931</w:t>
            </w: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46,021</w:t>
            </w: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82,129</w:t>
            </w: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22,956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23,311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22,704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71,591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71,261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70,643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10,322</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10,105</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81,913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81,366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80,432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line="20" w:lineRule="exact"/>
              <w:rPr>
                <w:sz w:val="1"/>
                <w:szCs w:val="1"/>
                <w:color w:val="auto"/>
              </w:rPr>
            </w:pPr>
          </w:p>
        </w:tc>
      </w:tr>
      <w:tr>
        <w:trPr>
          <w:trHeight w:val="208"/>
        </w:trPr>
        <w:tc>
          <w:tcPr>
            <w:tcW w:w="4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662,500</w:t>
            </w: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673,929</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3.74%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669,256</w:t>
            </w: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0620"/>
        <w:spacing w:after="0"/>
        <w:rPr>
          <w:sz w:val="20"/>
          <w:szCs w:val="20"/>
          <w:color w:val="auto"/>
        </w:rPr>
      </w:pPr>
      <w:r>
        <w:rPr>
          <w:rFonts w:ascii="Arial" w:cs="Arial" w:eastAsia="Arial" w:hAnsi="Arial"/>
          <w:sz w:val="15"/>
          <w:szCs w:val="15"/>
          <w:color w:val="auto"/>
        </w:rPr>
        <w:t>(continued)</w:t>
      </w:r>
    </w:p>
    <w:p>
      <w:pPr>
        <w:spacing w:after="0" w:line="24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4"/>
                <w:szCs w:val="14"/>
                <w:color w:val="auto"/>
              </w:rPr>
              <w:t>2012 Second Quarter</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w w:val="98"/>
              </w:rPr>
              <w:t>2012 First Quarter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color w:val="auto"/>
                <w:w w:val="91"/>
              </w:rPr>
              <w:t>Average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80"/>
              </w:rPr>
              <w:t>Average</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Average</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66"/>
        </w:trPr>
        <w:tc>
          <w:tcPr>
            <w:tcW w:w="6320" w:type="dxa"/>
            <w:vAlign w:val="bottom"/>
            <w:gridSpan w:val="3"/>
            <w:vMerge w:val="continue"/>
          </w:tcPr>
          <w:p>
            <w:pPr>
              <w:spacing w:after="0"/>
              <w:rPr>
                <w:sz w:val="14"/>
                <w:szCs w:val="14"/>
                <w:color w:val="auto"/>
              </w:rPr>
            </w:pPr>
          </w:p>
        </w:tc>
        <w:tc>
          <w:tcPr>
            <w:tcW w:w="880" w:type="dxa"/>
            <w:vAlign w:val="bottom"/>
            <w:gridSpan w:val="3"/>
          </w:tcPr>
          <w:p>
            <w:pPr>
              <w:jc w:val="right"/>
              <w:ind w:right="380"/>
              <w:spacing w:after="0" w:line="146" w:lineRule="exact"/>
              <w:rPr>
                <w:sz w:val="20"/>
                <w:szCs w:val="20"/>
                <w:color w:val="auto"/>
              </w:rPr>
            </w:pPr>
            <w:r>
              <w:rPr>
                <w:rFonts w:ascii="Arial" w:cs="Arial" w:eastAsia="Arial" w:hAnsi="Arial"/>
                <w:sz w:val="14"/>
                <w:szCs w:val="14"/>
                <w:color w:val="auto"/>
                <w:w w:val="94"/>
              </w:rPr>
              <w:t>Balance</w:t>
            </w:r>
          </w:p>
        </w:tc>
        <w:tc>
          <w:tcPr>
            <w:tcW w:w="96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Interest</w:t>
            </w:r>
          </w:p>
        </w:tc>
        <w:tc>
          <w:tcPr>
            <w:tcW w:w="84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rPr>
              <w:t>Rate</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w w:val="94"/>
              </w:rPr>
              <w:t>Balance</w:t>
            </w:r>
          </w:p>
        </w:tc>
        <w:tc>
          <w:tcPr>
            <w:tcW w:w="240" w:type="dxa"/>
            <w:vAlign w:val="bottom"/>
          </w:tcPr>
          <w:p>
            <w:pPr>
              <w:spacing w:after="0"/>
              <w:rPr>
                <w:sz w:val="14"/>
                <w:szCs w:val="14"/>
                <w:color w:val="auto"/>
              </w:rPr>
            </w:pPr>
          </w:p>
        </w:tc>
        <w:tc>
          <w:tcPr>
            <w:tcW w:w="92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Interest</w:t>
            </w:r>
          </w:p>
        </w:tc>
        <w:tc>
          <w:tcPr>
            <w:tcW w:w="6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16,104</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$149,107</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3.72%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15,732</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145,134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estate—commercial</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24,737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287,724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24,559</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271,539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Real estate—consumer</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9,216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102,164</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4.43</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8,286</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95,308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11,769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141,031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11,907</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142,083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loans and leases, net</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61,826</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680,026</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60,484</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654,064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4,877</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41,621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660" w:type="dxa"/>
            <w:vAlign w:val="bottom"/>
          </w:tcPr>
          <w:p>
            <w:pPr>
              <w:jc w:val="right"/>
              <w:spacing w:after="0"/>
              <w:rPr>
                <w:sz w:val="20"/>
                <w:szCs w:val="20"/>
                <w:color w:val="auto"/>
              </w:rPr>
            </w:pPr>
            <w:r>
              <w:rPr>
                <w:rFonts w:ascii="Arial" w:cs="Arial" w:eastAsia="Arial" w:hAnsi="Arial"/>
                <w:sz w:val="18"/>
                <w:szCs w:val="18"/>
                <w:color w:val="auto"/>
              </w:rPr>
              <w:t>2,979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3,065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21,467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investment securities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7,271</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62,819</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7,507</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66,153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70,450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744,031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68,388</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720,800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Allowance for credit losses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(918)</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1,350</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9,205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9,250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80,087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78,026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33,286</w:t>
            </w:r>
          </w:p>
        </w:tc>
        <w:tc>
          <w:tcPr>
            <w:tcW w:w="660" w:type="dxa"/>
            <w:vAlign w:val="bottom"/>
          </w:tcPr>
          <w:p>
            <w:pPr>
              <w:jc w:val="right"/>
              <w:spacing w:after="0"/>
              <w:rPr>
                <w:sz w:val="20"/>
                <w:szCs w:val="20"/>
                <w:color w:val="auto"/>
              </w:rPr>
            </w:pPr>
            <w:r>
              <w:rPr>
                <w:rFonts w:ascii="Arial" w:cs="Arial" w:eastAsia="Arial" w:hAnsi="Arial"/>
                <w:sz w:val="18"/>
                <w:szCs w:val="18"/>
                <w:color w:val="auto"/>
              </w:rPr>
              <w:t>16,940</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32,410</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18,183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5,960</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13,509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213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40,129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39,693</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32,188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828</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303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6,507</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61,215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47,106</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89,403</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47,028</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93,706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21,401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19,598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2,044</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70,551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68,650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9,536</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9,376</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80,087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78,026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line="20" w:lineRule="exact"/>
              <w:rPr>
                <w:sz w:val="1"/>
                <w:szCs w:val="1"/>
                <w:color w:val="auto"/>
              </w:rPr>
            </w:pPr>
          </w:p>
        </w:tc>
      </w:tr>
      <w:tr>
        <w:trPr>
          <w:trHeight w:val="208"/>
        </w:trPr>
        <w:tc>
          <w:tcPr>
            <w:tcW w:w="63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654,628</w:t>
            </w:r>
          </w:p>
        </w:tc>
        <w:tc>
          <w:tcPr>
            <w:tcW w:w="3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3.74%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627,094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90" w:lineRule="exact"/>
        <w:rPr>
          <w:sz w:val="20"/>
          <w:szCs w:val="20"/>
          <w:color w:val="auto"/>
        </w:rPr>
      </w:pPr>
    </w:p>
    <w:p>
      <w:pPr>
        <w:ind w:right="140" w:firstLine="464"/>
        <w:spacing w:after="0" w:line="30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2013.</w:t>
      </w:r>
    </w:p>
    <w:p>
      <w:pPr>
        <w:spacing w:after="0" w:line="106" w:lineRule="exact"/>
        <w:rPr>
          <w:rFonts w:ascii="Arial" w:cs="Arial" w:eastAsia="Arial" w:hAnsi="Arial"/>
          <w:sz w:val="16"/>
          <w:szCs w:val="16"/>
          <w:color w:val="auto"/>
        </w:rPr>
      </w:pPr>
    </w:p>
    <w:p>
      <w:pPr>
        <w:ind w:right="100" w:firstLine="464"/>
        <w:spacing w:after="0" w:line="29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2013 that have materially affected, or are reasonably likely to materially affect, M&amp;T’s internal control over financial reporting.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 Not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66033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(d) Maximum</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(c) Total</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Dollar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(or Units)</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3"/>
              </w:rPr>
              <w:t>Purchased</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(a) Total</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as Part of</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w:t>
            </w: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4"/>
              </w:rPr>
              <w:t>(b) Average</w:t>
            </w: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Publicly</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0"/>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4"/>
              </w:rPr>
              <w:t>Price Paid</w:t>
            </w: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Announced</w:t>
            </w:r>
          </w:p>
        </w:tc>
        <w:tc>
          <w:tcPr>
            <w:tcW w:w="4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Under the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582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(or Units)</w:t>
            </w: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1"/>
              </w:rPr>
              <w:t>per Share</w:t>
            </w:r>
          </w:p>
        </w:tc>
        <w:tc>
          <w:tcPr>
            <w:tcW w:w="4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Plans or</w:t>
            </w:r>
          </w:p>
        </w:tc>
        <w:tc>
          <w:tcPr>
            <w:tcW w:w="4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Plans or</w:t>
            </w:r>
          </w:p>
        </w:tc>
        <w:tc>
          <w:tcPr>
            <w:tcW w:w="0" w:type="dxa"/>
            <w:vAlign w:val="bottom"/>
          </w:tcPr>
          <w:p>
            <w:pPr>
              <w:spacing w:after="0"/>
              <w:rPr>
                <w:sz w:val="1"/>
                <w:szCs w:val="1"/>
                <w:color w:val="auto"/>
              </w:rPr>
            </w:pPr>
          </w:p>
        </w:tc>
      </w:tr>
      <w:tr>
        <w:trPr>
          <w:trHeight w:val="166"/>
        </w:trPr>
        <w:tc>
          <w:tcPr>
            <w:tcW w:w="380" w:type="dxa"/>
            <w:vAlign w:val="bottom"/>
            <w:tcBorders>
              <w:bottom w:val="single" w:sz="8" w:color="auto"/>
            </w:tcBorders>
            <w:vMerge w:val="continue"/>
          </w:tcPr>
          <w:p>
            <w:pPr>
              <w:spacing w:after="0"/>
              <w:rPr>
                <w:sz w:val="14"/>
                <w:szCs w:val="14"/>
                <w:color w:val="auto"/>
              </w:rPr>
            </w:pPr>
          </w:p>
        </w:tc>
        <w:tc>
          <w:tcPr>
            <w:tcW w:w="5820" w:type="dxa"/>
            <w:vAlign w:val="bottom"/>
            <w:vMerge w:val="continue"/>
          </w:tcPr>
          <w:p>
            <w:pPr>
              <w:spacing w:after="0"/>
              <w:rPr>
                <w:sz w:val="14"/>
                <w:szCs w:val="14"/>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4"/>
                <w:szCs w:val="14"/>
                <w:color w:val="auto"/>
                <w:w w:val="84"/>
              </w:rPr>
              <w:t>Purchased (1)</w:t>
            </w:r>
          </w:p>
        </w:tc>
        <w:tc>
          <w:tcPr>
            <w:tcW w:w="480" w:type="dxa"/>
            <w:vAlign w:val="bottom"/>
          </w:tcPr>
          <w:p>
            <w:pPr>
              <w:spacing w:after="0"/>
              <w:rPr>
                <w:sz w:val="14"/>
                <w:szCs w:val="14"/>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94"/>
              </w:rPr>
              <w:t>(or Unit)</w:t>
            </w:r>
          </w:p>
        </w:tc>
        <w:tc>
          <w:tcPr>
            <w:tcW w:w="480" w:type="dxa"/>
            <w:vAlign w:val="bottom"/>
          </w:tcPr>
          <w:p>
            <w:pPr>
              <w:spacing w:after="0"/>
              <w:rPr>
                <w:sz w:val="14"/>
                <w:szCs w:val="14"/>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4"/>
                <w:szCs w:val="14"/>
                <w:color w:val="auto"/>
                <w:w w:val="85"/>
              </w:rPr>
              <w:t>Programs</w:t>
            </w:r>
          </w:p>
        </w:tc>
        <w:tc>
          <w:tcPr>
            <w:tcW w:w="460" w:type="dxa"/>
            <w:vAlign w:val="bottom"/>
          </w:tcPr>
          <w:p>
            <w:pPr>
              <w:spacing w:after="0"/>
              <w:rPr>
                <w:sz w:val="14"/>
                <w:szCs w:val="14"/>
                <w:color w:val="auto"/>
              </w:rPr>
            </w:pPr>
          </w:p>
        </w:tc>
        <w:tc>
          <w:tcPr>
            <w:tcW w:w="8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5"/>
              </w:rPr>
              <w:t>Programs (2)</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 January 31, 2013</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175,862</w:t>
            </w: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$ 103.21</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2,181,500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February 1 – February 28, 2013</w:t>
            </w:r>
          </w:p>
        </w:tc>
        <w:tc>
          <w:tcPr>
            <w:tcW w:w="760" w:type="dxa"/>
            <w:vAlign w:val="bottom"/>
          </w:tcPr>
          <w:p>
            <w:pPr>
              <w:jc w:val="right"/>
              <w:spacing w:after="0"/>
              <w:rPr>
                <w:sz w:val="20"/>
                <w:szCs w:val="20"/>
                <w:color w:val="auto"/>
              </w:rPr>
            </w:pPr>
            <w:r>
              <w:rPr>
                <w:rFonts w:ascii="Arial" w:cs="Arial" w:eastAsia="Arial" w:hAnsi="Arial"/>
                <w:sz w:val="18"/>
                <w:szCs w:val="18"/>
                <w:color w:val="auto"/>
              </w:rPr>
              <w:t>1,560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104.75</w:t>
            </w:r>
          </w:p>
        </w:tc>
        <w:tc>
          <w:tcPr>
            <w:tcW w:w="4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177,578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$ 103.22</w:t>
            </w:r>
          </w:p>
        </w:tc>
        <w:tc>
          <w:tcPr>
            <w:tcW w:w="4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40" w:hanging="452"/>
        <w:spacing w:after="0" w:line="303" w:lineRule="auto"/>
        <w:tabs>
          <w:tab w:leader="none" w:pos="460"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i w:val="1"/>
          <w:iCs w:val="1"/>
          <w:color w:val="auto"/>
        </w:rPr>
      </w:pPr>
    </w:p>
    <w:p>
      <w:pPr>
        <w:ind w:left="460" w:right="160" w:hanging="452"/>
        <w:spacing w:after="0" w:line="261" w:lineRule="auto"/>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59" w:lineRule="exact"/>
        <w:rPr>
          <w:sz w:val="20"/>
          <w:szCs w:val="20"/>
          <w:color w:val="auto"/>
        </w:rPr>
      </w:pPr>
    </w:p>
    <w:p>
      <w:pPr>
        <w:jc w:val="center"/>
        <w:ind w:right="7620"/>
        <w:spacing w:after="0"/>
        <w:tabs>
          <w:tab w:leader="none" w:pos="5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jc w:val="center"/>
        <w:ind w:right="770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Mine Safety Disclosures.</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0960"/>
          </w:cols>
          <w:pgMar w:left="240" w:top="459" w:right="6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09" w:lineRule="exact"/>
        <w:rPr>
          <w:sz w:val="20"/>
          <w:szCs w:val="20"/>
          <w:color w:val="auto"/>
        </w:rPr>
      </w:pPr>
    </w:p>
    <w:p>
      <w:pPr>
        <w:jc w:val="center"/>
        <w:ind w:right="10620"/>
        <w:spacing w:after="0"/>
        <w:rPr>
          <w:sz w:val="20"/>
          <w:szCs w:val="20"/>
          <w:color w:val="auto"/>
        </w:rPr>
      </w:pPr>
      <w:r>
        <w:rPr>
          <w:rFonts w:ascii="Arial" w:cs="Arial" w:eastAsia="Arial" w:hAnsi="Arial"/>
          <w:sz w:val="14"/>
          <w:szCs w:val="14"/>
          <w:color w:val="auto"/>
        </w:rPr>
        <w:t>Exhibit</w:t>
      </w:r>
    </w:p>
    <w:p>
      <w:pPr>
        <w:jc w:val="center"/>
        <w:ind w:right="1062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-8255</wp:posOffset>
            </wp:positionV>
            <wp:extent cx="2571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492"/>
              <w:spacing w:after="0"/>
              <w:rPr>
                <w:sz w:val="20"/>
                <w:szCs w:val="20"/>
                <w:color w:val="auto"/>
              </w:rPr>
            </w:pPr>
            <w:r>
              <w:rPr>
                <w:rFonts w:ascii="Arial" w:cs="Arial" w:eastAsia="Arial" w:hAnsi="Arial"/>
                <w:sz w:val="18"/>
                <w:szCs w:val="18"/>
                <w:color w:val="auto"/>
              </w:rPr>
              <w:t>2.1</w:t>
            </w: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Amendment No. 1, dated as of April 13, 2013, to Agreement and Plan of Merger, dated as of August 27, 2012, by and among M&amp;T Bank</w:t>
            </w:r>
          </w:p>
        </w:tc>
      </w:tr>
      <w:tr>
        <w:trPr>
          <w:trHeight w:val="216"/>
        </w:trPr>
        <w:tc>
          <w:tcPr>
            <w:tcW w:w="98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2"/>
              </w:rPr>
              <w:t>Corporation, Hudson City Bancorp., Inc. and Wilmington Trust Corporation. Incorporated by reference to Exhibit 2.1 to the Form 8-K dated</w:t>
            </w:r>
          </w:p>
        </w:tc>
      </w:tr>
      <w:tr>
        <w:trPr>
          <w:trHeight w:val="222"/>
        </w:trPr>
        <w:tc>
          <w:tcPr>
            <w:tcW w:w="98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April 13, 2013 (File No. 1-9861).</w:t>
            </w:r>
          </w:p>
        </w:tc>
      </w:tr>
      <w:tr>
        <w:trPr>
          <w:trHeight w:val="318"/>
        </w:trPr>
        <w:tc>
          <w:tcPr>
            <w:tcW w:w="980" w:type="dxa"/>
            <w:vAlign w:val="bottom"/>
          </w:tcPr>
          <w:p>
            <w:pPr>
              <w:jc w:val="right"/>
              <w:ind w:right="492"/>
              <w:spacing w:after="0"/>
              <w:rPr>
                <w:sz w:val="20"/>
                <w:szCs w:val="20"/>
                <w:color w:val="auto"/>
              </w:rPr>
            </w:pPr>
            <w:r>
              <w:rPr>
                <w:rFonts w:ascii="Arial" w:cs="Arial" w:eastAsia="Arial" w:hAnsi="Arial"/>
                <w:sz w:val="18"/>
                <w:szCs w:val="18"/>
                <w:color w:val="auto"/>
              </w:rPr>
              <w:t>3.1</w:t>
            </w:r>
          </w:p>
        </w:tc>
        <w:tc>
          <w:tcPr>
            <w:tcW w:w="10420" w:type="dxa"/>
            <w:vAlign w:val="bottom"/>
          </w:tcPr>
          <w:p>
            <w:pPr>
              <w:ind w:left="220"/>
              <w:spacing w:after="0"/>
              <w:rPr>
                <w:sz w:val="20"/>
                <w:szCs w:val="20"/>
                <w:color w:val="auto"/>
              </w:rPr>
            </w:pPr>
            <w:r>
              <w:rPr>
                <w:rFonts w:ascii="Arial" w:cs="Arial" w:eastAsia="Arial" w:hAnsi="Arial"/>
                <w:sz w:val="18"/>
                <w:szCs w:val="18"/>
                <w:color w:val="auto"/>
                <w:w w:val="89"/>
              </w:rPr>
              <w:t>Certificate of Amendment to Restated Certificate of Incorporation of M&amp;T Bank Corporation, dated April 19, 2013. Incorporated by reference to</w:t>
            </w:r>
          </w:p>
        </w:tc>
      </w:tr>
      <w:tr>
        <w:trPr>
          <w:trHeight w:val="222"/>
        </w:trPr>
        <w:tc>
          <w:tcPr>
            <w:tcW w:w="98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Exhibit 3.1 to the Form 8-K dated April 22, 2013 (File No. 1-9861).</w:t>
            </w:r>
          </w:p>
        </w:tc>
      </w:tr>
      <w:tr>
        <w:trPr>
          <w:trHeight w:val="324"/>
        </w:trPr>
        <w:tc>
          <w:tcPr>
            <w:tcW w:w="980" w:type="dxa"/>
            <w:vAlign w:val="bottom"/>
          </w:tcPr>
          <w:p>
            <w:pPr>
              <w:jc w:val="right"/>
              <w:ind w:right="492"/>
              <w:spacing w:after="0"/>
              <w:rPr>
                <w:sz w:val="20"/>
                <w:szCs w:val="20"/>
                <w:color w:val="auto"/>
              </w:rPr>
            </w:pPr>
            <w:r>
              <w:rPr>
                <w:rFonts w:ascii="Arial" w:cs="Arial" w:eastAsia="Arial" w:hAnsi="Arial"/>
                <w:sz w:val="18"/>
                <w:szCs w:val="18"/>
                <w:color w:val="auto"/>
              </w:rPr>
              <w:t>31.1</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980" w:type="dxa"/>
            <w:vAlign w:val="bottom"/>
          </w:tcPr>
          <w:p>
            <w:pPr>
              <w:jc w:val="right"/>
              <w:ind w:right="492"/>
              <w:spacing w:after="0"/>
              <w:rPr>
                <w:sz w:val="20"/>
                <w:szCs w:val="20"/>
                <w:color w:val="auto"/>
              </w:rPr>
            </w:pPr>
            <w:r>
              <w:rPr>
                <w:rFonts w:ascii="Arial" w:cs="Arial" w:eastAsia="Arial" w:hAnsi="Arial"/>
                <w:sz w:val="18"/>
                <w:szCs w:val="18"/>
                <w:color w:val="auto"/>
              </w:rPr>
              <w:t>31.2</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980" w:type="dxa"/>
            <w:vAlign w:val="bottom"/>
          </w:tcPr>
          <w:p>
            <w:pPr>
              <w:jc w:val="right"/>
              <w:ind w:right="492"/>
              <w:spacing w:after="0"/>
              <w:rPr>
                <w:sz w:val="20"/>
                <w:szCs w:val="20"/>
                <w:color w:val="auto"/>
              </w:rPr>
            </w:pPr>
            <w:r>
              <w:rPr>
                <w:rFonts w:ascii="Arial" w:cs="Arial" w:eastAsia="Arial" w:hAnsi="Arial"/>
                <w:sz w:val="18"/>
                <w:szCs w:val="18"/>
                <w:color w:val="auto"/>
              </w:rPr>
              <w:t>32.1</w:t>
            </w: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 herewith.</w:t>
            </w:r>
          </w:p>
        </w:tc>
      </w:tr>
      <w:tr>
        <w:trPr>
          <w:trHeight w:val="324"/>
        </w:trPr>
        <w:tc>
          <w:tcPr>
            <w:tcW w:w="980" w:type="dxa"/>
            <w:vAlign w:val="bottom"/>
          </w:tcPr>
          <w:p>
            <w:pPr>
              <w:jc w:val="right"/>
              <w:ind w:right="492"/>
              <w:spacing w:after="0"/>
              <w:rPr>
                <w:sz w:val="20"/>
                <w:szCs w:val="20"/>
                <w:color w:val="auto"/>
              </w:rPr>
            </w:pPr>
            <w:r>
              <w:rPr>
                <w:rFonts w:ascii="Arial" w:cs="Arial" w:eastAsia="Arial" w:hAnsi="Arial"/>
                <w:sz w:val="18"/>
                <w:szCs w:val="18"/>
                <w:color w:val="auto"/>
              </w:rPr>
              <w:t>32.2</w:t>
            </w: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Certification of Chief Financial Officer under 18 U.S.C. §1350 pursuant to Section 906 of the Sarbanes-Oxley Act of 2002. Filed herewith.</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180" w:hanging="212"/>
        <w:spacing w:after="0" w:line="268"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94 -</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M&amp;T BANK CORPORATION</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May 9, 2013</w:t>
            </w: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By: /s/ René F. Jones</w:t>
            </w:r>
          </w:p>
        </w:tc>
      </w:tr>
      <w:tr>
        <w:trPr>
          <w:trHeight w:val="202"/>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René F. Jones</w:t>
            </w: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3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20" w:type="dxa"/>
            <w:vAlign w:val="bottom"/>
          </w:tcPr>
          <w:p>
            <w:pPr>
              <w:ind w:left="4080"/>
              <w:spacing w:after="0"/>
              <w:rPr>
                <w:sz w:val="20"/>
                <w:szCs w:val="20"/>
                <w:color w:val="auto"/>
              </w:rPr>
            </w:pPr>
            <w:r>
              <w:rPr>
                <w:rFonts w:ascii="Arial" w:cs="Arial" w:eastAsia="Arial" w:hAnsi="Arial"/>
                <w:sz w:val="18"/>
                <w:szCs w:val="18"/>
                <w:color w:val="auto"/>
              </w:rPr>
              <w:t>EXHIBIT INDEX</w:t>
            </w:r>
          </w:p>
        </w:tc>
      </w:tr>
      <w:tr>
        <w:trPr>
          <w:trHeight w:val="342"/>
        </w:trPr>
        <w:tc>
          <w:tcPr>
            <w:tcW w:w="18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Exhibit</w:t>
            </w:r>
          </w:p>
        </w:tc>
        <w:tc>
          <w:tcPr>
            <w:tcW w:w="10420" w:type="dxa"/>
            <w:vAlign w:val="bottom"/>
          </w:tcPr>
          <w:p>
            <w:pPr>
              <w:spacing w:after="0"/>
              <w:rPr>
                <w:sz w:val="24"/>
                <w:szCs w:val="24"/>
                <w:color w:val="auto"/>
              </w:rPr>
            </w:pPr>
          </w:p>
        </w:tc>
      </w:tr>
      <w:tr>
        <w:trPr>
          <w:trHeight w:val="159"/>
        </w:trPr>
        <w:tc>
          <w:tcPr>
            <w:tcW w:w="1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400" w:type="dxa"/>
            <w:vAlign w:val="bottom"/>
          </w:tcPr>
          <w:p>
            <w:pPr>
              <w:spacing w:after="0"/>
              <w:rPr>
                <w:sz w:val="13"/>
                <w:szCs w:val="13"/>
                <w:color w:val="auto"/>
              </w:rPr>
            </w:pPr>
          </w:p>
        </w:tc>
        <w:tc>
          <w:tcPr>
            <w:tcW w:w="10420" w:type="dxa"/>
            <w:vAlign w:val="bottom"/>
          </w:tcPr>
          <w:p>
            <w:pPr>
              <w:spacing w:after="0"/>
              <w:rPr>
                <w:sz w:val="13"/>
                <w:szCs w:val="13"/>
                <w:color w:val="auto"/>
              </w:rPr>
            </w:pPr>
          </w:p>
        </w:tc>
      </w:tr>
      <w:tr>
        <w:trPr>
          <w:trHeight w:val="323"/>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Amendment No. 1, dated as of April 13, 2013, to Agreement and Plan of Merger, dated as of August 27, 2012, by and among M&amp;T Bank</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2"/>
              </w:rPr>
              <w:t>Corporation, Hudson City Bancorp., Inc. and Wilmington Trust Corporation. Incorporated by reference to Exhibit 2.1 to the Form 8-K dated</w:t>
            </w: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April 13, 2013 (File No. 1-9861).</w:t>
            </w:r>
          </w:p>
        </w:tc>
      </w:tr>
      <w:tr>
        <w:trPr>
          <w:trHeight w:val="331"/>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89"/>
              </w:rPr>
              <w:t>Certificate of Amendment to Restated Certificate of Incorporation of M&amp;T Bank Corporation, dated April 19, 2013. Incorporated by reference to</w:t>
            </w: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Exhibit 3.1 to the Form 8-K dated April 22, 2013 (File No. 1-9861).</w:t>
            </w:r>
          </w:p>
        </w:tc>
      </w:tr>
      <w:tr>
        <w:trPr>
          <w:trHeight w:val="33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Certification of Chief Financial Officer under 18 U.S.C. §1350 pursuant to Section 906 of the Sarbanes-Oxley Act of 2002. Filed herewith.</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101.SCH*</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101.CAL*</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101.LAB*</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101.DEF*</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00" w:hanging="212"/>
        <w:spacing w:after="0" w:line="268"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95 -</w:t>
      </w:r>
    </w:p>
    <w:p>
      <w:pPr>
        <w:sectPr>
          <w:pgSz w:w="11900" w:h="16838" w:orient="portrait"/>
          <w:cols w:equalWidth="0" w:num="1">
            <w:col w:w="11420"/>
          </w:cols>
          <w:pgMar w:left="240" w:top="45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51" w:lineRule="exact"/>
        <w:rPr>
          <w:sz w:val="20"/>
          <w:szCs w:val="20"/>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2013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51" w:lineRule="exact"/>
        <w:rPr>
          <w:sz w:val="20"/>
          <w:szCs w:val="20"/>
          <w:color w:val="auto"/>
        </w:rPr>
      </w:pPr>
    </w:p>
    <w:p>
      <w:pPr>
        <w:ind w:left="900" w:right="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2013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lvl w:ilvl="1">
      <w:lvlJc w:val="left"/>
      <w:lvlText w:val="-"/>
      <w:numFmt w:val="bullet"/>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lvl w:ilvl="1">
      <w:lvlJc w:val="left"/>
      <w:lvlText w:val="-"/>
      <w:numFmt w:val="bullet"/>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lvl w:ilvl="1">
      <w:lvlJc w:val="left"/>
      <w:lvlText w:val="-"/>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1)"/>
      <w:numFmt w:val="lowerLetter"/>
      <w:start w:val="1"/>
    </w:lvl>
    <w:lvl w:ilvl="1">
      <w:lvlJc w:val="left"/>
      <w:lvlText w:val="-"/>
      <w:numFmt w:val="bullet"/>
      <w:start w:val="1"/>
    </w:lvl>
  </w:abstractNum>
  <w:abstractNum w:abstractNumId="15">
    <w:nsid w:val="3A95F874"/>
    <w:multiLevelType w:val="hybridMultilevel"/>
    <w:lvl w:ilvl="0">
      <w:lvlJc w:val="left"/>
      <w:lvlText w:val="(%1)"/>
      <w:numFmt w:val="lowerLetter"/>
      <w:start w:val="1"/>
    </w:lvl>
    <w:lvl w:ilvl="1">
      <w:lvlJc w:val="left"/>
      <w:lvlText w:val="-"/>
      <w:numFmt w:val="bullet"/>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lvl w:ilvl="1">
      <w:lvlJc w:val="left"/>
      <w:lvlText w:val="-"/>
      <w:numFmt w:val="bullet"/>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2"/>
    </w:lvl>
    <w:lvl w:ilvl="1">
      <w:lvlJc w:val="left"/>
      <w:lvlText w:val="-"/>
      <w:numFmt w:val="bullet"/>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lvl w:ilvl="1">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2019-12-05T10:19:50Z</dcterms:created>
  <dcterms:modified xsi:type="dcterms:W3CDTF">2019-12-05T10:19:50Z</dcterms:modified>
</cp:coreProperties>
</file>