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19" w:lineRule="exact"/>
        <w:rPr>
          <w:sz w:val="24"/>
          <w:szCs w:val="24"/>
          <w:color w:val="auto"/>
        </w:rPr>
      </w:pPr>
    </w:p>
    <w:p>
      <w:pPr>
        <w:spacing w:after="0"/>
        <w:rPr>
          <w:sz w:val="20"/>
          <w:szCs w:val="20"/>
          <w:color w:val="auto"/>
        </w:rPr>
      </w:pPr>
      <w:r>
        <w:rPr>
          <w:rFonts w:ascii="Wingdings" w:cs="Wingdings" w:eastAsia="Wingdings" w:hAnsi="Wingdings"/>
          <w:sz w:val="21"/>
          <w:szCs w:val="21"/>
          <w:b w:val="1"/>
          <w:bCs w:val="1"/>
          <w:color w:val="auto"/>
          <w:highlight w:val="black"/>
        </w:rPr>
        <w:t xml:space="preserve">x </w:t>
      </w: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1-9861</w:t>
      </w:r>
    </w:p>
    <w:p>
      <w:pPr>
        <w:spacing w:after="0" w:line="2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M&amp;T BANK CORPORATION</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8"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15"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298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5740" w:type="dxa"/>
            <w:vAlign w:val="bottom"/>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16-0968385</w:t>
            </w:r>
          </w:p>
        </w:tc>
        <w:tc>
          <w:tcPr>
            <w:tcW w:w="0" w:type="dxa"/>
            <w:vAlign w:val="bottom"/>
          </w:tcPr>
          <w:p>
            <w:pPr>
              <w:spacing w:after="0"/>
              <w:rPr>
                <w:sz w:val="1"/>
                <w:szCs w:val="1"/>
                <w:color w:val="auto"/>
              </w:rPr>
            </w:pPr>
          </w:p>
        </w:tc>
      </w:tr>
      <w:tr>
        <w:trPr>
          <w:trHeight w:val="205"/>
        </w:trPr>
        <w:tc>
          <w:tcPr>
            <w:tcW w:w="29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740" w:type="dxa"/>
            <w:vAlign w:val="bottom"/>
          </w:tcPr>
          <w:p>
            <w:pPr>
              <w:jc w:val="center"/>
              <w:ind w:left="4540"/>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9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740" w:type="dxa"/>
            <w:vAlign w:val="bottom"/>
          </w:tcPr>
          <w:p>
            <w:pPr>
              <w:jc w:val="center"/>
              <w:ind w:left="452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52"/>
        </w:trPr>
        <w:tc>
          <w:tcPr>
            <w:tcW w:w="298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rPr>
              <w:t>One M&amp;T Plaza,</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980" w:type="dxa"/>
            <w:vAlign w:val="bottom"/>
          </w:tcPr>
          <w:p>
            <w:pPr>
              <w:jc w:val="center"/>
              <w:ind w:right="118"/>
              <w:spacing w:after="0"/>
              <w:rPr>
                <w:sz w:val="20"/>
                <w:szCs w:val="20"/>
                <w:color w:val="auto"/>
              </w:rPr>
            </w:pPr>
            <w:r>
              <w:rPr>
                <w:rFonts w:ascii="Times New Roman" w:cs="Times New Roman" w:eastAsia="Times New Roman" w:hAnsi="Times New Roman"/>
                <w:sz w:val="18"/>
                <w:szCs w:val="18"/>
                <w:b w:val="1"/>
                <w:bCs w:val="1"/>
                <w:color w:val="auto"/>
                <w:w w:val="98"/>
              </w:rPr>
              <w:t>Buffalo, New York</w:t>
            </w:r>
          </w:p>
        </w:tc>
        <w:tc>
          <w:tcPr>
            <w:tcW w:w="5740" w:type="dxa"/>
            <w:vAlign w:val="bottom"/>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14203</w:t>
            </w:r>
          </w:p>
        </w:tc>
        <w:tc>
          <w:tcPr>
            <w:tcW w:w="0" w:type="dxa"/>
            <w:vAlign w:val="bottom"/>
          </w:tcPr>
          <w:p>
            <w:pPr>
              <w:spacing w:after="0"/>
              <w:rPr>
                <w:sz w:val="1"/>
                <w:szCs w:val="1"/>
                <w:color w:val="auto"/>
              </w:rPr>
            </w:pPr>
          </w:p>
        </w:tc>
      </w:tr>
      <w:tr>
        <w:trPr>
          <w:trHeight w:val="236"/>
        </w:trPr>
        <w:tc>
          <w:tcPr>
            <w:tcW w:w="2980" w:type="dxa"/>
            <w:vAlign w:val="bottom"/>
          </w:tcPr>
          <w:p>
            <w:pPr>
              <w:jc w:val="center"/>
              <w:ind w:right="98"/>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5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9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740" w:type="dxa"/>
            <w:vAlign w:val="bottom"/>
          </w:tcPr>
          <w:p>
            <w:pPr>
              <w:jc w:val="center"/>
              <w:ind w:left="452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38"/>
        </w:trPr>
        <w:tc>
          <w:tcPr>
            <w:tcW w:w="2980" w:type="dxa"/>
            <w:vAlign w:val="bottom"/>
          </w:tcPr>
          <w:p>
            <w:pPr>
              <w:spacing w:after="0"/>
              <w:rPr>
                <w:sz w:val="24"/>
                <w:szCs w:val="24"/>
                <w:color w:val="auto"/>
              </w:rPr>
            </w:pPr>
          </w:p>
        </w:tc>
        <w:tc>
          <w:tcPr>
            <w:tcW w:w="5740" w:type="dxa"/>
            <w:vAlign w:val="bottom"/>
          </w:tcPr>
          <w:p>
            <w:pPr>
              <w:jc w:val="center"/>
              <w:ind w:right="21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266"/>
        </w:trPr>
        <w:tc>
          <w:tcPr>
            <w:tcW w:w="2980" w:type="dxa"/>
            <w:vAlign w:val="bottom"/>
          </w:tcPr>
          <w:p>
            <w:pPr>
              <w:spacing w:after="0"/>
              <w:rPr>
                <w:sz w:val="23"/>
                <w:szCs w:val="23"/>
                <w:color w:val="auto"/>
              </w:rPr>
            </w:pPr>
          </w:p>
        </w:tc>
        <w:tc>
          <w:tcPr>
            <w:tcW w:w="5740" w:type="dxa"/>
            <w:vAlign w:val="bottom"/>
          </w:tcPr>
          <w:p>
            <w:pPr>
              <w:jc w:val="right"/>
              <w:ind w:right="3320"/>
              <w:spacing w:after="0"/>
              <w:rPr>
                <w:sz w:val="20"/>
                <w:szCs w:val="20"/>
                <w:color w:val="auto"/>
              </w:rPr>
            </w:pPr>
            <w:r>
              <w:rPr>
                <w:rFonts w:ascii="Times New Roman" w:cs="Times New Roman" w:eastAsia="Times New Roman" w:hAnsi="Times New Roman"/>
                <w:sz w:val="18"/>
                <w:szCs w:val="18"/>
                <w:b w:val="1"/>
                <w:bCs w:val="1"/>
                <w:color w:val="auto"/>
              </w:rPr>
              <w:t>(716) 635-4000</w:t>
            </w:r>
          </w:p>
        </w:tc>
        <w:tc>
          <w:tcPr>
            <w:tcW w:w="0" w:type="dxa"/>
            <w:vAlign w:val="bottom"/>
          </w:tcPr>
          <w:p>
            <w:pPr>
              <w:spacing w:after="0"/>
              <w:rPr>
                <w:sz w:val="1"/>
                <w:szCs w:val="1"/>
                <w:color w:val="auto"/>
              </w:rPr>
            </w:pPr>
          </w:p>
        </w:tc>
      </w:tr>
    </w:tbl>
    <w:p>
      <w:pPr>
        <w:spacing w:after="0" w:line="29" w:lineRule="exact"/>
        <w:rPr>
          <w:sz w:val="24"/>
          <w:szCs w:val="24"/>
          <w:color w:val="auto"/>
        </w:rPr>
      </w:pPr>
    </w:p>
    <w:p>
      <w:pPr>
        <w:sectPr>
          <w:pgSz w:w="11900" w:h="16838" w:orient="portrait"/>
          <w:cols w:equalWidth="0" w:num="1">
            <w:col w:w="11240"/>
          </w:cols>
          <w:pgMar w:left="320" w:top="1141" w:right="339" w:bottom="1440" w:gutter="0" w:footer="0" w:header="0"/>
        </w:sectPr>
      </w:pPr>
    </w:p>
    <w:p>
      <w:pPr>
        <w:spacing w:after="0" w:line="338"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4"/>
          <w:szCs w:val="14"/>
          <w:b w:val="1"/>
          <w:bCs w:val="1"/>
          <w:u w:val="single" w:color="auto"/>
          <w:color w:val="auto"/>
        </w:rPr>
        <w:t>Title of Each Class</w:t>
      </w:r>
    </w:p>
    <w:p>
      <w:pPr>
        <w:spacing w:after="0" w:line="7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Common Stock, $0.50 par value</w:t>
      </w:r>
    </w:p>
    <w:p>
      <w:pPr>
        <w:spacing w:after="0" w:line="69" w:lineRule="exact"/>
        <w:rPr>
          <w:sz w:val="24"/>
          <w:szCs w:val="24"/>
          <w:color w:val="auto"/>
        </w:rPr>
      </w:pPr>
    </w:p>
    <w:p>
      <w:pPr>
        <w:ind w:left="20" w:right="640"/>
        <w:spacing w:after="0" w:line="301" w:lineRule="auto"/>
        <w:rPr>
          <w:sz w:val="20"/>
          <w:szCs w:val="20"/>
          <w:color w:val="auto"/>
        </w:rPr>
      </w:pPr>
      <w:r>
        <w:rPr>
          <w:rFonts w:ascii="Times New Roman" w:cs="Times New Roman" w:eastAsia="Times New Roman" w:hAnsi="Times New Roman"/>
          <w:sz w:val="14"/>
          <w:szCs w:val="14"/>
          <w:color w:val="auto"/>
        </w:rPr>
        <w:t>Perpetual Fixed-to-Floating Rate Non-Cumulative Preferred Stock, Series H</w:t>
      </w:r>
    </w:p>
    <w:p>
      <w:pPr>
        <w:spacing w:after="0" w:line="1" w:lineRule="exact"/>
        <w:rPr>
          <w:sz w:val="24"/>
          <w:szCs w:val="24"/>
          <w:color w:val="auto"/>
        </w:rPr>
      </w:pPr>
    </w:p>
    <w:p>
      <w:pPr>
        <w:ind w:left="20" w:right="900"/>
        <w:spacing w:after="0" w:line="301" w:lineRule="auto"/>
        <w:rPr>
          <w:sz w:val="20"/>
          <w:szCs w:val="20"/>
          <w:color w:val="auto"/>
        </w:rPr>
      </w:pPr>
      <w:r>
        <w:rPr>
          <w:rFonts w:ascii="Times New Roman" w:cs="Times New Roman" w:eastAsia="Times New Roman" w:hAnsi="Times New Roman"/>
          <w:sz w:val="14"/>
          <w:szCs w:val="14"/>
          <w:color w:val="auto"/>
        </w:rPr>
        <w:t>Perpetual Fixed Rate Non-Cumulative Preferred Stock, Series J</w:t>
      </w:r>
    </w:p>
    <w:p>
      <w:pPr>
        <w:spacing w:after="0" w:line="1" w:lineRule="exact"/>
        <w:rPr>
          <w:sz w:val="24"/>
          <w:szCs w:val="24"/>
          <w:color w:val="auto"/>
        </w:rPr>
      </w:pPr>
    </w:p>
    <w:p>
      <w:pPr>
        <w:ind w:left="20" w:right="900"/>
        <w:spacing w:after="0" w:line="302" w:lineRule="auto"/>
        <w:rPr>
          <w:sz w:val="20"/>
          <w:szCs w:val="20"/>
          <w:color w:val="auto"/>
        </w:rPr>
      </w:pPr>
      <w:r>
        <w:rPr>
          <w:rFonts w:ascii="Times New Roman" w:cs="Times New Roman" w:eastAsia="Times New Roman" w:hAnsi="Times New Roman"/>
          <w:sz w:val="14"/>
          <w:szCs w:val="14"/>
          <w:color w:val="auto"/>
        </w:rPr>
        <w:t>Perpetual Fixed Rate Non-Cumulative Preferred Stock, Series K</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20" w:type="dxa"/>
            <w:vAlign w:val="bottom"/>
          </w:tcPr>
          <w:p>
            <w:pPr>
              <w:spacing w:after="0"/>
              <w:rPr>
                <w:sz w:val="16"/>
                <w:szCs w:val="16"/>
                <w:color w:val="auto"/>
              </w:rPr>
            </w:pPr>
          </w:p>
        </w:tc>
      </w:tr>
      <w:tr>
        <w:trPr>
          <w:trHeight w:val="307"/>
        </w:trPr>
        <w:tc>
          <w:tcPr>
            <w:tcW w:w="37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0"/>
        </w:trPr>
        <w:tc>
          <w:tcPr>
            <w:tcW w:w="1260" w:type="dxa"/>
            <w:vAlign w:val="bottom"/>
          </w:tcPr>
          <w:p>
            <w:pPr>
              <w:spacing w:after="0"/>
              <w:rPr>
                <w:sz w:val="20"/>
                <w:szCs w:val="20"/>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MTB</w:t>
            </w:r>
          </w:p>
        </w:tc>
        <w:tc>
          <w:tcPr>
            <w:tcW w:w="1480" w:type="dxa"/>
            <w:vAlign w:val="bottom"/>
          </w:tcPr>
          <w:p>
            <w:pPr>
              <w:spacing w:after="0"/>
              <w:rPr>
                <w:sz w:val="20"/>
                <w:szCs w:val="20"/>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310"/>
        </w:trPr>
        <w:tc>
          <w:tcPr>
            <w:tcW w:w="1260" w:type="dxa"/>
            <w:vAlign w:val="bottom"/>
          </w:tcPr>
          <w:p>
            <w:pPr>
              <w:spacing w:after="0"/>
              <w:rPr>
                <w:sz w:val="24"/>
                <w:szCs w:val="24"/>
                <w:color w:val="auto"/>
              </w:rPr>
            </w:pPr>
          </w:p>
        </w:tc>
        <w:tc>
          <w:tcPr>
            <w:tcW w:w="2520" w:type="dxa"/>
            <w:vAlign w:val="bottom"/>
            <w:gridSpan w:val="2"/>
          </w:tcPr>
          <w:p>
            <w:pPr>
              <w:jc w:val="center"/>
              <w:ind w:right="1460"/>
              <w:spacing w:after="0"/>
              <w:rPr>
                <w:sz w:val="20"/>
                <w:szCs w:val="20"/>
                <w:color w:val="auto"/>
              </w:rPr>
            </w:pPr>
            <w:r>
              <w:rPr>
                <w:rFonts w:ascii="Times New Roman" w:cs="Times New Roman" w:eastAsia="Times New Roman" w:hAnsi="Times New Roman"/>
                <w:sz w:val="14"/>
                <w:szCs w:val="14"/>
                <w:color w:val="auto"/>
              </w:rPr>
              <w:t>MTBPrH</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405"/>
        </w:trPr>
        <w:tc>
          <w:tcPr>
            <w:tcW w:w="1260" w:type="dxa"/>
            <w:vAlign w:val="bottom"/>
          </w:tcPr>
          <w:p>
            <w:pPr>
              <w:spacing w:after="0"/>
              <w:rPr>
                <w:sz w:val="24"/>
                <w:szCs w:val="24"/>
                <w:color w:val="auto"/>
              </w:rPr>
            </w:pPr>
          </w:p>
        </w:tc>
        <w:tc>
          <w:tcPr>
            <w:tcW w:w="2520" w:type="dxa"/>
            <w:vAlign w:val="bottom"/>
            <w:gridSpan w:val="2"/>
          </w:tcPr>
          <w:p>
            <w:pPr>
              <w:jc w:val="center"/>
              <w:ind w:right="1460"/>
              <w:spacing w:after="0"/>
              <w:rPr>
                <w:sz w:val="20"/>
                <w:szCs w:val="20"/>
                <w:color w:val="auto"/>
              </w:rPr>
            </w:pPr>
            <w:r>
              <w:rPr>
                <w:rFonts w:ascii="Times New Roman" w:cs="Times New Roman" w:eastAsia="Times New Roman" w:hAnsi="Times New Roman"/>
                <w:sz w:val="14"/>
                <w:szCs w:val="14"/>
                <w:color w:val="auto"/>
              </w:rPr>
              <w:t>MTBPrJ</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405"/>
        </w:trPr>
        <w:tc>
          <w:tcPr>
            <w:tcW w:w="1260" w:type="dxa"/>
            <w:vAlign w:val="bottom"/>
          </w:tcPr>
          <w:p>
            <w:pPr>
              <w:spacing w:after="0"/>
              <w:rPr>
                <w:sz w:val="24"/>
                <w:szCs w:val="24"/>
                <w:color w:val="auto"/>
              </w:rPr>
            </w:pPr>
          </w:p>
        </w:tc>
        <w:tc>
          <w:tcPr>
            <w:tcW w:w="2520" w:type="dxa"/>
            <w:vAlign w:val="bottom"/>
            <w:gridSpan w:val="2"/>
          </w:tcPr>
          <w:p>
            <w:pPr>
              <w:jc w:val="center"/>
              <w:ind w:right="1460"/>
              <w:spacing w:after="0"/>
              <w:rPr>
                <w:sz w:val="20"/>
                <w:szCs w:val="20"/>
                <w:color w:val="auto"/>
              </w:rPr>
            </w:pPr>
            <w:r>
              <w:rPr>
                <w:rFonts w:ascii="Times New Roman" w:cs="Times New Roman" w:eastAsia="Times New Roman" w:hAnsi="Times New Roman"/>
                <w:sz w:val="14"/>
                <w:szCs w:val="14"/>
                <w:color w:val="auto"/>
              </w:rPr>
              <w:t>MTBPrK</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07" w:lineRule="exact"/>
        <w:rPr>
          <w:sz w:val="24"/>
          <w:szCs w:val="24"/>
          <w:color w:val="auto"/>
        </w:rPr>
      </w:pPr>
    </w:p>
    <w:p>
      <w:pPr>
        <w:sectPr>
          <w:pgSz w:w="11900" w:h="16838" w:orient="portrait"/>
          <w:cols w:equalWidth="0" w:num="2">
            <w:col w:w="3140" w:space="720"/>
            <w:col w:w="7380"/>
          </w:cols>
          <w:pgMar w:left="320" w:top="1141" w:right="339" w:bottom="1440" w:gutter="0" w:footer="0" w:header="0"/>
          <w:type w:val="continuous"/>
        </w:sectPr>
      </w:pPr>
    </w:p>
    <w:p>
      <w:pPr>
        <w:ind w:left="432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64"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No</w:t>
      </w:r>
    </w:p>
    <w:p>
      <w:pPr>
        <w:spacing w:after="0" w:line="16" w:lineRule="exact"/>
        <w:rPr>
          <w:sz w:val="24"/>
          <w:szCs w:val="24"/>
          <w:color w:val="auto"/>
        </w:rPr>
      </w:pPr>
    </w:p>
    <w:p>
      <w:pPr>
        <w:ind w:right="20"/>
        <w:spacing w:after="0" w:line="263"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 xml:space="preserve">x </w:t>
      </w:r>
      <w:r>
        <w:rPr>
          <w:rFonts w:ascii="Times New Roman" w:cs="Times New Roman" w:eastAsia="Times New Roman" w:hAnsi="Times New Roman"/>
          <w:sz w:val="15"/>
          <w:szCs w:val="15"/>
          <w:color w:val="auto"/>
        </w:rPr>
        <w:t>Yes</w:t>
      </w:r>
      <w:r>
        <w:rPr>
          <w:rFonts w:ascii="Wingdings" w:cs="Wingdings" w:eastAsia="Wingdings" w:hAnsi="Wingdings"/>
          <w:sz w:val="15"/>
          <w:szCs w:val="15"/>
          <w:b w:val="1"/>
          <w:bCs w:val="1"/>
          <w:color w:val="auto"/>
        </w:rPr>
        <w:t xml:space="preserve">  o </w:t>
      </w:r>
      <w:r>
        <w:rPr>
          <w:rFonts w:ascii="Times New Roman" w:cs="Times New Roman" w:eastAsia="Times New Roman" w:hAnsi="Times New Roman"/>
          <w:sz w:val="15"/>
          <w:szCs w:val="15"/>
          <w:color w:val="auto"/>
        </w:rPr>
        <w:t>No</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24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340" w:type="dxa"/>
            <w:vAlign w:val="bottom"/>
          </w:tcPr>
          <w:p>
            <w:pPr>
              <w:ind w:left="800"/>
              <w:spacing w:after="0"/>
              <w:rPr>
                <w:sz w:val="20"/>
                <w:szCs w:val="20"/>
                <w:color w:val="auto"/>
              </w:rPr>
            </w:pPr>
            <w:r>
              <w:rPr>
                <w:rFonts w:ascii="Wingdings" w:cs="Wingdings" w:eastAsia="Wingdings" w:hAnsi="Wingdings"/>
                <w:sz w:val="15"/>
                <w:szCs w:val="15"/>
                <w:b w:val="1"/>
                <w:bCs w:val="1"/>
                <w:color w:val="auto"/>
              </w:rPr>
              <w:t>x</w:t>
            </w:r>
          </w:p>
        </w:tc>
        <w:tc>
          <w:tcPr>
            <w:tcW w:w="4580" w:type="dxa"/>
            <w:vAlign w:val="bottom"/>
          </w:tcPr>
          <w:p>
            <w:pPr>
              <w:ind w:left="2360"/>
              <w:spacing w:after="0"/>
              <w:rPr>
                <w:sz w:val="20"/>
                <w:szCs w:val="20"/>
                <w:color w:val="auto"/>
              </w:rPr>
            </w:pPr>
            <w:r>
              <w:rPr>
                <w:rFonts w:ascii="Times New Roman" w:cs="Times New Roman" w:eastAsia="Times New Roman" w:hAnsi="Times New Roman"/>
                <w:sz w:val="15"/>
                <w:szCs w:val="15"/>
                <w:color w:val="auto"/>
              </w:rPr>
              <w:t>Accelerated filer</w:t>
            </w:r>
          </w:p>
        </w:tc>
        <w:tc>
          <w:tcPr>
            <w:tcW w:w="680" w:type="dxa"/>
            <w:vAlign w:val="bottom"/>
          </w:tcPr>
          <w:p>
            <w:pPr>
              <w:ind w:left="540"/>
              <w:spacing w:after="0"/>
              <w:rPr>
                <w:sz w:val="20"/>
                <w:szCs w:val="20"/>
                <w:color w:val="auto"/>
              </w:rPr>
            </w:pPr>
            <w:r>
              <w:rPr>
                <w:rFonts w:ascii="Wingdings" w:cs="Wingdings" w:eastAsia="Wingdings" w:hAnsi="Wingdings"/>
                <w:sz w:val="15"/>
                <w:szCs w:val="15"/>
                <w:b w:val="1"/>
                <w:bCs w:val="1"/>
                <w:color w:val="auto"/>
                <w:w w:val="89"/>
              </w:rPr>
              <w:t>o</w:t>
            </w:r>
          </w:p>
        </w:tc>
      </w:tr>
      <w:tr>
        <w:trPr>
          <w:trHeight w:val="243"/>
        </w:trPr>
        <w:tc>
          <w:tcPr>
            <w:tcW w:w="24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340" w:type="dxa"/>
            <w:vAlign w:val="bottom"/>
          </w:tcPr>
          <w:p>
            <w:pPr>
              <w:ind w:left="820"/>
              <w:spacing w:after="0"/>
              <w:rPr>
                <w:sz w:val="20"/>
                <w:szCs w:val="20"/>
                <w:color w:val="auto"/>
              </w:rPr>
            </w:pPr>
            <w:r>
              <w:rPr>
                <w:rFonts w:ascii="Wingdings" w:cs="Wingdings" w:eastAsia="Wingdings" w:hAnsi="Wingdings"/>
                <w:sz w:val="15"/>
                <w:szCs w:val="15"/>
                <w:b w:val="1"/>
                <w:bCs w:val="1"/>
                <w:color w:val="auto"/>
              </w:rPr>
              <w:t>o</w:t>
            </w:r>
          </w:p>
        </w:tc>
        <w:tc>
          <w:tcPr>
            <w:tcW w:w="4580" w:type="dxa"/>
            <w:vAlign w:val="bottom"/>
          </w:tcPr>
          <w:p>
            <w:pPr>
              <w:ind w:left="236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680" w:type="dxa"/>
            <w:vAlign w:val="bottom"/>
          </w:tcPr>
          <w:p>
            <w:pPr>
              <w:ind w:left="540"/>
              <w:spacing w:after="0"/>
              <w:rPr>
                <w:sz w:val="20"/>
                <w:szCs w:val="20"/>
                <w:color w:val="auto"/>
              </w:rPr>
            </w:pPr>
            <w:r>
              <w:rPr>
                <w:rFonts w:ascii="Wingdings" w:cs="Wingdings" w:eastAsia="Wingdings" w:hAnsi="Wingdings"/>
                <w:sz w:val="15"/>
                <w:szCs w:val="15"/>
                <w:b w:val="1"/>
                <w:bCs w:val="1"/>
                <w:color w:val="auto"/>
                <w:w w:val="89"/>
              </w:rPr>
              <w:t>o</w:t>
            </w:r>
          </w:p>
        </w:tc>
      </w:tr>
      <w:tr>
        <w:trPr>
          <w:trHeight w:val="243"/>
        </w:trPr>
        <w:tc>
          <w:tcPr>
            <w:tcW w:w="24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340" w:type="dxa"/>
            <w:vAlign w:val="bottom"/>
          </w:tcPr>
          <w:p>
            <w:pPr>
              <w:ind w:left="820"/>
              <w:spacing w:after="0"/>
              <w:rPr>
                <w:sz w:val="20"/>
                <w:szCs w:val="20"/>
                <w:color w:val="auto"/>
              </w:rPr>
            </w:pPr>
            <w:r>
              <w:rPr>
                <w:rFonts w:ascii="Wingdings" w:cs="Wingdings" w:eastAsia="Wingdings" w:hAnsi="Wingdings"/>
                <w:sz w:val="15"/>
                <w:szCs w:val="15"/>
                <w:b w:val="1"/>
                <w:bCs w:val="1"/>
                <w:color w:val="auto"/>
              </w:rPr>
              <w:t>o</w:t>
            </w:r>
          </w:p>
        </w:tc>
        <w:tc>
          <w:tcPr>
            <w:tcW w:w="458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166" w:lineRule="exact"/>
        <w:rPr>
          <w:sz w:val="24"/>
          <w:szCs w:val="24"/>
          <w:color w:val="auto"/>
        </w:rPr>
      </w:pPr>
    </w:p>
    <w:p>
      <w:pPr>
        <w:ind w:right="20"/>
        <w:spacing w:after="0" w:line="280"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Number of shares of the registrant's Common Stock, $0.50 par value, outstanding as of the close of business on April 30, 2026: 146,445,060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M&amp;T Bank Corporation</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FORM 10-Q</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For the Quarterly Period Ended March 31,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Page</w:t>
            </w:r>
          </w:p>
        </w:tc>
      </w:tr>
      <w:tr>
        <w:trPr>
          <w:trHeight w:val="48"/>
        </w:trPr>
        <w:tc>
          <w:tcPr>
            <w:tcW w:w="11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77"/>
        </w:trPr>
        <w:tc>
          <w:tcPr>
            <w:tcW w:w="13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Glossary of Terms</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344"/>
        </w:trPr>
        <w:tc>
          <w:tcPr>
            <w:tcW w:w="1054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80" w:type="dxa"/>
            <w:vAlign w:val="bottom"/>
          </w:tcPr>
          <w:p>
            <w:pPr>
              <w:spacing w:after="0"/>
              <w:rPr>
                <w:sz w:val="24"/>
                <w:szCs w:val="24"/>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4"/>
        </w:trPr>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980" w:type="dxa"/>
            <w:vAlign w:val="bottom"/>
            <w:gridSpan w:val="19"/>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344"/>
        </w:trPr>
        <w:tc>
          <w:tcPr>
            <w:tcW w:w="1120" w:type="dxa"/>
            <w:vAlign w:val="bottom"/>
          </w:tcPr>
          <w:p>
            <w:pPr>
              <w:spacing w:after="0"/>
              <w:rPr>
                <w:sz w:val="24"/>
                <w:szCs w:val="24"/>
                <w:color w:val="auto"/>
              </w:rPr>
            </w:pPr>
          </w:p>
        </w:tc>
        <w:tc>
          <w:tcPr>
            <w:tcW w:w="512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w w:val="99"/>
              </w:rPr>
              <w:t>Consolidated Balance Sheet – March 31, 2026 and December 31, 2025</w:t>
            </w:r>
          </w:p>
        </w:tc>
        <w:tc>
          <w:tcPr>
            <w:tcW w:w="4300" w:type="dxa"/>
            <w:vAlign w:val="bottom"/>
            <w:gridSpan w:val="7"/>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344"/>
        </w:trPr>
        <w:tc>
          <w:tcPr>
            <w:tcW w:w="1120" w:type="dxa"/>
            <w:vAlign w:val="bottom"/>
          </w:tcPr>
          <w:p>
            <w:pPr>
              <w:spacing w:after="0"/>
              <w:rPr>
                <w:sz w:val="24"/>
                <w:szCs w:val="24"/>
                <w:color w:val="auto"/>
              </w:rPr>
            </w:pPr>
          </w:p>
        </w:tc>
        <w:tc>
          <w:tcPr>
            <w:tcW w:w="942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Consolidated Statement of Income – Three months ended March 31, 2026 and 2025</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11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5"/>
        </w:trPr>
        <w:tc>
          <w:tcPr>
            <w:tcW w:w="1120" w:type="dxa"/>
            <w:vAlign w:val="bottom"/>
          </w:tcPr>
          <w:p>
            <w:pPr>
              <w:spacing w:after="0"/>
              <w:rPr>
                <w:sz w:val="24"/>
                <w:szCs w:val="24"/>
                <w:color w:val="auto"/>
              </w:rPr>
            </w:pPr>
          </w:p>
        </w:tc>
        <w:tc>
          <w:tcPr>
            <w:tcW w:w="942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Consolidated Statement of Comprehensive Income – Three months ended March 31, 2026 and 2025</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345"/>
        </w:trPr>
        <w:tc>
          <w:tcPr>
            <w:tcW w:w="1120" w:type="dxa"/>
            <w:vAlign w:val="bottom"/>
          </w:tcPr>
          <w:p>
            <w:pPr>
              <w:spacing w:after="0"/>
              <w:rPr>
                <w:sz w:val="24"/>
                <w:szCs w:val="24"/>
                <w:color w:val="auto"/>
              </w:rPr>
            </w:pPr>
          </w:p>
        </w:tc>
        <w:tc>
          <w:tcPr>
            <w:tcW w:w="6360" w:type="dxa"/>
            <w:vAlign w:val="bottom"/>
            <w:tcBorders>
              <w:top w:val="single" w:sz="8" w:color="0000EE"/>
              <w:bottom w:val="single" w:sz="8" w:color="0000EE"/>
            </w:tcBorders>
            <w:gridSpan w:val="34"/>
          </w:tcPr>
          <w:p>
            <w:pPr>
              <w:spacing w:after="0"/>
              <w:rPr>
                <w:sz w:val="20"/>
                <w:szCs w:val="20"/>
                <w:color w:val="auto"/>
              </w:rPr>
            </w:pPr>
            <w:r>
              <w:rPr>
                <w:rFonts w:ascii="Times New Roman" w:cs="Times New Roman" w:eastAsia="Times New Roman" w:hAnsi="Times New Roman"/>
                <w:sz w:val="18"/>
                <w:szCs w:val="18"/>
                <w:color w:val="0000EE"/>
                <w:w w:val="99"/>
              </w:rPr>
              <w:t>Consolidated Statement of Cash Flows – Three months ended March 31, 2026 and 2025</w:t>
            </w:r>
          </w:p>
        </w:tc>
        <w:tc>
          <w:tcPr>
            <w:tcW w:w="860" w:type="dxa"/>
            <w:vAlign w:val="bottom"/>
            <w:tcBorders>
              <w:top w:val="single" w:sz="8" w:color="0000EE"/>
            </w:tcBorders>
            <w:gridSpan w:val="2"/>
          </w:tcPr>
          <w:p>
            <w:pPr>
              <w:spacing w:after="0"/>
              <w:rPr>
                <w:sz w:val="24"/>
                <w:szCs w:val="24"/>
                <w:color w:val="auto"/>
              </w:rPr>
            </w:pPr>
          </w:p>
        </w:tc>
        <w:tc>
          <w:tcPr>
            <w:tcW w:w="2200" w:type="dxa"/>
            <w:vAlign w:val="bottom"/>
            <w:gridSpan w:val="2"/>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344"/>
        </w:trPr>
        <w:tc>
          <w:tcPr>
            <w:tcW w:w="1120" w:type="dxa"/>
            <w:vAlign w:val="bottom"/>
          </w:tcPr>
          <w:p>
            <w:pPr>
              <w:spacing w:after="0"/>
              <w:rPr>
                <w:sz w:val="24"/>
                <w:szCs w:val="24"/>
                <w:color w:val="auto"/>
              </w:rPr>
            </w:pPr>
          </w:p>
        </w:tc>
        <w:tc>
          <w:tcPr>
            <w:tcW w:w="7860" w:type="dxa"/>
            <w:vAlign w:val="bottom"/>
            <w:tcBorders>
              <w:bottom w:val="single" w:sz="8" w:color="0000EE"/>
            </w:tcBorders>
            <w:gridSpan w:val="37"/>
          </w:tcPr>
          <w:p>
            <w:pPr>
              <w:spacing w:after="0"/>
              <w:rPr>
                <w:sz w:val="20"/>
                <w:szCs w:val="20"/>
                <w:color w:val="auto"/>
              </w:rPr>
            </w:pPr>
            <w:r>
              <w:rPr>
                <w:rFonts w:ascii="Times New Roman" w:cs="Times New Roman" w:eastAsia="Times New Roman" w:hAnsi="Times New Roman"/>
                <w:sz w:val="18"/>
                <w:szCs w:val="18"/>
                <w:color w:val="0000EE"/>
                <w:w w:val="99"/>
              </w:rPr>
              <w:t>Consolidated Statement of Changes in Shareholders' Equity – Three months ended March 31, 2026 and 2025</w:t>
            </w:r>
          </w:p>
        </w:tc>
        <w:tc>
          <w:tcPr>
            <w:tcW w:w="15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344"/>
        </w:trPr>
        <w:tc>
          <w:tcPr>
            <w:tcW w:w="1120" w:type="dxa"/>
            <w:vAlign w:val="bottom"/>
          </w:tcPr>
          <w:p>
            <w:pPr>
              <w:spacing w:after="0"/>
              <w:rPr>
                <w:sz w:val="24"/>
                <w:szCs w:val="24"/>
                <w:color w:val="auto"/>
              </w:rPr>
            </w:pPr>
          </w:p>
        </w:tc>
        <w:tc>
          <w:tcPr>
            <w:tcW w:w="94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1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w:t>
            </w:r>
          </w:p>
        </w:tc>
        <w:tc>
          <w:tcPr>
            <w:tcW w:w="2260" w:type="dxa"/>
            <w:vAlign w:val="bottom"/>
            <w:tcBorders>
              <w:bottom w:val="single" w:sz="8" w:color="0000FF"/>
            </w:tcBorders>
            <w:gridSpan w:val="17"/>
          </w:tcPr>
          <w:p>
            <w:pPr>
              <w:ind w:left="20"/>
              <w:spacing w:after="0"/>
              <w:rPr>
                <w:sz w:val="20"/>
                <w:szCs w:val="20"/>
                <w:color w:val="auto"/>
              </w:rPr>
            </w:pPr>
            <w:r>
              <w:rPr>
                <w:rFonts w:ascii="Times New Roman" w:cs="Times New Roman" w:eastAsia="Times New Roman" w:hAnsi="Times New Roman"/>
                <w:sz w:val="18"/>
                <w:szCs w:val="18"/>
                <w:color w:val="0000FF"/>
                <w:w w:val="99"/>
              </w:rPr>
              <w:t>Significant accounting policies</w:t>
            </w:r>
          </w:p>
        </w:tc>
        <w:tc>
          <w:tcPr>
            <w:tcW w:w="6780" w:type="dxa"/>
            <w:vAlign w:val="bottom"/>
            <w:gridSpan w:val="18"/>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50"/>
        </w:trPr>
        <w:tc>
          <w:tcPr>
            <w:tcW w:w="112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2.</w:t>
            </w:r>
          </w:p>
        </w:tc>
        <w:tc>
          <w:tcPr>
            <w:tcW w:w="9040" w:type="dxa"/>
            <w:vAlign w:val="bottom"/>
            <w:gridSpan w:val="35"/>
          </w:tcPr>
          <w:p>
            <w:pPr>
              <w:ind w:left="20"/>
              <w:spacing w:after="0"/>
              <w:rPr>
                <w:sz w:val="20"/>
                <w:szCs w:val="20"/>
                <w:color w:val="auto"/>
              </w:rPr>
            </w:pPr>
            <w:r>
              <w:rPr>
                <w:rFonts w:ascii="Times New Roman" w:cs="Times New Roman" w:eastAsia="Times New Roman" w:hAnsi="Times New Roman"/>
                <w:sz w:val="18"/>
                <w:szCs w:val="18"/>
                <w:color w:val="0000FF"/>
              </w:rPr>
              <w:t>Investment securities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1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3.</w:t>
            </w:r>
          </w:p>
        </w:tc>
        <w:tc>
          <w:tcPr>
            <w:tcW w:w="9040" w:type="dxa"/>
            <w:vAlign w:val="bottom"/>
            <w:gridSpan w:val="35"/>
          </w:tcPr>
          <w:p>
            <w:pPr>
              <w:ind w:left="20"/>
              <w:spacing w:after="0"/>
              <w:rPr>
                <w:sz w:val="20"/>
                <w:szCs w:val="20"/>
                <w:color w:val="auto"/>
              </w:rPr>
            </w:pPr>
            <w:r>
              <w:rPr>
                <w:rFonts w:ascii="Times New Roman" w:cs="Times New Roman" w:eastAsia="Times New Roman" w:hAnsi="Times New Roman"/>
                <w:sz w:val="18"/>
                <w:szCs w:val="18"/>
                <w:color w:val="0000FF"/>
              </w:rPr>
              <w:t>Loans and allowance for loan losses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50"/>
        </w:trPr>
        <w:tc>
          <w:tcPr>
            <w:tcW w:w="112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4.</w:t>
            </w:r>
          </w:p>
        </w:tc>
        <w:tc>
          <w:tcPr>
            <w:tcW w:w="880" w:type="dxa"/>
            <w:vAlign w:val="bottom"/>
            <w:tcBorders>
              <w:top w:val="single" w:sz="8" w:color="0000FF"/>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Borrowings</w:t>
            </w:r>
          </w:p>
        </w:tc>
        <w:tc>
          <w:tcPr>
            <w:tcW w:w="1740" w:type="dxa"/>
            <w:vAlign w:val="bottom"/>
            <w:tcBorders>
              <w:top w:val="single" w:sz="8" w:color="0000FF"/>
            </w:tcBorders>
            <w:gridSpan w:val="16"/>
          </w:tcPr>
          <w:p>
            <w:pPr>
              <w:spacing w:after="0"/>
              <w:rPr>
                <w:sz w:val="21"/>
                <w:szCs w:val="21"/>
                <w:color w:val="auto"/>
              </w:rPr>
            </w:pPr>
          </w:p>
        </w:tc>
        <w:tc>
          <w:tcPr>
            <w:tcW w:w="6420" w:type="dxa"/>
            <w:vAlign w:val="bottom"/>
            <w:gridSpan w:val="15"/>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50"/>
        </w:trPr>
        <w:tc>
          <w:tcPr>
            <w:tcW w:w="112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5.</w:t>
            </w:r>
          </w:p>
        </w:tc>
        <w:tc>
          <w:tcPr>
            <w:tcW w:w="9040" w:type="dxa"/>
            <w:vAlign w:val="bottom"/>
            <w:gridSpan w:val="35"/>
          </w:tcPr>
          <w:p>
            <w:pPr>
              <w:ind w:left="20"/>
              <w:spacing w:after="0"/>
              <w:rPr>
                <w:sz w:val="20"/>
                <w:szCs w:val="20"/>
                <w:color w:val="auto"/>
              </w:rPr>
            </w:pPr>
            <w:r>
              <w:rPr>
                <w:rFonts w:ascii="Times New Roman" w:cs="Times New Roman" w:eastAsia="Times New Roman" w:hAnsi="Times New Roman"/>
                <w:sz w:val="18"/>
                <w:szCs w:val="18"/>
                <w:color w:val="0000FF"/>
              </w:rPr>
              <w:t>Shareholders' equity</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1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6.</w:t>
            </w:r>
          </w:p>
        </w:tc>
        <w:tc>
          <w:tcPr>
            <w:tcW w:w="9040" w:type="dxa"/>
            <w:vAlign w:val="bottom"/>
            <w:gridSpan w:val="35"/>
          </w:tcPr>
          <w:p>
            <w:pPr>
              <w:ind w:left="20"/>
              <w:spacing w:after="0"/>
              <w:rPr>
                <w:sz w:val="20"/>
                <w:szCs w:val="20"/>
                <w:color w:val="auto"/>
              </w:rPr>
            </w:pPr>
            <w:r>
              <w:rPr>
                <w:rFonts w:ascii="Times New Roman" w:cs="Times New Roman" w:eastAsia="Times New Roman" w:hAnsi="Times New Roman"/>
                <w:sz w:val="18"/>
                <w:szCs w:val="18"/>
                <w:color w:val="0000FF"/>
              </w:rPr>
              <w:t>Revenue from contracts with customers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1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7.</w:t>
            </w:r>
          </w:p>
        </w:tc>
        <w:tc>
          <w:tcPr>
            <w:tcW w:w="3440" w:type="dxa"/>
            <w:vAlign w:val="bottom"/>
            <w:tcBorders>
              <w:bottom w:val="single" w:sz="8" w:color="0000FF"/>
            </w:tcBorders>
            <w:gridSpan w:val="23"/>
          </w:tcPr>
          <w:p>
            <w:pPr>
              <w:ind w:left="20"/>
              <w:spacing w:after="0"/>
              <w:rPr>
                <w:sz w:val="20"/>
                <w:szCs w:val="20"/>
                <w:color w:val="auto"/>
              </w:rPr>
            </w:pPr>
            <w:r>
              <w:rPr>
                <w:rFonts w:ascii="Times New Roman" w:cs="Times New Roman" w:eastAsia="Times New Roman" w:hAnsi="Times New Roman"/>
                <w:sz w:val="18"/>
                <w:szCs w:val="18"/>
                <w:color w:val="0000FF"/>
                <w:w w:val="99"/>
              </w:rPr>
              <w:t>Pension plans and other postretirement benefits</w:t>
            </w:r>
          </w:p>
        </w:tc>
        <w:tc>
          <w:tcPr>
            <w:tcW w:w="5600" w:type="dxa"/>
            <w:vAlign w:val="bottom"/>
            <w:gridSpan w:val="12"/>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50"/>
        </w:trPr>
        <w:tc>
          <w:tcPr>
            <w:tcW w:w="112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8.</w:t>
            </w:r>
          </w:p>
        </w:tc>
        <w:tc>
          <w:tcPr>
            <w:tcW w:w="2040" w:type="dxa"/>
            <w:vAlign w:val="bottom"/>
            <w:tcBorders>
              <w:bottom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w w:val="99"/>
              </w:rPr>
              <w:t>Earnings per common share</w:t>
            </w:r>
          </w:p>
        </w:tc>
        <w:tc>
          <w:tcPr>
            <w:tcW w:w="7000" w:type="dxa"/>
            <w:vAlign w:val="bottom"/>
            <w:gridSpan w:val="20"/>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50"/>
        </w:trPr>
        <w:tc>
          <w:tcPr>
            <w:tcW w:w="112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9.</w:t>
            </w:r>
          </w:p>
        </w:tc>
        <w:tc>
          <w:tcPr>
            <w:tcW w:w="9040" w:type="dxa"/>
            <w:vAlign w:val="bottom"/>
            <w:gridSpan w:val="35"/>
          </w:tcPr>
          <w:p>
            <w:pPr>
              <w:ind w:left="20"/>
              <w:spacing w:after="0"/>
              <w:rPr>
                <w:sz w:val="20"/>
                <w:szCs w:val="20"/>
                <w:color w:val="auto"/>
              </w:rPr>
            </w:pPr>
            <w:r>
              <w:rPr>
                <w:rFonts w:ascii="Times New Roman" w:cs="Times New Roman" w:eastAsia="Times New Roman" w:hAnsi="Times New Roman"/>
                <w:sz w:val="18"/>
                <w:szCs w:val="18"/>
                <w:color w:val="0000FF"/>
              </w:rPr>
              <w:t>Comprehensive income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10. Derivative financial instruments</w:t>
            </w:r>
          </w:p>
        </w:tc>
        <w:tc>
          <w:tcPr>
            <w:tcW w:w="6600" w:type="dxa"/>
            <w:vAlign w:val="bottom"/>
            <w:gridSpan w:val="17"/>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50"/>
        </w:trPr>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11. Variable interest entities and asset securitizations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50"/>
        </w:trPr>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12. Fair value measurements</w:t>
            </w:r>
          </w:p>
        </w:tc>
        <w:tc>
          <w:tcPr>
            <w:tcW w:w="1700" w:type="dxa"/>
            <w:vAlign w:val="bottom"/>
            <w:tcBorders>
              <w:top w:val="single" w:sz="8" w:color="0000FF"/>
            </w:tcBorders>
            <w:gridSpan w:val="12"/>
          </w:tcPr>
          <w:p>
            <w:pPr>
              <w:spacing w:after="0"/>
              <w:rPr>
                <w:sz w:val="21"/>
                <w:szCs w:val="21"/>
                <w:color w:val="auto"/>
              </w:rPr>
            </w:pPr>
          </w:p>
        </w:tc>
        <w:tc>
          <w:tcPr>
            <w:tcW w:w="5420" w:type="dxa"/>
            <w:vAlign w:val="bottom"/>
            <w:gridSpan w:val="10"/>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50"/>
        </w:trPr>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13. Commitments and contingencies</w:t>
            </w:r>
          </w:p>
        </w:tc>
        <w:tc>
          <w:tcPr>
            <w:tcW w:w="6560" w:type="dxa"/>
            <w:vAlign w:val="bottom"/>
            <w:gridSpan w:val="16"/>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50"/>
        </w:trPr>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14. Segment information</w:t>
            </w:r>
          </w:p>
        </w:tc>
        <w:tc>
          <w:tcPr>
            <w:tcW w:w="7400" w:type="dxa"/>
            <w:vAlign w:val="bottom"/>
            <w:gridSpan w:val="25"/>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50"/>
        </w:trPr>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15. Relationship with BLG and Bayview Financial</w:t>
            </w:r>
          </w:p>
        </w:tc>
        <w:tc>
          <w:tcPr>
            <w:tcW w:w="5540" w:type="dxa"/>
            <w:vAlign w:val="bottom"/>
            <w:gridSpan w:val="11"/>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345"/>
        </w:trPr>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50"/>
        </w:trPr>
        <w:tc>
          <w:tcPr>
            <w:tcW w:w="112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6220" w:type="dxa"/>
            <w:vAlign w:val="bottom"/>
            <w:tcBorders>
              <w:top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rPr>
              <w:t>Financial Overview</w:t>
            </w:r>
          </w:p>
        </w:tc>
        <w:tc>
          <w:tcPr>
            <w:tcW w:w="2980" w:type="dxa"/>
            <w:vAlign w:val="bottom"/>
            <w:gridSpan w:val="3"/>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Supplemental Reporting of Non-GAAP Results of Operations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50"/>
        </w:trPr>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tcBorders>
              <w:top w:val="single" w:sz="8" w:color="0000FF"/>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Taxable-equivalent Net Interest Income</w:t>
            </w:r>
          </w:p>
        </w:tc>
        <w:tc>
          <w:tcPr>
            <w:tcW w:w="1600" w:type="dxa"/>
            <w:vAlign w:val="bottom"/>
            <w:tcBorders>
              <w:top w:val="single" w:sz="8" w:color="0000FF"/>
            </w:tcBorders>
            <w:gridSpan w:val="6"/>
          </w:tcPr>
          <w:p>
            <w:pPr>
              <w:spacing w:after="0"/>
              <w:rPr>
                <w:sz w:val="21"/>
                <w:szCs w:val="21"/>
                <w:color w:val="auto"/>
              </w:rPr>
            </w:pPr>
          </w:p>
        </w:tc>
        <w:tc>
          <w:tcPr>
            <w:tcW w:w="4740" w:type="dxa"/>
            <w:vAlign w:val="bottom"/>
            <w:gridSpan w:val="8"/>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50"/>
        </w:trPr>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Provision for Credit Losses</w:t>
            </w:r>
          </w:p>
        </w:tc>
        <w:tc>
          <w:tcPr>
            <w:tcW w:w="7220" w:type="dxa"/>
            <w:vAlign w:val="bottom"/>
            <w:gridSpan w:val="23"/>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250"/>
        </w:trPr>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Income</w:t>
            </w:r>
          </w:p>
        </w:tc>
        <w:tc>
          <w:tcPr>
            <w:tcW w:w="8200" w:type="dxa"/>
            <w:vAlign w:val="bottom"/>
            <w:gridSpan w:val="32"/>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50"/>
        </w:trPr>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Other Expense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50"/>
        </w:trPr>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Income Taxes</w:t>
            </w:r>
          </w:p>
        </w:tc>
        <w:tc>
          <w:tcPr>
            <w:tcW w:w="8140" w:type="dxa"/>
            <w:vAlign w:val="bottom"/>
            <w:gridSpan w:val="30"/>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Liquidity Risk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Market Risk and Interest Rate Sensitivity</w:t>
            </w:r>
          </w:p>
        </w:tc>
        <w:tc>
          <w:tcPr>
            <w:tcW w:w="6160" w:type="dxa"/>
            <w:vAlign w:val="bottom"/>
            <w:gridSpan w:val="13"/>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r>
      <w:tr>
        <w:trPr>
          <w:trHeight w:val="250"/>
        </w:trPr>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Capital</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220" w:type="dxa"/>
            <w:vAlign w:val="bottom"/>
            <w:gridSpan w:val="1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Segment Information</w:t>
            </w:r>
          </w:p>
        </w:tc>
        <w:tc>
          <w:tcPr>
            <w:tcW w:w="7660" w:type="dxa"/>
            <w:vAlign w:val="bottom"/>
            <w:gridSpan w:val="27"/>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250"/>
        </w:trPr>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Critical Accounting Estimates and Recent Accounting Developments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r>
      <w:tr>
        <w:trPr>
          <w:trHeight w:val="250"/>
        </w:trPr>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12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Forward-Looking Statements</w:t>
            </w:r>
          </w:p>
        </w:tc>
        <w:tc>
          <w:tcPr>
            <w:tcW w:w="2860" w:type="dxa"/>
            <w:vAlign w:val="bottom"/>
            <w:tcBorders>
              <w:top w:val="single" w:sz="8" w:color="0000FF"/>
            </w:tcBorders>
            <w:gridSpan w:val="15"/>
          </w:tcPr>
          <w:p>
            <w:pPr>
              <w:spacing w:after="0"/>
              <w:rPr>
                <w:sz w:val="21"/>
                <w:szCs w:val="21"/>
                <w:color w:val="auto"/>
              </w:rPr>
            </w:pPr>
          </w:p>
        </w:tc>
        <w:tc>
          <w:tcPr>
            <w:tcW w:w="4220" w:type="dxa"/>
            <w:vAlign w:val="bottom"/>
            <w:gridSpan w:val="6"/>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r>
      <w:tr>
        <w:trPr>
          <w:trHeight w:val="250"/>
        </w:trPr>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Quarterly Trends</w:t>
            </w:r>
          </w:p>
        </w:tc>
        <w:tc>
          <w:tcPr>
            <w:tcW w:w="7960" w:type="dxa"/>
            <w:vAlign w:val="bottom"/>
            <w:gridSpan w:val="29"/>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50"/>
        </w:trPr>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Reconciliation of Quarterly GAAP to Non-GAAP Measures</w:t>
            </w:r>
          </w:p>
        </w:tc>
        <w:tc>
          <w:tcPr>
            <w:tcW w:w="4860" w:type="dxa"/>
            <w:vAlign w:val="bottom"/>
            <w:gridSpan w:val="9"/>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bl>
    <w:p>
      <w:pPr>
        <w:spacing w:after="0" w:line="200" w:lineRule="exact"/>
        <w:rPr>
          <w:sz w:val="20"/>
          <w:szCs w:val="20"/>
          <w:color w:val="auto"/>
        </w:rPr>
      </w:pPr>
    </w:p>
    <w:p>
      <w:pPr>
        <w:sectPr>
          <w:pgSz w:w="11900" w:h="16838" w:orient="portrait"/>
          <w:cols w:equalWidth="0" w:num="1">
            <w:col w:w="11220"/>
          </w:cols>
          <w:pgMar w:left="340" w:top="87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149225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77"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8"/>
              </w:rPr>
              <w:t>Table of Contents, continued</w:t>
            </w:r>
          </w:p>
        </w:tc>
        <w:tc>
          <w:tcPr>
            <w:tcW w:w="6020" w:type="dxa"/>
            <w:vAlign w:val="bottom"/>
            <w:gridSpan w:val="7"/>
          </w:tcPr>
          <w:p>
            <w:pPr>
              <w:spacing w:after="0"/>
              <w:rPr>
                <w:sz w:val="17"/>
                <w:szCs w:val="17"/>
                <w:color w:val="auto"/>
              </w:rPr>
            </w:pPr>
          </w:p>
        </w:tc>
        <w:tc>
          <w:tcPr>
            <w:tcW w:w="294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780" w:type="dxa"/>
            <w:vAlign w:val="bottom"/>
          </w:tcPr>
          <w:p>
            <w:pPr>
              <w:spacing w:after="0"/>
              <w:rPr>
                <w:sz w:val="21"/>
                <w:szCs w:val="21"/>
                <w:color w:val="auto"/>
              </w:rPr>
            </w:pPr>
          </w:p>
        </w:tc>
        <w:tc>
          <w:tcPr>
            <w:tcW w:w="2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81</w:t>
            </w:r>
          </w:p>
        </w:tc>
      </w:tr>
      <w:tr>
        <w:trPr>
          <w:trHeight w:val="345"/>
        </w:trPr>
        <w:tc>
          <w:tcPr>
            <w:tcW w:w="20" w:type="dxa"/>
            <w:vAlign w:val="bottom"/>
          </w:tcPr>
          <w:p>
            <w:pPr>
              <w:spacing w:after="0"/>
              <w:rPr>
                <w:sz w:val="24"/>
                <w:szCs w:val="24"/>
                <w:color w:val="auto"/>
              </w:rPr>
            </w:pPr>
          </w:p>
        </w:tc>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5380" w:type="dxa"/>
            <w:vAlign w:val="bottom"/>
            <w:gridSpan w:val="4"/>
          </w:tcPr>
          <w:p>
            <w:pPr>
              <w:spacing w:after="0"/>
              <w:rPr>
                <w:sz w:val="24"/>
                <w:szCs w:val="24"/>
                <w:color w:val="auto"/>
              </w:rPr>
            </w:pPr>
          </w:p>
        </w:tc>
        <w:tc>
          <w:tcPr>
            <w:tcW w:w="2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81</w:t>
            </w:r>
          </w:p>
        </w:tc>
      </w:tr>
      <w:tr>
        <w:trPr>
          <w:trHeight w:val="344"/>
        </w:trPr>
        <w:tc>
          <w:tcPr>
            <w:tcW w:w="20" w:type="dxa"/>
            <w:vAlign w:val="bottom"/>
          </w:tcPr>
          <w:p>
            <w:pPr>
              <w:spacing w:after="0"/>
              <w:rPr>
                <w:sz w:val="24"/>
                <w:szCs w:val="24"/>
                <w:color w:val="auto"/>
              </w:rPr>
            </w:pPr>
          </w:p>
        </w:tc>
        <w:tc>
          <w:tcPr>
            <w:tcW w:w="82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Part II. Other Information</w:t>
            </w:r>
          </w:p>
        </w:tc>
        <w:tc>
          <w:tcPr>
            <w:tcW w:w="29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1.</w:t>
            </w:r>
          </w:p>
        </w:tc>
        <w:tc>
          <w:tcPr>
            <w:tcW w:w="71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2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82</w:t>
            </w:r>
          </w:p>
        </w:tc>
      </w:tr>
      <w:tr>
        <w:trPr>
          <w:trHeight w:val="345"/>
        </w:trPr>
        <w:tc>
          <w:tcPr>
            <w:tcW w:w="20" w:type="dxa"/>
            <w:vAlign w:val="bottom"/>
          </w:tcPr>
          <w:p>
            <w:pPr>
              <w:spacing w:after="0"/>
              <w:rPr>
                <w:sz w:val="24"/>
                <w:szCs w:val="24"/>
                <w:color w:val="auto"/>
              </w:rPr>
            </w:pPr>
          </w:p>
        </w:tc>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Risk Factors</w:t>
            </w:r>
          </w:p>
        </w:tc>
        <w:tc>
          <w:tcPr>
            <w:tcW w:w="420" w:type="dxa"/>
            <w:vAlign w:val="bottom"/>
            <w:tcBorders>
              <w:top w:val="single" w:sz="8" w:color="0000EE"/>
            </w:tcBorders>
            <w:gridSpan w:val="3"/>
          </w:tcPr>
          <w:p>
            <w:pPr>
              <w:spacing w:after="0"/>
              <w:rPr>
                <w:sz w:val="24"/>
                <w:szCs w:val="24"/>
                <w:color w:val="auto"/>
              </w:rPr>
            </w:pPr>
          </w:p>
        </w:tc>
        <w:tc>
          <w:tcPr>
            <w:tcW w:w="5820" w:type="dxa"/>
            <w:vAlign w:val="bottom"/>
            <w:gridSpan w:val="5"/>
          </w:tcPr>
          <w:p>
            <w:pPr>
              <w:spacing w:after="0"/>
              <w:rPr>
                <w:sz w:val="24"/>
                <w:szCs w:val="24"/>
                <w:color w:val="auto"/>
              </w:rPr>
            </w:pPr>
          </w:p>
        </w:tc>
        <w:tc>
          <w:tcPr>
            <w:tcW w:w="2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82</w:t>
            </w:r>
          </w:p>
        </w:tc>
      </w:tr>
      <w:tr>
        <w:trPr>
          <w:trHeight w:val="344"/>
        </w:trPr>
        <w:tc>
          <w:tcPr>
            <w:tcW w:w="20" w:type="dxa"/>
            <w:vAlign w:val="bottom"/>
          </w:tcPr>
          <w:p>
            <w:pPr>
              <w:spacing w:after="0"/>
              <w:rPr>
                <w:sz w:val="24"/>
                <w:szCs w:val="24"/>
                <w:color w:val="auto"/>
              </w:rPr>
            </w:pPr>
          </w:p>
        </w:tc>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2800" w:type="dxa"/>
            <w:vAlign w:val="bottom"/>
            <w:gridSpan w:val="2"/>
          </w:tcPr>
          <w:p>
            <w:pPr>
              <w:spacing w:after="0"/>
              <w:rPr>
                <w:sz w:val="24"/>
                <w:szCs w:val="24"/>
                <w:color w:val="auto"/>
              </w:rPr>
            </w:pPr>
          </w:p>
        </w:tc>
        <w:tc>
          <w:tcPr>
            <w:tcW w:w="2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82</w:t>
            </w:r>
          </w:p>
        </w:tc>
      </w:tr>
      <w:tr>
        <w:trPr>
          <w:trHeight w:val="345"/>
        </w:trPr>
        <w:tc>
          <w:tcPr>
            <w:tcW w:w="20" w:type="dxa"/>
            <w:vAlign w:val="bottom"/>
          </w:tcPr>
          <w:p>
            <w:pPr>
              <w:spacing w:after="0"/>
              <w:rPr>
                <w:sz w:val="24"/>
                <w:szCs w:val="24"/>
                <w:color w:val="auto"/>
              </w:rPr>
            </w:pPr>
          </w:p>
        </w:tc>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3.</w:t>
            </w:r>
          </w:p>
        </w:tc>
        <w:tc>
          <w:tcPr>
            <w:tcW w:w="71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2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82</w:t>
            </w:r>
          </w:p>
        </w:tc>
      </w:tr>
      <w:tr>
        <w:trPr>
          <w:trHeight w:val="344"/>
        </w:trPr>
        <w:tc>
          <w:tcPr>
            <w:tcW w:w="20" w:type="dxa"/>
            <w:vAlign w:val="bottom"/>
          </w:tcPr>
          <w:p>
            <w:pPr>
              <w:spacing w:after="0"/>
              <w:rPr>
                <w:sz w:val="24"/>
                <w:szCs w:val="24"/>
                <w:color w:val="auto"/>
              </w:rPr>
            </w:pPr>
          </w:p>
        </w:tc>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tcPr>
          <w:p>
            <w:pPr>
              <w:spacing w:after="0"/>
              <w:rPr>
                <w:sz w:val="24"/>
                <w:szCs w:val="24"/>
                <w:color w:val="auto"/>
              </w:rPr>
            </w:pPr>
          </w:p>
        </w:tc>
        <w:tc>
          <w:tcPr>
            <w:tcW w:w="4840" w:type="dxa"/>
            <w:vAlign w:val="bottom"/>
            <w:gridSpan w:val="3"/>
          </w:tcPr>
          <w:p>
            <w:pPr>
              <w:spacing w:after="0"/>
              <w:rPr>
                <w:sz w:val="24"/>
                <w:szCs w:val="24"/>
                <w:color w:val="auto"/>
              </w:rPr>
            </w:pPr>
          </w:p>
        </w:tc>
        <w:tc>
          <w:tcPr>
            <w:tcW w:w="2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82</w:t>
            </w:r>
          </w:p>
        </w:tc>
      </w:tr>
      <w:tr>
        <w:trPr>
          <w:trHeight w:val="344"/>
        </w:trPr>
        <w:tc>
          <w:tcPr>
            <w:tcW w:w="20" w:type="dxa"/>
            <w:vAlign w:val="bottom"/>
          </w:tcPr>
          <w:p>
            <w:pPr>
              <w:spacing w:after="0"/>
              <w:rPr>
                <w:sz w:val="24"/>
                <w:szCs w:val="24"/>
                <w:color w:val="auto"/>
              </w:rPr>
            </w:pPr>
          </w:p>
        </w:tc>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5.</w:t>
            </w:r>
          </w:p>
        </w:tc>
        <w:tc>
          <w:tcPr>
            <w:tcW w:w="71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2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83</w:t>
            </w:r>
          </w:p>
        </w:tc>
      </w:tr>
      <w:tr>
        <w:trPr>
          <w:trHeight w:val="345"/>
        </w:trPr>
        <w:tc>
          <w:tcPr>
            <w:tcW w:w="20" w:type="dxa"/>
            <w:vAlign w:val="bottom"/>
          </w:tcPr>
          <w:p>
            <w:pPr>
              <w:spacing w:after="0"/>
              <w:rPr>
                <w:sz w:val="24"/>
                <w:szCs w:val="24"/>
                <w:color w:val="auto"/>
              </w:rPr>
            </w:pPr>
          </w:p>
        </w:tc>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Exhibits</w:t>
            </w:r>
          </w:p>
        </w:tc>
        <w:tc>
          <w:tcPr>
            <w:tcW w:w="5840" w:type="dxa"/>
            <w:vAlign w:val="bottom"/>
            <w:gridSpan w:val="6"/>
          </w:tcPr>
          <w:p>
            <w:pPr>
              <w:spacing w:after="0"/>
              <w:rPr>
                <w:sz w:val="24"/>
                <w:szCs w:val="24"/>
                <w:color w:val="auto"/>
              </w:rPr>
            </w:pPr>
          </w:p>
        </w:tc>
        <w:tc>
          <w:tcPr>
            <w:tcW w:w="2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83</w:t>
            </w:r>
          </w:p>
        </w:tc>
      </w:tr>
      <w:tr>
        <w:trPr>
          <w:trHeight w:val="344"/>
        </w:trPr>
        <w:tc>
          <w:tcPr>
            <w:tcW w:w="2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84</w:t>
            </w:r>
          </w:p>
        </w:tc>
      </w:tr>
      <w:tr>
        <w:trPr>
          <w:trHeight w:val="682"/>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7160" w:type="dxa"/>
            <w:vAlign w:val="bottom"/>
            <w:gridSpan w:val="11"/>
          </w:tcPr>
          <w:p>
            <w:pPr>
              <w:ind w:left="4340"/>
              <w:spacing w:after="0"/>
              <w:rPr>
                <w:sz w:val="20"/>
                <w:szCs w:val="20"/>
                <w:color w:val="auto"/>
              </w:rPr>
            </w:pPr>
            <w:r>
              <w:rPr>
                <w:rFonts w:ascii="Times New Roman" w:cs="Times New Roman" w:eastAsia="Times New Roman" w:hAnsi="Times New Roman"/>
                <w:sz w:val="18"/>
                <w:szCs w:val="18"/>
                <w:color w:val="auto"/>
              </w:rPr>
              <w:t>- 3 -</w:t>
            </w:r>
          </w:p>
        </w:tc>
        <w:tc>
          <w:tcPr>
            <w:tcW w:w="2940" w:type="dxa"/>
            <w:vAlign w:val="bottom"/>
          </w:tcPr>
          <w:p>
            <w:pPr>
              <w:spacing w:after="0"/>
              <w:rPr>
                <w:sz w:val="24"/>
                <w:szCs w:val="24"/>
                <w:color w:val="auto"/>
              </w:rPr>
            </w:pPr>
          </w:p>
        </w:tc>
      </w:tr>
      <w:tr>
        <w:trPr>
          <w:trHeight w:val="223"/>
        </w:trPr>
        <w:tc>
          <w:tcPr>
            <w:tcW w:w="2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780" w:type="dxa"/>
            <w:vAlign w:val="bottom"/>
            <w:tcBorders>
              <w:bottom w:val="single" w:sz="8" w:color="9A9A9A"/>
            </w:tcBorders>
          </w:tcPr>
          <w:p>
            <w:pPr>
              <w:spacing w:after="0"/>
              <w:rPr>
                <w:sz w:val="19"/>
                <w:szCs w:val="19"/>
                <w:color w:val="auto"/>
              </w:rPr>
            </w:pPr>
          </w:p>
        </w:tc>
        <w:tc>
          <w:tcPr>
            <w:tcW w:w="29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0"/>
        </w:trPr>
        <w:tc>
          <w:tcPr>
            <w:tcW w:w="3040" w:type="dxa"/>
            <w:vAlign w:val="bottom"/>
          </w:tcPr>
          <w:p>
            <w:pPr>
              <w:spacing w:after="0"/>
              <w:rPr>
                <w:sz w:val="23"/>
                <w:szCs w:val="23"/>
                <w:color w:val="auto"/>
              </w:rPr>
            </w:pPr>
          </w:p>
        </w:tc>
        <w:tc>
          <w:tcPr>
            <w:tcW w:w="8200" w:type="dxa"/>
            <w:vAlign w:val="bottom"/>
          </w:tcPr>
          <w:p>
            <w:pPr>
              <w:ind w:left="1820"/>
              <w:spacing w:after="0"/>
              <w:rPr>
                <w:sz w:val="20"/>
                <w:szCs w:val="20"/>
                <w:color w:val="auto"/>
              </w:rPr>
            </w:pPr>
            <w:r>
              <w:rPr>
                <w:rFonts w:ascii="Times New Roman" w:cs="Times New Roman" w:eastAsia="Times New Roman" w:hAnsi="Times New Roman"/>
                <w:sz w:val="21"/>
                <w:szCs w:val="21"/>
                <w:color w:val="auto"/>
              </w:rPr>
              <w:t>Glossary of Terms</w:t>
            </w:r>
          </w:p>
        </w:tc>
      </w:tr>
      <w:tr>
        <w:trPr>
          <w:trHeight w:val="364"/>
        </w:trPr>
        <w:tc>
          <w:tcPr>
            <w:tcW w:w="112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The following listing includes acronyms and terms used throughout the document.</w:t>
            </w:r>
          </w:p>
        </w:tc>
      </w:tr>
      <w:tr>
        <w:trPr>
          <w:trHeight w:val="485"/>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b w:val="1"/>
                <w:bCs w:val="1"/>
                <w:color w:val="auto"/>
              </w:rPr>
              <w:t>Term</w:t>
            </w:r>
          </w:p>
        </w:tc>
        <w:tc>
          <w:tcPr>
            <w:tcW w:w="82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1"/>
                <w:szCs w:val="21"/>
                <w:b w:val="1"/>
                <w:bCs w:val="1"/>
                <w:color w:val="auto"/>
              </w:rPr>
              <w:t>Definition</w:t>
            </w:r>
          </w:p>
        </w:tc>
      </w:tr>
      <w:tr>
        <w:trPr>
          <w:trHeight w:val="29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2025 Annual Report</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Form 10-K for the year ended December 31, 2025</w:t>
            </w:r>
          </w:p>
        </w:tc>
      </w:tr>
      <w:tr>
        <w:trPr>
          <w:trHeight w:val="288"/>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Bayview Financial</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Bayview Financial Holdings, L.P. together with its affiliates</w:t>
            </w:r>
          </w:p>
        </w:tc>
      </w:tr>
      <w:tr>
        <w:trPr>
          <w:trHeight w:val="30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BLG</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Bayview Lending Group, LLC</w:t>
            </w:r>
          </w:p>
        </w:tc>
      </w:tr>
      <w:tr>
        <w:trPr>
          <w:trHeight w:val="287"/>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Capital Rules</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Capital adequacy standards established by the federal banking agencies</w:t>
            </w:r>
          </w:p>
        </w:tc>
      </w:tr>
      <w:tr>
        <w:trPr>
          <w:trHeight w:val="30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CET1</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Common Equity Tier 1</w:t>
            </w:r>
          </w:p>
        </w:tc>
      </w:tr>
      <w:tr>
        <w:trPr>
          <w:trHeight w:val="288"/>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Common Securities</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w w:val="99"/>
              </w:rPr>
              <w:t>Common securities issued in connection with the issuance of Junior Subordinated Debentures</w:t>
            </w:r>
          </w:p>
        </w:tc>
      </w:tr>
      <w:tr>
        <w:trPr>
          <w:trHeight w:val="30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Company</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M&amp;T Bank Corporation and its consolidated subsidiaries</w:t>
            </w:r>
          </w:p>
        </w:tc>
      </w:tr>
      <w:tr>
        <w:trPr>
          <w:trHeight w:val="288"/>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DOJ</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U.S. Department of Justice</w:t>
            </w:r>
          </w:p>
        </w:tc>
      </w:tr>
      <w:tr>
        <w:trPr>
          <w:trHeight w:val="30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DUS</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Delegated Underwriting and Servicing</w:t>
            </w:r>
          </w:p>
        </w:tc>
      </w:tr>
      <w:tr>
        <w:trPr>
          <w:trHeight w:val="287"/>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ERBA</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Expanded risk-based approach</w:t>
            </w:r>
          </w:p>
        </w:tc>
      </w:tr>
      <w:tr>
        <w:trPr>
          <w:trHeight w:val="30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EVE</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Economic value of equity</w:t>
            </w:r>
          </w:p>
        </w:tc>
      </w:tr>
      <w:tr>
        <w:trPr>
          <w:trHeight w:val="288"/>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Exchange Act</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Securities Exchange Act of 1934</w:t>
            </w:r>
          </w:p>
        </w:tc>
      </w:tr>
      <w:tr>
        <w:trPr>
          <w:trHeight w:val="30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Executive ALCO Committee</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Executive Asset-Liability Liquidity Capital Committee</w:t>
            </w:r>
          </w:p>
        </w:tc>
      </w:tr>
      <w:tr>
        <w:trPr>
          <w:trHeight w:val="288"/>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FDIC</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Federal Deposit Insurance Corporation</w:t>
            </w:r>
          </w:p>
        </w:tc>
      </w:tr>
      <w:tr>
        <w:trPr>
          <w:trHeight w:val="30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Federal Reserve</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Board of Governors of the Federal Reserve System</w:t>
            </w:r>
          </w:p>
        </w:tc>
      </w:tr>
      <w:tr>
        <w:trPr>
          <w:trHeight w:val="288"/>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FHLB</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Federal Home Loan Bank</w:t>
            </w:r>
          </w:p>
        </w:tc>
      </w:tr>
      <w:tr>
        <w:trPr>
          <w:trHeight w:val="30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FOMC</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Federal Open Market Committee</w:t>
            </w:r>
          </w:p>
        </w:tc>
      </w:tr>
      <w:tr>
        <w:trPr>
          <w:trHeight w:val="288"/>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FRB</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Federal Reserve Bank</w:t>
            </w:r>
          </w:p>
        </w:tc>
      </w:tr>
      <w:tr>
        <w:trPr>
          <w:trHeight w:val="30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GAAP</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Accounting principles generally accepted in the U.S.</w:t>
            </w:r>
          </w:p>
        </w:tc>
      </w:tr>
      <w:tr>
        <w:trPr>
          <w:trHeight w:val="288"/>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GDP</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Gross Domestic Product</w:t>
            </w:r>
          </w:p>
        </w:tc>
      </w:tr>
      <w:tr>
        <w:trPr>
          <w:trHeight w:val="30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Junior Subordinated Debentures</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Fixed and variable rate junior subordinated deferrable interest debentures</w:t>
            </w:r>
          </w:p>
        </w:tc>
      </w:tr>
      <w:tr>
        <w:trPr>
          <w:trHeight w:val="288"/>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LCR</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Liquidity coverage ratio</w:t>
            </w:r>
          </w:p>
        </w:tc>
      </w:tr>
      <w:tr>
        <w:trPr>
          <w:trHeight w:val="30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LTV</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Loan-to-value</w:t>
            </w:r>
          </w:p>
        </w:tc>
      </w:tr>
      <w:tr>
        <w:trPr>
          <w:trHeight w:val="288"/>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M&amp;T</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M&amp;T Bank Corporation</w:t>
            </w:r>
          </w:p>
        </w:tc>
      </w:tr>
      <w:tr>
        <w:trPr>
          <w:trHeight w:val="30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M&amp;T Bank</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Manufacturers and Traders Trust Company</w:t>
            </w:r>
          </w:p>
        </w:tc>
      </w:tr>
      <w:tr>
        <w:trPr>
          <w:trHeight w:val="264"/>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Mid-Atlantic</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Region includes Delaware, Maryland, New Jersey, Pennsylvania, Virginia and the District of</w:t>
            </w:r>
          </w:p>
        </w:tc>
      </w:tr>
      <w:tr>
        <w:trPr>
          <w:trHeight w:val="280"/>
        </w:trPr>
        <w:tc>
          <w:tcPr>
            <w:tcW w:w="3040" w:type="dxa"/>
            <w:vAlign w:val="bottom"/>
          </w:tcPr>
          <w:p>
            <w:pPr>
              <w:spacing w:after="0"/>
              <w:rPr>
                <w:sz w:val="24"/>
                <w:szCs w:val="24"/>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Columbia</w:t>
            </w:r>
          </w:p>
        </w:tc>
      </w:tr>
      <w:tr>
        <w:trPr>
          <w:trHeight w:val="30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NDFI</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Nondepository Financial Institution</w:t>
            </w:r>
          </w:p>
        </w:tc>
      </w:tr>
      <w:tr>
        <w:trPr>
          <w:trHeight w:val="264"/>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New England</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Region includes Connecticut, Maine, Massachusetts, New Hampshire, Rhode Island and</w:t>
            </w:r>
          </w:p>
        </w:tc>
      </w:tr>
      <w:tr>
        <w:trPr>
          <w:trHeight w:val="280"/>
        </w:trPr>
        <w:tc>
          <w:tcPr>
            <w:tcW w:w="3040" w:type="dxa"/>
            <w:vAlign w:val="bottom"/>
          </w:tcPr>
          <w:p>
            <w:pPr>
              <w:spacing w:after="0"/>
              <w:rPr>
                <w:sz w:val="24"/>
                <w:szCs w:val="24"/>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Vermont</w:t>
            </w:r>
          </w:p>
        </w:tc>
      </w:tr>
      <w:tr>
        <w:trPr>
          <w:trHeight w:val="30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OAS</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Option adjusted spread</w:t>
            </w:r>
          </w:p>
        </w:tc>
      </w:tr>
      <w:tr>
        <w:trPr>
          <w:trHeight w:val="264"/>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Preferred Capital Securities</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Preferred capital securities issued in connection with the issuance of Junior Subordinated</w:t>
            </w:r>
          </w:p>
        </w:tc>
      </w:tr>
      <w:tr>
        <w:trPr>
          <w:trHeight w:val="280"/>
        </w:trPr>
        <w:tc>
          <w:tcPr>
            <w:tcW w:w="3040" w:type="dxa"/>
            <w:vAlign w:val="bottom"/>
          </w:tcPr>
          <w:p>
            <w:pPr>
              <w:spacing w:after="0"/>
              <w:rPr>
                <w:sz w:val="24"/>
                <w:szCs w:val="24"/>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Debentures</w:t>
            </w:r>
          </w:p>
        </w:tc>
      </w:tr>
      <w:tr>
        <w:trPr>
          <w:trHeight w:val="30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RWA</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Risk-weighted assets</w:t>
            </w:r>
          </w:p>
        </w:tc>
      </w:tr>
      <w:tr>
        <w:trPr>
          <w:trHeight w:val="288"/>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SCB</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Stress capital buffer</w:t>
            </w:r>
          </w:p>
        </w:tc>
      </w:tr>
      <w:tr>
        <w:trPr>
          <w:trHeight w:val="30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SEC</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Securities and Exchange Commission</w:t>
            </w:r>
          </w:p>
        </w:tc>
      </w:tr>
      <w:tr>
        <w:trPr>
          <w:trHeight w:val="288"/>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SOFR</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Secured Overnight Financing Rate</w:t>
            </w:r>
          </w:p>
        </w:tc>
      </w:tr>
      <w:tr>
        <w:trPr>
          <w:trHeight w:val="30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U.S.</w:t>
            </w: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1"/>
                <w:szCs w:val="21"/>
                <w:color w:val="auto"/>
              </w:rPr>
              <w:t>United States of America</w:t>
            </w:r>
          </w:p>
        </w:tc>
      </w:tr>
      <w:tr>
        <w:trPr>
          <w:trHeight w:val="278"/>
        </w:trPr>
        <w:tc>
          <w:tcPr>
            <w:tcW w:w="3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Wilmington Trust, N.A.</w:t>
            </w:r>
          </w:p>
        </w:tc>
        <w:tc>
          <w:tcPr>
            <w:tcW w:w="820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Wilmington Trust, National Association</w:t>
            </w:r>
          </w:p>
        </w:tc>
      </w:tr>
    </w:tbl>
    <w:p>
      <w:pPr>
        <w:spacing w:after="0" w:line="200" w:lineRule="exact"/>
        <w:rPr>
          <w:sz w:val="20"/>
          <w:szCs w:val="20"/>
          <w:color w:val="auto"/>
        </w:rPr>
      </w:pPr>
    </w:p>
    <w:p>
      <w:pPr>
        <w:sectPr>
          <w:pgSz w:w="11900" w:h="16838" w:orient="portrait"/>
          <w:cols w:equalWidth="0" w:num="1">
            <w:col w:w="11240"/>
          </w:cols>
          <w:pgMar w:left="320" w:top="1052" w:right="33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1"/>
          <w:szCs w:val="21"/>
          <w:color w:val="auto"/>
        </w:rPr>
        <w:t>Part I. Financial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 Financial Statements (Unaudited).</w:t>
      </w:r>
    </w:p>
    <w:p>
      <w:pPr>
        <w:spacing w:after="0" w:line="11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1"/>
          <w:szCs w:val="21"/>
          <w:color w:val="auto"/>
        </w:rPr>
        <w:t>Consolidated Balance Sheet (Unaudited)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w:t>
            </w:r>
          </w:p>
        </w:tc>
        <w:tc>
          <w:tcPr>
            <w:tcW w:w="220" w:type="dxa"/>
            <w:vAlign w:val="bottom"/>
          </w:tcPr>
          <w:p>
            <w:pPr>
              <w:spacing w:after="0"/>
              <w:rPr>
                <w:sz w:val="16"/>
                <w:szCs w:val="16"/>
                <w:color w:val="auto"/>
              </w:rPr>
            </w:pPr>
          </w:p>
        </w:tc>
        <w:tc>
          <w:tcPr>
            <w:tcW w:w="11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Interest-bearing deposits at banks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17,068</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account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Available for sale (cost: $25,219 at March 31, 2026;</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4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$22,994 at December 31, 2025)</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25,228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23,202</w:t>
            </w:r>
          </w:p>
        </w:tc>
        <w:tc>
          <w:tcPr>
            <w:tcW w:w="0" w:type="dxa"/>
            <w:vAlign w:val="bottom"/>
          </w:tcPr>
          <w:p>
            <w:pPr>
              <w:spacing w:after="0"/>
              <w:rPr>
                <w:sz w:val="1"/>
                <w:szCs w:val="1"/>
                <w:color w:val="auto"/>
              </w:rPr>
            </w:pPr>
          </w:p>
        </w:tc>
      </w:tr>
      <w:tr>
        <w:trPr>
          <w:trHeight w:val="180"/>
        </w:trPr>
        <w:tc>
          <w:tcPr>
            <w:tcW w:w="8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Held to maturity (fair value: $11,355 at March 31, 2026;</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$11,715 at December 31, 2025)</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12,430</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and other securities (cost: $1,273 at March 31, 2026;</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4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$1,016 at December 31, 2025)</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0" w:type="dxa"/>
            <w:vAlign w:val="bottom"/>
          </w:tcPr>
          <w:p>
            <w:pPr>
              <w:spacing w:after="0"/>
              <w:rPr>
                <w:sz w:val="1"/>
                <w:szCs w:val="1"/>
                <w:color w:val="auto"/>
              </w:rPr>
            </w:pPr>
          </w:p>
        </w:tc>
      </w:tr>
      <w:tr>
        <w:trPr>
          <w:trHeight w:val="18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38,621</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36,649</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Loans (a)</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139,914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138,702</w:t>
            </w:r>
          </w:p>
        </w:tc>
        <w:tc>
          <w:tcPr>
            <w:tcW w:w="0" w:type="dxa"/>
            <w:vAlign w:val="bottom"/>
          </w:tcPr>
          <w:p>
            <w:pPr>
              <w:spacing w:after="0"/>
              <w:rPr>
                <w:sz w:val="1"/>
                <w:szCs w:val="1"/>
                <w:color w:val="auto"/>
              </w:rPr>
            </w:pPr>
          </w:p>
        </w:tc>
      </w:tr>
      <w:tr>
        <w:trPr>
          <w:trHeight w:val="193"/>
        </w:trPr>
        <w:tc>
          <w:tcPr>
            <w:tcW w:w="8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Allowance for loan losses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loans</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137,778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136,586</w:t>
            </w:r>
          </w:p>
        </w:tc>
        <w:tc>
          <w:tcPr>
            <w:tcW w:w="0" w:type="dxa"/>
            <w:vAlign w:val="bottom"/>
          </w:tcPr>
          <w:p>
            <w:pPr>
              <w:spacing w:after="0"/>
              <w:rPr>
                <w:sz w:val="1"/>
                <w:szCs w:val="1"/>
                <w:color w:val="auto"/>
              </w:rPr>
            </w:pPr>
          </w:p>
        </w:tc>
      </w:tr>
      <w:tr>
        <w:trPr>
          <w:trHeight w:val="18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Premises and equipment</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1,716</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8,465</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Core deposit and other intangible assets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and other assets</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11,251</w:t>
            </w:r>
          </w:p>
        </w:tc>
        <w:tc>
          <w:tcPr>
            <w:tcW w:w="0" w:type="dxa"/>
            <w:vAlign w:val="bottom"/>
          </w:tcPr>
          <w:p>
            <w:pPr>
              <w:spacing w:after="0"/>
              <w:rPr>
                <w:sz w:val="1"/>
                <w:szCs w:val="1"/>
                <w:color w:val="auto"/>
              </w:rPr>
            </w:pPr>
          </w:p>
        </w:tc>
      </w:tr>
      <w:tr>
        <w:trPr>
          <w:trHeight w:val="218"/>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214,736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213,510</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45,892</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46,509</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Savings and interest-checking deposits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104,767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107,173</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Time deposits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13,227</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163,741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166,909</w:t>
            </w:r>
          </w:p>
        </w:tc>
        <w:tc>
          <w:tcPr>
            <w:tcW w:w="0" w:type="dxa"/>
            <w:vAlign w:val="bottom"/>
          </w:tcPr>
          <w:p>
            <w:pPr>
              <w:spacing w:after="0"/>
              <w:rPr>
                <w:sz w:val="1"/>
                <w:szCs w:val="1"/>
                <w:color w:val="auto"/>
              </w:rPr>
            </w:pPr>
          </w:p>
        </w:tc>
      </w:tr>
      <w:tr>
        <w:trPr>
          <w:trHeight w:val="18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7,851</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2,149</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borrowings (a)</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10,911</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and other liabilities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4,364</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186,764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184,333</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w:t>
            </w:r>
          </w:p>
        </w:tc>
        <w:tc>
          <w:tcPr>
            <w:tcW w:w="0" w:type="dxa"/>
            <w:vAlign w:val="bottom"/>
          </w:tcPr>
          <w:p>
            <w:pPr>
              <w:spacing w:after="0"/>
              <w:rPr>
                <w:sz w:val="1"/>
                <w:szCs w:val="1"/>
                <w:color w:val="auto"/>
              </w:rPr>
            </w:pP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$0.50 par, 250,000,000 shares authorized,</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179,436,779 shares issued at March 31, 2026 and December 31, 2025</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10,011</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21,476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20,882</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 net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 common, at cost — 32,523,605 shares at March 31, 2026;</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27,604,513 shares at December 31, 2025</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(4,917)</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29,177</w:t>
            </w:r>
          </w:p>
        </w:tc>
        <w:tc>
          <w:tcPr>
            <w:tcW w:w="0" w:type="dxa"/>
            <w:vAlign w:val="bottom"/>
          </w:tcPr>
          <w:p>
            <w:pPr>
              <w:spacing w:after="0"/>
              <w:rPr>
                <w:sz w:val="1"/>
                <w:szCs w:val="1"/>
                <w:color w:val="auto"/>
              </w:rPr>
            </w:pPr>
          </w:p>
        </w:tc>
      </w:tr>
      <w:tr>
        <w:trPr>
          <w:trHeight w:val="218"/>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214,736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213,510</w:t>
            </w: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 w:lineRule="exact"/>
        <w:rPr>
          <w:sz w:val="20"/>
          <w:szCs w:val="20"/>
          <w:color w:val="auto"/>
        </w:rPr>
      </w:pPr>
    </w:p>
    <w:p>
      <w:pPr>
        <w:jc w:val="both"/>
        <w:ind w:left="440" w:hanging="432"/>
        <w:spacing w:after="0" w:line="270" w:lineRule="auto"/>
        <w:tabs>
          <w:tab w:leader="none" w:pos="437" w:val="left"/>
        </w:tabs>
        <w:numPr>
          <w:ilvl w:val="0"/>
          <w:numId w:val="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Loans of $2.4 billion and $2.1 billion at March 31, 2026 and December 31, 2025, respectively, were held in special purpose trusts to settle the respective obligations of asset-backed notes issued by those trusts. The outstanding balances of those asset-backed notes issued to third party investors were included in Long-term borrowings and were $2.0 billion at March 31, 2026 and $1.7 billion at December 31,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ectPr>
          <w:pgSz w:w="11900" w:h="16838" w:orient="portrait"/>
          <w:cols w:equalWidth="0" w:num="1">
            <w:col w:w="11240"/>
          </w:cols>
          <w:pgMar w:left="320" w:top="10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type w:val="continuous"/>
        </w:sectPr>
      </w:pPr>
    </w:p>
    <w:bookmarkStart w:id="5" w:name="page6"/>
    <w:bookmarkEnd w:id="5"/>
    <w:p>
      <w:pPr>
        <w:ind w:left="4240"/>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1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1"/>
          <w:szCs w:val="21"/>
          <w:color w:val="auto"/>
        </w:rPr>
        <w:t>Consolidated Statement of Income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shares in thousands)</w:t>
            </w:r>
          </w:p>
        </w:tc>
        <w:tc>
          <w:tcPr>
            <w:tcW w:w="220" w:type="dxa"/>
            <w:vAlign w:val="bottom"/>
          </w:tcPr>
          <w:p>
            <w:pPr>
              <w:spacing w:after="0"/>
              <w:rPr>
                <w:sz w:val="19"/>
                <w:szCs w:val="19"/>
                <w:color w:val="auto"/>
              </w:rPr>
            </w:pPr>
          </w:p>
        </w:tc>
        <w:tc>
          <w:tcPr>
            <w:tcW w:w="10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5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0" w:type="dxa"/>
            <w:vAlign w:val="bottom"/>
          </w:tcPr>
          <w:p>
            <w:pPr>
              <w:spacing w:after="0"/>
              <w:rPr>
                <w:sz w:val="1"/>
                <w:szCs w:val="1"/>
                <w:color w:val="auto"/>
              </w:rPr>
            </w:pPr>
          </w:p>
        </w:tc>
      </w:tr>
      <w:tr>
        <w:trPr>
          <w:trHeight w:val="193"/>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37"/>
        </w:trPr>
        <w:tc>
          <w:tcPr>
            <w:tcW w:w="8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at banks</w:t>
            </w: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86"/>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interest income</w:t>
            </w: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2,536</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0" w:type="dxa"/>
            <w:vAlign w:val="bottom"/>
          </w:tcPr>
          <w:p>
            <w:pPr>
              <w:spacing w:after="0"/>
              <w:rPr>
                <w:sz w:val="1"/>
                <w:szCs w:val="1"/>
                <w:color w:val="auto"/>
              </w:rPr>
            </w:pPr>
          </w:p>
        </w:tc>
      </w:tr>
      <w:tr>
        <w:trPr>
          <w:trHeight w:val="37"/>
        </w:trPr>
        <w:tc>
          <w:tcPr>
            <w:tcW w:w="85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Savings and interest-checking deposits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37"/>
        </w:trPr>
        <w:tc>
          <w:tcPr>
            <w:tcW w:w="8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 deposits</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93"/>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37"/>
        </w:trPr>
        <w:tc>
          <w:tcPr>
            <w:tcW w:w="8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borrowings</w:t>
            </w: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86"/>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0" w:type="dxa"/>
            <w:vAlign w:val="bottom"/>
          </w:tcPr>
          <w:p>
            <w:pPr>
              <w:spacing w:after="0"/>
              <w:rPr>
                <w:sz w:val="1"/>
                <w:szCs w:val="1"/>
                <w:color w:val="auto"/>
              </w:rPr>
            </w:pPr>
          </w:p>
        </w:tc>
      </w:tr>
      <w:tr>
        <w:trPr>
          <w:trHeight w:val="37"/>
        </w:trPr>
        <w:tc>
          <w:tcPr>
            <w:tcW w:w="85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2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0" w:type="dxa"/>
            <w:vAlign w:val="bottom"/>
          </w:tcPr>
          <w:p>
            <w:pPr>
              <w:spacing w:after="0"/>
              <w:rPr>
                <w:sz w:val="1"/>
                <w:szCs w:val="1"/>
                <w:color w:val="auto"/>
              </w:rPr>
            </w:pPr>
          </w:p>
        </w:tc>
      </w:tr>
      <w:tr>
        <w:trPr>
          <w:trHeight w:val="193"/>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37"/>
        </w:trPr>
        <w:tc>
          <w:tcPr>
            <w:tcW w:w="85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0" w:type="dxa"/>
            <w:vAlign w:val="bottom"/>
          </w:tcPr>
          <w:p>
            <w:pPr>
              <w:spacing w:after="0"/>
              <w:rPr>
                <w:sz w:val="1"/>
                <w:szCs w:val="1"/>
                <w:color w:val="auto"/>
              </w:rPr>
            </w:pPr>
          </w:p>
        </w:tc>
      </w:tr>
      <w:tr>
        <w:trPr>
          <w:trHeight w:val="173"/>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w:t>
            </w: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banking revenues</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93"/>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37"/>
        </w:trPr>
        <w:tc>
          <w:tcPr>
            <w:tcW w:w="8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Trust income</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93"/>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Brokerage services income</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37"/>
        </w:trPr>
        <w:tc>
          <w:tcPr>
            <w:tcW w:w="8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account and other non-hedging derivative gains</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3"/>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 on bank investment securities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revenues from operations</w:t>
            </w: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86"/>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income</w:t>
            </w: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0" w:type="dxa"/>
            <w:vAlign w:val="bottom"/>
          </w:tcPr>
          <w:p>
            <w:pPr>
              <w:spacing w:after="0"/>
              <w:rPr>
                <w:sz w:val="1"/>
                <w:szCs w:val="1"/>
                <w:color w:val="auto"/>
              </w:rPr>
            </w:pPr>
          </w:p>
        </w:tc>
      </w:tr>
      <w:tr>
        <w:trPr>
          <w:trHeight w:val="37"/>
        </w:trPr>
        <w:tc>
          <w:tcPr>
            <w:tcW w:w="85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0" w:type="dxa"/>
            <w:vAlign w:val="bottom"/>
          </w:tcPr>
          <w:p>
            <w:pPr>
              <w:spacing w:after="0"/>
              <w:rPr>
                <w:sz w:val="1"/>
                <w:szCs w:val="1"/>
                <w:color w:val="auto"/>
              </w:rPr>
            </w:pPr>
          </w:p>
        </w:tc>
      </w:tr>
      <w:tr>
        <w:trPr>
          <w:trHeight w:val="37"/>
        </w:trPr>
        <w:tc>
          <w:tcPr>
            <w:tcW w:w="8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 and net occupancy</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93"/>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Outside data processing and software</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37"/>
        </w:trPr>
        <w:tc>
          <w:tcPr>
            <w:tcW w:w="8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and other services</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93"/>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FDIC assessments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37"/>
        </w:trPr>
        <w:tc>
          <w:tcPr>
            <w:tcW w:w="8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Advertising and marketing</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3"/>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core deposit and other intangible assets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37"/>
        </w:trPr>
        <w:tc>
          <w:tcPr>
            <w:tcW w:w="8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costs of operations</w:t>
            </w: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86"/>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expense</w:t>
            </w: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0" w:type="dxa"/>
            <w:vAlign w:val="bottom"/>
          </w:tcPr>
          <w:p>
            <w:pPr>
              <w:spacing w:after="0"/>
              <w:rPr>
                <w:sz w:val="1"/>
                <w:szCs w:val="1"/>
                <w:color w:val="auto"/>
              </w:rPr>
            </w:pPr>
          </w:p>
        </w:tc>
      </w:tr>
      <w:tr>
        <w:trPr>
          <w:trHeight w:val="37"/>
        </w:trPr>
        <w:tc>
          <w:tcPr>
            <w:tcW w:w="85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2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0" w:type="dxa"/>
            <w:vAlign w:val="bottom"/>
          </w:tcPr>
          <w:p>
            <w:pPr>
              <w:spacing w:after="0"/>
              <w:rPr>
                <w:sz w:val="1"/>
                <w:szCs w:val="1"/>
                <w:color w:val="auto"/>
              </w:rPr>
            </w:pPr>
          </w:p>
        </w:tc>
      </w:tr>
      <w:tr>
        <w:trPr>
          <w:trHeight w:val="193"/>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37"/>
        </w:trPr>
        <w:tc>
          <w:tcPr>
            <w:tcW w:w="85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available to common shareholders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Basic</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193"/>
        </w:trPr>
        <w:tc>
          <w:tcPr>
            <w:tcW w:w="85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Diluted</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37"/>
        </w:trPr>
        <w:tc>
          <w:tcPr>
            <w:tcW w:w="8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per common share</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5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Basic</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37"/>
        </w:trPr>
        <w:tc>
          <w:tcPr>
            <w:tcW w:w="8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Diluted</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93"/>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common shares outstanding</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Basic</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149,225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164,209</w:t>
            </w:r>
          </w:p>
        </w:tc>
        <w:tc>
          <w:tcPr>
            <w:tcW w:w="0" w:type="dxa"/>
            <w:vAlign w:val="bottom"/>
          </w:tcPr>
          <w:p>
            <w:pPr>
              <w:spacing w:after="0"/>
              <w:rPr>
                <w:sz w:val="1"/>
                <w:szCs w:val="1"/>
                <w:color w:val="auto"/>
              </w:rPr>
            </w:pPr>
          </w:p>
        </w:tc>
      </w:tr>
      <w:tr>
        <w:trPr>
          <w:trHeight w:val="193"/>
        </w:trPr>
        <w:tc>
          <w:tcPr>
            <w:tcW w:w="85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Diluted</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165,047</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ectPr>
          <w:pgSz w:w="11900" w:h="16838" w:orient="portrait"/>
          <w:cols w:equalWidth="0" w:num="1">
            <w:col w:w="11240"/>
          </w:cols>
          <w:pgMar w:left="320" w:top="984" w:right="339"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type w:val="continuous"/>
        </w:sectPr>
      </w:pPr>
    </w:p>
    <w:bookmarkStart w:id="6" w:name="page7"/>
    <w:bookmarkEnd w:id="6"/>
    <w:p>
      <w:pPr>
        <w:ind w:left="4240"/>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1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1"/>
          <w:szCs w:val="21"/>
          <w:color w:val="auto"/>
        </w:rPr>
        <w:t>Consolidated Statement of Comprehensive Income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9"/>
                <w:szCs w:val="19"/>
                <w:color w:val="auto"/>
              </w:rPr>
            </w:pPr>
          </w:p>
        </w:tc>
        <w:tc>
          <w:tcPr>
            <w:tcW w:w="11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3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0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r>
      <w:tr>
        <w:trPr>
          <w:trHeight w:val="193"/>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 and reclassification adjustments: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
        </w:trPr>
        <w:tc>
          <w:tcPr>
            <w:tcW w:w="8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9"/>
        </w:trPr>
        <w:tc>
          <w:tcPr>
            <w:tcW w:w="8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unrealized gains (losses) on investment securities</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193"/>
        </w:trPr>
        <w:tc>
          <w:tcPr>
            <w:tcW w:w="8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flow hedges adjustments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37"/>
        </w:trPr>
        <w:tc>
          <w:tcPr>
            <w:tcW w:w="8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9"/>
        </w:trPr>
        <w:tc>
          <w:tcPr>
            <w:tcW w:w="8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Defined benefit plans liability adjustments</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3"/>
        </w:trPr>
        <w:tc>
          <w:tcPr>
            <w:tcW w:w="8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7"/>
        </w:trPr>
        <w:tc>
          <w:tcPr>
            <w:tcW w:w="83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2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r>
      <w:tr>
        <w:trPr>
          <w:trHeight w:val="186"/>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80" w:type="dxa"/>
            <w:vAlign w:val="bottom"/>
          </w:tcPr>
          <w:p>
            <w:pPr>
              <w:spacing w:after="0"/>
              <w:rPr>
                <w:sz w:val="16"/>
                <w:szCs w:val="16"/>
                <w:color w:val="auto"/>
              </w:rPr>
            </w:pP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838</w:t>
            </w:r>
          </w:p>
        </w:tc>
      </w:tr>
      <w:tr>
        <w:trPr>
          <w:trHeight w:val="37"/>
        </w:trPr>
        <w:tc>
          <w:tcPr>
            <w:tcW w:w="83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0"/>
        </w:trPr>
        <w:tc>
          <w:tcPr>
            <w:tcW w:w="8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7" w:name="page8"/>
    <w:bookmarkEnd w:id="7"/>
    <w:p>
      <w:pPr>
        <w:ind w:left="4240"/>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5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1"/>
          <w:szCs w:val="21"/>
          <w:color w:val="auto"/>
        </w:rPr>
        <w:t>Consolidated Statement of Cash Flows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4"/>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20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300" w:type="dxa"/>
            <w:vAlign w:val="bottom"/>
          </w:tcPr>
          <w:p>
            <w:pPr>
              <w:spacing w:after="0"/>
              <w:rPr>
                <w:sz w:val="17"/>
                <w:szCs w:val="17"/>
                <w:color w:val="auto"/>
              </w:rPr>
            </w:pPr>
          </w:p>
        </w:tc>
        <w:tc>
          <w:tcPr>
            <w:tcW w:w="1060" w:type="dxa"/>
            <w:vAlign w:val="bottom"/>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29"/>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84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0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from operating activities: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73"/>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Depreciation and amortization of premises and equipment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Amortization of capitalized servicing rights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73"/>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Amortization of core deposit and other intangible assets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Provision for deferred income taxes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3"/>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Asset write-downs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gain on sales of assets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3"/>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change in accrued interest receivable, payable</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change in other accrued income and expense</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0" w:type="dxa"/>
            <w:vAlign w:val="bottom"/>
          </w:tcPr>
          <w:p>
            <w:pPr>
              <w:spacing w:after="0"/>
              <w:rPr>
                <w:sz w:val="1"/>
                <w:szCs w:val="1"/>
                <w:color w:val="auto"/>
              </w:rPr>
            </w:pPr>
          </w:p>
        </w:tc>
      </w:tr>
      <w:tr>
        <w:trPr>
          <w:trHeight w:val="173"/>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change in loans originated for sale</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change in trading account and other non-hedging derivative assets and 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0" w:type="dxa"/>
            <w:vAlign w:val="bottom"/>
          </w:tcPr>
          <w:p>
            <w:pPr>
              <w:spacing w:after="0"/>
              <w:rPr>
                <w:sz w:val="1"/>
                <w:szCs w:val="1"/>
                <w:color w:val="auto"/>
              </w:rPr>
            </w:pPr>
          </w:p>
        </w:tc>
      </w:tr>
      <w:tr>
        <w:trPr>
          <w:trHeight w:val="167"/>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from operating activities</w:t>
            </w: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1,012</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0" w:type="dxa"/>
            <w:vAlign w:val="bottom"/>
          </w:tcPr>
          <w:p>
            <w:pPr>
              <w:spacing w:after="0"/>
              <w:rPr>
                <w:sz w:val="1"/>
                <w:szCs w:val="1"/>
                <w:color w:val="auto"/>
              </w:rPr>
            </w:pPr>
          </w:p>
        </w:tc>
      </w:tr>
      <w:tr>
        <w:trPr>
          <w:trHeight w:val="29"/>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sales: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Investment securities available for sale</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2,492</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Equity and other securities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Loans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maturities: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Investment securities available for sale</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1,211</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0" w:type="dxa"/>
            <w:vAlign w:val="bottom"/>
          </w:tcPr>
          <w:p>
            <w:pPr>
              <w:spacing w:after="0"/>
              <w:rPr>
                <w:sz w:val="1"/>
                <w:szCs w:val="1"/>
                <w:color w:val="auto"/>
              </w:rPr>
            </w:pPr>
          </w:p>
        </w:tc>
      </w:tr>
      <w:tr>
        <w:trPr>
          <w:trHeight w:val="173"/>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Investment securities held to maturity</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Investment securities available for sale</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(2,571)</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Equity and other securities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0" w:type="dxa"/>
            <w:vAlign w:val="bottom"/>
          </w:tcPr>
          <w:p>
            <w:pPr>
              <w:spacing w:after="0"/>
              <w:rPr>
                <w:sz w:val="1"/>
                <w:szCs w:val="1"/>
                <w:color w:val="auto"/>
              </w:rPr>
            </w:pPr>
          </w:p>
        </w:tc>
      </w:tr>
      <w:tr>
        <w:trPr>
          <w:trHeight w:val="173"/>
        </w:trPr>
        <w:tc>
          <w:tcPr>
            <w:tcW w:w="8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Loans</w:t>
            </w:r>
          </w:p>
        </w:tc>
        <w:tc>
          <w:tcPr>
            <w:tcW w:w="3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 in loans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(1,611)</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expenditures, net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 in loan servicing advances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net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30"/>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from investing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(4,324)</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0" w:type="dxa"/>
            <w:vAlign w:val="bottom"/>
          </w:tcPr>
          <w:p>
            <w:pPr>
              <w:spacing w:after="0"/>
              <w:rPr>
                <w:sz w:val="1"/>
                <w:szCs w:val="1"/>
                <w:color w:val="auto"/>
              </w:rPr>
            </w:pPr>
          </w:p>
        </w:tc>
      </w:tr>
      <w:tr>
        <w:trPr>
          <w:trHeight w:val="15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 in deposits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(3,168)</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4,314</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 in short-term borrowings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long-term borrowings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Payments on long-term borrowings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(2,950)</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Redemption of Series G preferred stock</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paid — common</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paid — preferred</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net</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6"/>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from financing activities</w:t>
            </w: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1,697</w:t>
            </w:r>
          </w:p>
        </w:tc>
        <w:tc>
          <w:tcPr>
            <w:tcW w:w="0" w:type="dxa"/>
            <w:vAlign w:val="bottom"/>
          </w:tcPr>
          <w:p>
            <w:pPr>
              <w:spacing w:after="0"/>
              <w:rPr>
                <w:sz w:val="1"/>
                <w:szCs w:val="1"/>
                <w:color w:val="auto"/>
              </w:rPr>
            </w:pPr>
          </w:p>
        </w:tc>
      </w:tr>
      <w:tr>
        <w:trPr>
          <w:trHeight w:val="30"/>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 in cash, cash equivalents and restricted cash</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(2,421)</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1,983</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 (a)</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18,769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20,782</w:t>
            </w:r>
          </w:p>
        </w:tc>
        <w:tc>
          <w:tcPr>
            <w:tcW w:w="0" w:type="dxa"/>
            <w:vAlign w:val="bottom"/>
          </w:tcPr>
          <w:p>
            <w:pPr>
              <w:spacing w:after="0"/>
              <w:rPr>
                <w:sz w:val="1"/>
                <w:szCs w:val="1"/>
                <w:color w:val="auto"/>
              </w:rPr>
            </w:pPr>
          </w:p>
        </w:tc>
      </w:tr>
      <w:tr>
        <w:trPr>
          <w:trHeight w:val="30"/>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 (a)</w:t>
            </w:r>
          </w:p>
        </w:tc>
        <w:tc>
          <w:tcPr>
            <w:tcW w:w="30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16,348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22,765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4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received during the period</w:t>
            </w:r>
          </w:p>
        </w:tc>
        <w:tc>
          <w:tcPr>
            <w:tcW w:w="30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2,608</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2,605</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paid during the period</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taxes paid during the period</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schedule of noncash investing and financing activities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 estate and other foreclosed assets acquired in settlement of loans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Additions to right-of-use assets under operating leases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16" w:lineRule="exact"/>
        <w:rPr>
          <w:sz w:val="20"/>
          <w:szCs w:val="20"/>
          <w:color w:val="auto"/>
        </w:rPr>
      </w:pPr>
    </w:p>
    <w:p>
      <w:pPr>
        <w:ind w:left="440" w:hanging="432"/>
        <w:spacing w:after="0" w:line="281" w:lineRule="auto"/>
        <w:tabs>
          <w:tab w:leader="none" w:pos="437"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Effective for the year-ended December 31, 2025, the Company changed its accounting policy for Cash and cash equivalents to include Interest-bearing deposits at banks. Prior period amounts have been adjusted to reflect this change in accounting policy as described in note 1.</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ectPr>
          <w:pgSz w:w="11900" w:h="16838" w:orient="portrait"/>
          <w:cols w:equalWidth="0" w:num="1">
            <w:col w:w="11240"/>
          </w:cols>
          <w:pgMar w:left="320" w:top="984" w:right="339" w:bottom="1440"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type w:val="continuous"/>
        </w:sectPr>
      </w:pPr>
    </w:p>
    <w:bookmarkStart w:id="8" w:name="page9"/>
    <w:bookmarkEnd w:id="8"/>
    <w:p>
      <w:pPr>
        <w:ind w:left="4240"/>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1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Consolidated Statement of Changes in Shareholders’ Equity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Preferred</w:t>
            </w:r>
          </w:p>
        </w:tc>
        <w:tc>
          <w:tcPr>
            <w:tcW w:w="140" w:type="dxa"/>
            <w:vAlign w:val="bottom"/>
          </w:tcPr>
          <w:p>
            <w:pPr>
              <w:spacing w:after="0"/>
              <w:rPr>
                <w:sz w:val="14"/>
                <w:szCs w:val="14"/>
                <w:color w:val="auto"/>
              </w:rPr>
            </w:pP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95"/>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(Dollars in millions, except per share)</w:t>
            </w:r>
          </w:p>
        </w:tc>
        <w:tc>
          <w:tcPr>
            <w:tcW w:w="16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rPr>
              <w:t>(Loss), Net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00" w:type="dxa"/>
            <w:vAlign w:val="bottom"/>
          </w:tcPr>
          <w:p>
            <w:pPr>
              <w:spacing w:after="0"/>
              <w:rPr>
                <w:sz w:val="14"/>
                <w:szCs w:val="14"/>
                <w:color w:val="auto"/>
              </w:rPr>
            </w:pPr>
          </w:p>
        </w:tc>
        <w:tc>
          <w:tcPr>
            <w:tcW w:w="700" w:type="dxa"/>
            <w:vAlign w:val="bottom"/>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Three Months Ended March 31, 2026</w:t>
            </w: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80" w:type="dxa"/>
            <w:vAlign w:val="bottom"/>
            <w:tcBorders>
              <w:top w:val="single" w:sz="8" w:color="auto"/>
            </w:tcBorders>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 January 1, 2026</w:t>
            </w:r>
          </w:p>
        </w:tc>
        <w:tc>
          <w:tcPr>
            <w:tcW w:w="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10,011</w:t>
            </w:r>
          </w:p>
        </w:tc>
        <w:tc>
          <w:tcPr>
            <w:tcW w:w="360" w:type="dxa"/>
            <w:vAlign w:val="bottom"/>
            <w:tcBorders>
              <w:bottom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20,882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29,177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Fair value accounting election — residential mortgage loan</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servicing right assets (a)</w:t>
            </w:r>
          </w:p>
        </w:tc>
        <w:tc>
          <w:tcPr>
            <w:tcW w:w="1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Redemption of Series G preferred stock</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35"/>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 cash dividends</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transactions, net</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 cash dividends — $1.50 per share</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0" w:type="dxa"/>
            <w:vAlign w:val="bottom"/>
          </w:tcPr>
          <w:p>
            <w:pPr>
              <w:spacing w:after="0"/>
              <w:rPr>
                <w:sz w:val="1"/>
                <w:szCs w:val="1"/>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 March 31, 2026</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9,961</w:t>
            </w:r>
          </w:p>
        </w:tc>
        <w:tc>
          <w:tcPr>
            <w:tcW w:w="3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21,476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9"/>
              </w:rPr>
              <w:t>Three Months Ended March 31, 2025</w:t>
            </w:r>
          </w:p>
        </w:tc>
        <w:tc>
          <w:tcPr>
            <w:tcW w:w="15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 January 1, 2025</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2,394</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9,999</w:t>
            </w:r>
          </w:p>
        </w:tc>
        <w:tc>
          <w:tcPr>
            <w:tcW w:w="3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19,079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(2,371)</w:t>
            </w:r>
          </w:p>
        </w:tc>
        <w:tc>
          <w:tcPr>
            <w:tcW w:w="80" w:type="dxa"/>
            <w:vAlign w:val="bottom"/>
          </w:tcPr>
          <w:p>
            <w:pPr>
              <w:spacing w:after="0"/>
              <w:rPr>
                <w:sz w:val="16"/>
                <w:szCs w:val="16"/>
                <w:color w:val="auto"/>
              </w:rPr>
            </w:pP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29,027</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Preferred stock cash dividends</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Stock-based compensation transactions, net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 cash dividends — $1.35 per share</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 March 31, 2025</w:t>
            </w: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9,969</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19,405</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(2,957)</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28,991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54" w:lineRule="exact"/>
        <w:rPr>
          <w:sz w:val="20"/>
          <w:szCs w:val="20"/>
          <w:color w:val="auto"/>
        </w:rPr>
      </w:pPr>
    </w:p>
    <w:p>
      <w:pPr>
        <w:ind w:left="440" w:hanging="432"/>
        <w:spacing w:after="0"/>
        <w:tabs>
          <w:tab w:leader="none" w:pos="44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As described in notes 1 and 12, effective January 1, 2026, the Company elected to prospectively measure its residential mortgage loan servicing right assets at fair value.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1"/>
          <w:szCs w:val="21"/>
          <w:color w:val="auto"/>
        </w:rPr>
        <w:t>Notes to Financial Statements (Unaudited)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consolidated interim financial statements of the Company were compiled in accordance with GAAP using the accounting policies set forth in note 1 of Notes to Financial Statements included in M&amp;T's 2025 Annual Report. The financial statements contain all adjustments which are, in the opinion of management, necessary for a fair statement of the Company's financial position, results of operations and cash flows for the interim periods presented.</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Effective January 1, 2026, the Company elected to prospectively measure its residential mortgage loan servicing right assets at fair value with changes in fair value reflected in Mortgage banking revenues in the Consolidated Statement of Income. As a result, amortization associated with residential mortgage loan servicing right assets previously recognized in Other costs of operations in the Consolidated Statement of Income before 2026 is no longer recorded. Instead, beginning in 2026 fair value changes in residential mortgage loan servicing right assets, inclusive of the realization of expected net servicing revenues over time, are included in Mortgage banking revenues. </w:t>
      </w:r>
      <w:r>
        <w:rPr>
          <w:rFonts w:ascii="Times New Roman" w:cs="Times New Roman" w:eastAsia="Times New Roman" w:hAnsi="Times New Roman"/>
          <w:sz w:val="20"/>
          <w:szCs w:val="20"/>
          <w:color w:val="auto"/>
        </w:rPr>
        <w:t>The accounting election resulted in an increase to capitalized servicing assets, included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Accrued interest and other assets in the Consolidated Balance Sheet, of $263 million and a corresponding after-tax increase to Retained earnings of $197 million. On December 31, 2025 the Company began economically hedging the risk of fair value changes in those residential mortgage loan servicing right assets through the use of various interest rate derivative contracts, for which changes in fair value in the recent quarter are reflected in Mortgage banking revenues in the Consolidated Statement of Income.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Consolidated Statement of Cash Flows</w:t>
      </w:r>
    </w:p>
    <w:p>
      <w:pPr>
        <w:spacing w:after="0" w:line="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For purposes of this statement, Cash and due from banks and federal funds sold are considered Cash and cash equivalents. Effective for the year-ended December 31, 2025, the Company changed its accounting policy to also include Interest-bearing deposits at banks, which are primarily comprised of interest-bearing deposits at the FRB of New York, as Cash and cash equivalents. The Company considers such deposits to be an immediate source of funds in its liquidity management processes and therefore considers the accounting policy election preferable. Prior period amounts in the Consolidated Statement of Cash Flows have been adjusted to reflect this change in accounting policy as summarized in the following table: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3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Previously Reported</w:t>
            </w:r>
          </w:p>
        </w:tc>
        <w:tc>
          <w:tcPr>
            <w:tcW w:w="540" w:type="dxa"/>
            <w:vAlign w:val="bottom"/>
          </w:tcPr>
          <w:p>
            <w:pPr>
              <w:spacing w:after="0"/>
              <w:rPr>
                <w:sz w:val="16"/>
                <w:szCs w:val="16"/>
                <w:color w:val="auto"/>
              </w:rPr>
            </w:pPr>
          </w:p>
        </w:tc>
        <w:tc>
          <w:tcPr>
            <w:tcW w:w="134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37"/>
        </w:trPr>
        <w:tc>
          <w:tcPr>
            <w:tcW w:w="73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interest-bearing deposits at banks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from investing activities</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37"/>
        </w:trPr>
        <w:tc>
          <w:tcPr>
            <w:tcW w:w="7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2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1,983</w:t>
            </w:r>
          </w:p>
        </w:tc>
        <w:tc>
          <w:tcPr>
            <w:tcW w:w="0" w:type="dxa"/>
            <w:vAlign w:val="bottom"/>
          </w:tcPr>
          <w:p>
            <w:pPr>
              <w:spacing w:after="0"/>
              <w:rPr>
                <w:sz w:val="1"/>
                <w:szCs w:val="1"/>
                <w:color w:val="auto"/>
              </w:rPr>
            </w:pPr>
          </w:p>
        </w:tc>
      </w:tr>
      <w:tr>
        <w:trPr>
          <w:trHeight w:val="193"/>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20,782</w:t>
            </w:r>
          </w:p>
        </w:tc>
        <w:tc>
          <w:tcPr>
            <w:tcW w:w="0" w:type="dxa"/>
            <w:vAlign w:val="bottom"/>
          </w:tcPr>
          <w:p>
            <w:pPr>
              <w:spacing w:after="0"/>
              <w:rPr>
                <w:sz w:val="1"/>
                <w:szCs w:val="1"/>
                <w:color w:val="auto"/>
              </w:rPr>
            </w:pPr>
          </w:p>
        </w:tc>
      </w:tr>
      <w:tr>
        <w:trPr>
          <w:trHeight w:val="37"/>
        </w:trPr>
        <w:tc>
          <w:tcPr>
            <w:tcW w:w="7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22,765</w:t>
            </w:r>
          </w:p>
        </w:tc>
        <w:tc>
          <w:tcPr>
            <w:tcW w:w="0" w:type="dxa"/>
            <w:vAlign w:val="bottom"/>
          </w:tcPr>
          <w:p>
            <w:pPr>
              <w:spacing w:after="0"/>
              <w:rPr>
                <w:sz w:val="1"/>
                <w:szCs w:val="1"/>
                <w:color w:val="auto"/>
              </w:rPr>
            </w:pPr>
          </w:p>
        </w:tc>
      </w:tr>
      <w:tr>
        <w:trPr>
          <w:trHeight w:val="37"/>
        </w:trPr>
        <w:tc>
          <w:tcPr>
            <w:tcW w:w="73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During the second quarter of 2025, with the increased volume of sales and purchases of loans, the Company began separately presenting Proceeds from sales of loans, which were not originally held for sale, in the Consolidated Statement of Cash Flows. Previously proceeds from sales of loans, which were not originally held for sale, were included in Net change in loans in the Consolidated Statement of Cash Flows. Previously reported amounts for the three months ended March 31, 2025 have been reclassified to conform to the current presentation.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1"/>
          <w:szCs w:val="21"/>
          <w:b w:val="1"/>
          <w:bCs w:val="1"/>
          <w:color w:val="auto"/>
        </w:rPr>
        <w:t>1. Significant accounting policies, continued</w:t>
      </w:r>
    </w:p>
    <w:p>
      <w:pPr>
        <w:spacing w:after="0" w:line="200" w:lineRule="exact"/>
        <w:rPr>
          <w:sz w:val="20"/>
          <w:szCs w:val="20"/>
          <w:color w:val="auto"/>
        </w:rPr>
      </w:pPr>
    </w:p>
    <w:p>
      <w:pPr>
        <w:spacing w:after="0" w:line="34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1"/>
          <w:szCs w:val="21"/>
          <w:color w:val="auto"/>
        </w:rPr>
        <w:t>The following table provides a description of accounting standards that were adopted by the Company in the three-month period ended March 31, 2026 as well as standards that were not yet effective at March 31, 2026 that could have an impact to M&amp;T's consolidated financial statements upon adoption.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Recent accounting developments</w:t>
      </w:r>
    </w:p>
    <w:p>
      <w:pPr>
        <w:spacing w:after="0" w:line="45"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1560" w:type="dxa"/>
            <w:vAlign w:val="bottom"/>
            <w:tcBorders>
              <w:top w:val="single" w:sz="8" w:color="auto"/>
              <w:left w:val="single" w:sz="8" w:color="auto"/>
              <w:right w:val="single" w:sz="8" w:color="auto"/>
            </w:tcBorders>
          </w:tcPr>
          <w:p>
            <w:pPr>
              <w:spacing w:after="0"/>
              <w:rPr>
                <w:sz w:val="17"/>
                <w:szCs w:val="17"/>
                <w:color w:val="auto"/>
              </w:rPr>
            </w:pPr>
          </w:p>
        </w:tc>
        <w:tc>
          <w:tcPr>
            <w:tcW w:w="4180" w:type="dxa"/>
            <w:vAlign w:val="bottom"/>
            <w:tcBorders>
              <w:top w:val="single" w:sz="8" w:color="auto"/>
              <w:right w:val="single" w:sz="8" w:color="auto"/>
            </w:tcBorders>
          </w:tcPr>
          <w:p>
            <w:pPr>
              <w:spacing w:after="0"/>
              <w:rPr>
                <w:sz w:val="17"/>
                <w:szCs w:val="17"/>
                <w:color w:val="auto"/>
              </w:rPr>
            </w:pPr>
          </w:p>
        </w:tc>
        <w:tc>
          <w:tcPr>
            <w:tcW w:w="1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Required date</w:t>
            </w:r>
          </w:p>
        </w:tc>
        <w:tc>
          <w:tcPr>
            <w:tcW w:w="3880" w:type="dxa"/>
            <w:vAlign w:val="bottom"/>
            <w:tcBorders>
              <w:top w:val="single" w:sz="8" w:color="auto"/>
              <w:right w:val="single" w:sz="8" w:color="auto"/>
            </w:tcBorders>
          </w:tcPr>
          <w:p>
            <w:pPr>
              <w:spacing w:after="0"/>
              <w:rPr>
                <w:sz w:val="17"/>
                <w:szCs w:val="17"/>
                <w:color w:val="auto"/>
              </w:rPr>
            </w:pPr>
          </w:p>
        </w:tc>
      </w:tr>
      <w:tr>
        <w:trPr>
          <w:trHeight w:val="204"/>
        </w:trPr>
        <w:tc>
          <w:tcPr>
            <w:tcW w:w="156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4180" w:type="dxa"/>
            <w:vAlign w:val="bottom"/>
            <w:tcBorders>
              <w:right w:val="single" w:sz="8" w:color="auto"/>
            </w:tcBorders>
          </w:tcPr>
          <w:p>
            <w:pPr>
              <w:ind w:left="1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adoption</w:t>
            </w:r>
          </w:p>
        </w:tc>
        <w:tc>
          <w:tcPr>
            <w:tcW w:w="388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Effect on consolidated financial statements</w:t>
            </w:r>
          </w:p>
        </w:tc>
      </w:tr>
      <w:tr>
        <w:trPr>
          <w:trHeight w:val="37"/>
        </w:trPr>
        <w:tc>
          <w:tcPr>
            <w:tcW w:w="1560" w:type="dxa"/>
            <w:vAlign w:val="bottom"/>
            <w:tcBorders>
              <w:left w:val="single" w:sz="8" w:color="auto"/>
              <w:bottom w:val="single" w:sz="8" w:color="auto"/>
              <w:right w:val="single" w:sz="8" w:color="auto"/>
            </w:tcBorders>
          </w:tcPr>
          <w:p>
            <w:pPr>
              <w:spacing w:after="0"/>
              <w:rPr>
                <w:sz w:val="3"/>
                <w:szCs w:val="3"/>
                <w:color w:val="auto"/>
              </w:rPr>
            </w:pPr>
          </w:p>
        </w:tc>
        <w:tc>
          <w:tcPr>
            <w:tcW w:w="41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3880" w:type="dxa"/>
            <w:vAlign w:val="bottom"/>
            <w:tcBorders>
              <w:bottom w:val="single" w:sz="8" w:color="auto"/>
              <w:right w:val="single" w:sz="8" w:color="auto"/>
            </w:tcBorders>
          </w:tcPr>
          <w:p>
            <w:pPr>
              <w:spacing w:after="0"/>
              <w:rPr>
                <w:sz w:val="3"/>
                <w:szCs w:val="3"/>
                <w:color w:val="auto"/>
              </w:rPr>
            </w:pPr>
          </w:p>
        </w:tc>
      </w:tr>
      <w:tr>
        <w:trPr>
          <w:trHeight w:val="186"/>
        </w:trPr>
        <w:tc>
          <w:tcPr>
            <w:tcW w:w="574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Standards adopted in the three-month period ended March 31, 2026</w:t>
            </w:r>
          </w:p>
        </w:tc>
        <w:tc>
          <w:tcPr>
            <w:tcW w:w="1640" w:type="dxa"/>
            <w:vAlign w:val="bottom"/>
          </w:tcPr>
          <w:p>
            <w:pPr>
              <w:spacing w:after="0"/>
              <w:rPr>
                <w:sz w:val="16"/>
                <w:szCs w:val="16"/>
                <w:color w:val="auto"/>
              </w:rPr>
            </w:pPr>
          </w:p>
        </w:tc>
        <w:tc>
          <w:tcPr>
            <w:tcW w:w="3880" w:type="dxa"/>
            <w:vAlign w:val="bottom"/>
            <w:tcBorders>
              <w:right w:val="single" w:sz="8" w:color="auto"/>
            </w:tcBorders>
          </w:tcPr>
          <w:p>
            <w:pPr>
              <w:spacing w:after="0"/>
              <w:rPr>
                <w:sz w:val="16"/>
                <w:szCs w:val="16"/>
                <w:color w:val="auto"/>
              </w:rPr>
            </w:pPr>
          </w:p>
        </w:tc>
      </w:tr>
      <w:tr>
        <w:trPr>
          <w:trHeight w:val="37"/>
        </w:trPr>
        <w:tc>
          <w:tcPr>
            <w:tcW w:w="1560" w:type="dxa"/>
            <w:vAlign w:val="bottom"/>
            <w:tcBorders>
              <w:left w:val="single" w:sz="8" w:color="auto"/>
              <w:bottom w:val="single" w:sz="8" w:color="auto"/>
            </w:tcBorders>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3880" w:type="dxa"/>
            <w:vAlign w:val="bottom"/>
            <w:tcBorders>
              <w:bottom w:val="single" w:sz="8" w:color="auto"/>
              <w:right w:val="single" w:sz="8" w:color="auto"/>
            </w:tcBorders>
          </w:tcPr>
          <w:p>
            <w:pPr>
              <w:spacing w:after="0"/>
              <w:rPr>
                <w:sz w:val="3"/>
                <w:szCs w:val="3"/>
                <w:color w:val="auto"/>
              </w:rPr>
            </w:pPr>
          </w:p>
        </w:tc>
      </w:tr>
      <w:tr>
        <w:trPr>
          <w:trHeight w:val="160"/>
        </w:trPr>
        <w:tc>
          <w:tcPr>
            <w:tcW w:w="1560" w:type="dxa"/>
            <w:vAlign w:val="bottom"/>
            <w:tcBorders>
              <w:left w:val="single" w:sz="8" w:color="auto"/>
              <w:right w:val="single" w:sz="8" w:color="auto"/>
            </w:tcBorders>
          </w:tcPr>
          <w:p>
            <w:pPr>
              <w:ind w:left="100"/>
              <w:spacing w:after="0" w:line="160" w:lineRule="exact"/>
              <w:rPr>
                <w:sz w:val="20"/>
                <w:szCs w:val="20"/>
                <w:color w:val="auto"/>
              </w:rPr>
            </w:pPr>
            <w:r>
              <w:rPr>
                <w:rFonts w:ascii="Times New Roman" w:cs="Times New Roman" w:eastAsia="Times New Roman" w:hAnsi="Times New Roman"/>
                <w:sz w:val="14"/>
                <w:szCs w:val="14"/>
                <w:color w:val="auto"/>
              </w:rPr>
              <w:t>Improvements to the</w:t>
            </w:r>
          </w:p>
        </w:tc>
        <w:tc>
          <w:tcPr>
            <w:tcW w:w="4180" w:type="dxa"/>
            <w:vAlign w:val="bottom"/>
            <w:tcBorders>
              <w:right w:val="single" w:sz="8" w:color="auto"/>
            </w:tcBorders>
          </w:tcPr>
          <w:p>
            <w:pPr>
              <w:ind w:left="80"/>
              <w:spacing w:after="0" w:line="160" w:lineRule="exact"/>
              <w:rPr>
                <w:sz w:val="20"/>
                <w:szCs w:val="20"/>
                <w:color w:val="auto"/>
              </w:rPr>
            </w:pPr>
            <w:r>
              <w:rPr>
                <w:rFonts w:ascii="Times New Roman" w:cs="Times New Roman" w:eastAsia="Times New Roman" w:hAnsi="Times New Roman"/>
                <w:sz w:val="14"/>
                <w:szCs w:val="14"/>
                <w:color w:val="auto"/>
              </w:rPr>
              <w:t>The standard expands the population of acquired financial assets</w:t>
            </w:r>
          </w:p>
        </w:tc>
        <w:tc>
          <w:tcPr>
            <w:tcW w:w="16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January 1, 2027</w:t>
            </w:r>
          </w:p>
        </w:tc>
        <w:tc>
          <w:tcPr>
            <w:tcW w:w="3880" w:type="dxa"/>
            <w:vAlign w:val="bottom"/>
            <w:tcBorders>
              <w:right w:val="single" w:sz="8" w:color="auto"/>
            </w:tcBorders>
          </w:tcPr>
          <w:p>
            <w:pPr>
              <w:ind w:left="80"/>
              <w:spacing w:after="0" w:line="160" w:lineRule="exact"/>
              <w:rPr>
                <w:sz w:val="20"/>
                <w:szCs w:val="20"/>
                <w:color w:val="auto"/>
              </w:rPr>
            </w:pPr>
            <w:r>
              <w:rPr>
                <w:rFonts w:ascii="Times New Roman" w:cs="Times New Roman" w:eastAsia="Times New Roman" w:hAnsi="Times New Roman"/>
                <w:sz w:val="14"/>
                <w:szCs w:val="14"/>
                <w:color w:val="auto"/>
              </w:rPr>
              <w:t>Effective January 1, 2026, the Company prospectively adopted</w:t>
            </w:r>
          </w:p>
        </w:tc>
      </w:tr>
      <w:tr>
        <w:trPr>
          <w:trHeight w:val="175"/>
        </w:trPr>
        <w:tc>
          <w:tcPr>
            <w:tcW w:w="1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accounting for</w:t>
            </w:r>
          </w:p>
        </w:tc>
        <w:tc>
          <w:tcPr>
            <w:tcW w:w="4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accounted for using a gross-up approach which records an initial</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(Early adoption</w:t>
            </w:r>
          </w:p>
        </w:tc>
        <w:tc>
          <w:tcPr>
            <w:tcW w:w="3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 amended guidance, which did not have a material impact on</w:t>
            </w:r>
          </w:p>
        </w:tc>
      </w:tr>
      <w:tr>
        <w:trPr>
          <w:trHeight w:val="176"/>
        </w:trPr>
        <w:tc>
          <w:tcPr>
            <w:tcW w:w="1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purchased loans</w:t>
            </w:r>
          </w:p>
        </w:tc>
        <w:tc>
          <w:tcPr>
            <w:tcW w:w="4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allowance for credit losses through an adjustment to the initial</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permitted)</w:t>
            </w:r>
          </w:p>
        </w:tc>
        <w:tc>
          <w:tcPr>
            <w:tcW w:w="3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its consolidated financial statements for the three month-period</w:t>
            </w:r>
          </w:p>
        </w:tc>
      </w:tr>
      <w:tr>
        <w:trPr>
          <w:trHeight w:val="176"/>
        </w:trPr>
        <w:tc>
          <w:tcPr>
            <w:tcW w:w="156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amortized cost basis. Acquired loans (excluding credit cards) are</w:t>
            </w:r>
          </w:p>
        </w:tc>
        <w:tc>
          <w:tcPr>
            <w:tcW w:w="164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ended March 31, 2026.</w:t>
            </w:r>
          </w:p>
        </w:tc>
      </w:tr>
      <w:tr>
        <w:trPr>
          <w:trHeight w:val="175"/>
        </w:trPr>
        <w:tc>
          <w:tcPr>
            <w:tcW w:w="156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deemed purchased seasoned loans and accounted for using the gross-</w:t>
            </w:r>
          </w:p>
        </w:tc>
        <w:tc>
          <w:tcPr>
            <w:tcW w:w="164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tcPr>
          <w:p>
            <w:pPr>
              <w:spacing w:after="0"/>
              <w:rPr>
                <w:sz w:val="15"/>
                <w:szCs w:val="15"/>
                <w:color w:val="auto"/>
              </w:rPr>
            </w:pPr>
          </w:p>
        </w:tc>
      </w:tr>
      <w:tr>
        <w:trPr>
          <w:trHeight w:val="162"/>
        </w:trPr>
        <w:tc>
          <w:tcPr>
            <w:tcW w:w="1560" w:type="dxa"/>
            <w:vAlign w:val="bottom"/>
            <w:tcBorders>
              <w:left w:val="single" w:sz="8" w:color="auto"/>
              <w:right w:val="single" w:sz="8" w:color="auto"/>
            </w:tcBorders>
          </w:tcPr>
          <w:p>
            <w:pPr>
              <w:spacing w:after="0"/>
              <w:rPr>
                <w:sz w:val="14"/>
                <w:szCs w:val="14"/>
                <w:color w:val="auto"/>
              </w:rPr>
            </w:pPr>
          </w:p>
        </w:tc>
        <w:tc>
          <w:tcPr>
            <w:tcW w:w="4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up approach upon acquisition if criteria established by the new</w:t>
            </w:r>
          </w:p>
        </w:tc>
        <w:tc>
          <w:tcPr>
            <w:tcW w:w="1640" w:type="dxa"/>
            <w:vAlign w:val="bottom"/>
            <w:tcBorders>
              <w:right w:val="single" w:sz="8" w:color="auto"/>
            </w:tcBorders>
          </w:tcPr>
          <w:p>
            <w:pPr>
              <w:spacing w:after="0"/>
              <w:rPr>
                <w:sz w:val="14"/>
                <w:szCs w:val="14"/>
                <w:color w:val="auto"/>
              </w:rPr>
            </w:pPr>
          </w:p>
        </w:tc>
        <w:tc>
          <w:tcPr>
            <w:tcW w:w="3880" w:type="dxa"/>
            <w:vAlign w:val="bottom"/>
            <w:tcBorders>
              <w:right w:val="single" w:sz="8" w:color="auto"/>
            </w:tcBorders>
          </w:tcPr>
          <w:p>
            <w:pPr>
              <w:spacing w:after="0"/>
              <w:rPr>
                <w:sz w:val="14"/>
                <w:szCs w:val="14"/>
                <w:color w:val="auto"/>
              </w:rPr>
            </w:pPr>
          </w:p>
        </w:tc>
      </w:tr>
      <w:tr>
        <w:trPr>
          <w:trHeight w:val="175"/>
        </w:trPr>
        <w:tc>
          <w:tcPr>
            <w:tcW w:w="156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guidance are met. All non-PCD loans (excluding credit cards) that</w:t>
            </w:r>
          </w:p>
        </w:tc>
        <w:tc>
          <w:tcPr>
            <w:tcW w:w="164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tcPr>
          <w:p>
            <w:pPr>
              <w:spacing w:after="0"/>
              <w:rPr>
                <w:sz w:val="15"/>
                <w:szCs w:val="15"/>
                <w:color w:val="auto"/>
              </w:rPr>
            </w:pPr>
          </w:p>
        </w:tc>
      </w:tr>
      <w:tr>
        <w:trPr>
          <w:trHeight w:val="188"/>
        </w:trPr>
        <w:tc>
          <w:tcPr>
            <w:tcW w:w="156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are acquired in a business combination are deemed seasoned.</w:t>
            </w:r>
          </w:p>
        </w:tc>
        <w:tc>
          <w:tcPr>
            <w:tcW w:w="1640" w:type="dxa"/>
            <w:vAlign w:val="bottom"/>
            <w:tcBorders>
              <w:right w:val="single" w:sz="8" w:color="auto"/>
            </w:tcBorders>
          </w:tcPr>
          <w:p>
            <w:pPr>
              <w:spacing w:after="0"/>
              <w:rPr>
                <w:sz w:val="16"/>
                <w:szCs w:val="16"/>
                <w:color w:val="auto"/>
              </w:rPr>
            </w:pPr>
          </w:p>
        </w:tc>
        <w:tc>
          <w:tcPr>
            <w:tcW w:w="3880" w:type="dxa"/>
            <w:vAlign w:val="bottom"/>
            <w:tcBorders>
              <w:right w:val="single" w:sz="8" w:color="auto"/>
            </w:tcBorders>
          </w:tcPr>
          <w:p>
            <w:pPr>
              <w:spacing w:after="0"/>
              <w:rPr>
                <w:sz w:val="16"/>
                <w:szCs w:val="16"/>
                <w:color w:val="auto"/>
              </w:rPr>
            </w:pPr>
          </w:p>
        </w:tc>
      </w:tr>
      <w:tr>
        <w:trPr>
          <w:trHeight w:val="37"/>
        </w:trPr>
        <w:tc>
          <w:tcPr>
            <w:tcW w:w="1560" w:type="dxa"/>
            <w:vAlign w:val="bottom"/>
            <w:tcBorders>
              <w:left w:val="single" w:sz="8" w:color="auto"/>
              <w:bottom w:val="single" w:sz="8" w:color="auto"/>
              <w:right w:val="single" w:sz="8" w:color="auto"/>
            </w:tcBorders>
          </w:tcPr>
          <w:p>
            <w:pPr>
              <w:spacing w:after="0"/>
              <w:rPr>
                <w:sz w:val="3"/>
                <w:szCs w:val="3"/>
                <w:color w:val="auto"/>
              </w:rPr>
            </w:pPr>
          </w:p>
        </w:tc>
        <w:tc>
          <w:tcPr>
            <w:tcW w:w="41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3880" w:type="dxa"/>
            <w:vAlign w:val="bottom"/>
            <w:tcBorders>
              <w:bottom w:val="single" w:sz="8" w:color="auto"/>
              <w:right w:val="single" w:sz="8" w:color="auto"/>
            </w:tcBorders>
          </w:tcPr>
          <w:p>
            <w:pPr>
              <w:spacing w:after="0"/>
              <w:rPr>
                <w:sz w:val="3"/>
                <w:szCs w:val="3"/>
                <w:color w:val="auto"/>
              </w:rPr>
            </w:pPr>
          </w:p>
        </w:tc>
      </w:tr>
      <w:tr>
        <w:trPr>
          <w:trHeight w:val="186"/>
        </w:trPr>
        <w:tc>
          <w:tcPr>
            <w:tcW w:w="574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Standards not yet adopted as of March 31, 2026</w:t>
            </w:r>
          </w:p>
        </w:tc>
        <w:tc>
          <w:tcPr>
            <w:tcW w:w="1640" w:type="dxa"/>
            <w:vAlign w:val="bottom"/>
          </w:tcPr>
          <w:p>
            <w:pPr>
              <w:spacing w:after="0"/>
              <w:rPr>
                <w:sz w:val="16"/>
                <w:szCs w:val="16"/>
                <w:color w:val="auto"/>
              </w:rPr>
            </w:pPr>
          </w:p>
        </w:tc>
        <w:tc>
          <w:tcPr>
            <w:tcW w:w="3880" w:type="dxa"/>
            <w:vAlign w:val="bottom"/>
            <w:tcBorders>
              <w:right w:val="single" w:sz="8" w:color="auto"/>
            </w:tcBorders>
          </w:tcPr>
          <w:p>
            <w:pPr>
              <w:spacing w:after="0"/>
              <w:rPr>
                <w:sz w:val="16"/>
                <w:szCs w:val="16"/>
                <w:color w:val="auto"/>
              </w:rPr>
            </w:pPr>
          </w:p>
        </w:tc>
      </w:tr>
      <w:tr>
        <w:trPr>
          <w:trHeight w:val="37"/>
        </w:trPr>
        <w:tc>
          <w:tcPr>
            <w:tcW w:w="1560" w:type="dxa"/>
            <w:vAlign w:val="bottom"/>
            <w:tcBorders>
              <w:left w:val="single" w:sz="8" w:color="auto"/>
              <w:bottom w:val="single" w:sz="8" w:color="auto"/>
            </w:tcBorders>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3880" w:type="dxa"/>
            <w:vAlign w:val="bottom"/>
            <w:tcBorders>
              <w:bottom w:val="single" w:sz="8" w:color="auto"/>
              <w:right w:val="single" w:sz="8" w:color="auto"/>
            </w:tcBorders>
          </w:tcPr>
          <w:p>
            <w:pPr>
              <w:spacing w:after="0"/>
              <w:rPr>
                <w:sz w:val="3"/>
                <w:szCs w:val="3"/>
                <w:color w:val="auto"/>
              </w:rPr>
            </w:pPr>
          </w:p>
        </w:tc>
      </w:tr>
      <w:tr>
        <w:trPr>
          <w:trHeight w:val="160"/>
        </w:trPr>
        <w:tc>
          <w:tcPr>
            <w:tcW w:w="1560" w:type="dxa"/>
            <w:vAlign w:val="bottom"/>
            <w:tcBorders>
              <w:left w:val="single" w:sz="8" w:color="auto"/>
              <w:right w:val="single" w:sz="8" w:color="auto"/>
            </w:tcBorders>
          </w:tcPr>
          <w:p>
            <w:pPr>
              <w:ind w:left="100"/>
              <w:spacing w:after="0" w:line="160" w:lineRule="exact"/>
              <w:rPr>
                <w:sz w:val="20"/>
                <w:szCs w:val="20"/>
                <w:color w:val="auto"/>
              </w:rPr>
            </w:pPr>
            <w:r>
              <w:rPr>
                <w:rFonts w:ascii="Times New Roman" w:cs="Times New Roman" w:eastAsia="Times New Roman" w:hAnsi="Times New Roman"/>
                <w:sz w:val="14"/>
                <w:szCs w:val="14"/>
                <w:color w:val="auto"/>
              </w:rPr>
              <w:t>Income Statement -</w:t>
            </w:r>
          </w:p>
        </w:tc>
        <w:tc>
          <w:tcPr>
            <w:tcW w:w="4180" w:type="dxa"/>
            <w:vAlign w:val="bottom"/>
            <w:tcBorders>
              <w:right w:val="single" w:sz="8" w:color="auto"/>
            </w:tcBorders>
          </w:tcPr>
          <w:p>
            <w:pPr>
              <w:ind w:left="80"/>
              <w:spacing w:after="0" w:line="160" w:lineRule="exact"/>
              <w:rPr>
                <w:sz w:val="20"/>
                <w:szCs w:val="20"/>
                <w:color w:val="auto"/>
              </w:rPr>
            </w:pPr>
            <w:r>
              <w:rPr>
                <w:rFonts w:ascii="Times New Roman" w:cs="Times New Roman" w:eastAsia="Times New Roman" w:hAnsi="Times New Roman"/>
                <w:sz w:val="14"/>
                <w:szCs w:val="14"/>
                <w:color w:val="auto"/>
              </w:rPr>
              <w:t>The standard requires disclosure in the notes to financial statements</w:t>
            </w:r>
          </w:p>
        </w:tc>
        <w:tc>
          <w:tcPr>
            <w:tcW w:w="16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January 1, 2027</w:t>
            </w:r>
          </w:p>
        </w:tc>
        <w:tc>
          <w:tcPr>
            <w:tcW w:w="3880" w:type="dxa"/>
            <w:vAlign w:val="bottom"/>
            <w:tcBorders>
              <w:right w:val="single" w:sz="8" w:color="auto"/>
            </w:tcBorders>
          </w:tcPr>
          <w:p>
            <w:pPr>
              <w:ind w:left="80"/>
              <w:spacing w:after="0" w:line="160" w:lineRule="exact"/>
              <w:rPr>
                <w:sz w:val="20"/>
                <w:szCs w:val="20"/>
                <w:color w:val="auto"/>
              </w:rPr>
            </w:pPr>
            <w:r>
              <w:rPr>
                <w:rFonts w:ascii="Times New Roman" w:cs="Times New Roman" w:eastAsia="Times New Roman" w:hAnsi="Times New Roman"/>
                <w:sz w:val="14"/>
                <w:szCs w:val="14"/>
                <w:color w:val="auto"/>
              </w:rPr>
              <w:t>The Company does not expect the guidance will have a</w:t>
            </w:r>
          </w:p>
        </w:tc>
      </w:tr>
      <w:tr>
        <w:trPr>
          <w:trHeight w:val="175"/>
        </w:trPr>
        <w:tc>
          <w:tcPr>
            <w:tcW w:w="1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Expense</w:t>
            </w:r>
          </w:p>
        </w:tc>
        <w:tc>
          <w:tcPr>
            <w:tcW w:w="4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of specified information about certain cost and expense captions on</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(Early adoption</w:t>
            </w:r>
          </w:p>
        </w:tc>
        <w:tc>
          <w:tcPr>
            <w:tcW w:w="3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material impact on its consolidated financial statements.</w:t>
            </w:r>
          </w:p>
        </w:tc>
      </w:tr>
      <w:tr>
        <w:trPr>
          <w:trHeight w:val="176"/>
        </w:trPr>
        <w:tc>
          <w:tcPr>
            <w:tcW w:w="1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disaggregation</w:t>
            </w:r>
          </w:p>
        </w:tc>
        <w:tc>
          <w:tcPr>
            <w:tcW w:w="4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 income statement.</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permitted)</w:t>
            </w:r>
          </w:p>
        </w:tc>
        <w:tc>
          <w:tcPr>
            <w:tcW w:w="3880" w:type="dxa"/>
            <w:vAlign w:val="bottom"/>
            <w:tcBorders>
              <w:right w:val="single" w:sz="8" w:color="auto"/>
            </w:tcBorders>
          </w:tcPr>
          <w:p>
            <w:pPr>
              <w:spacing w:after="0"/>
              <w:rPr>
                <w:sz w:val="15"/>
                <w:szCs w:val="15"/>
                <w:color w:val="auto"/>
              </w:rPr>
            </w:pPr>
          </w:p>
        </w:tc>
      </w:tr>
      <w:tr>
        <w:trPr>
          <w:trHeight w:val="188"/>
        </w:trPr>
        <w:tc>
          <w:tcPr>
            <w:tcW w:w="1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disclosures</w:t>
            </w:r>
          </w:p>
        </w:tc>
        <w:tc>
          <w:tcPr>
            <w:tcW w:w="418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3880" w:type="dxa"/>
            <w:vAlign w:val="bottom"/>
            <w:tcBorders>
              <w:right w:val="single" w:sz="8" w:color="auto"/>
            </w:tcBorders>
          </w:tcPr>
          <w:p>
            <w:pPr>
              <w:spacing w:after="0"/>
              <w:rPr>
                <w:sz w:val="16"/>
                <w:szCs w:val="16"/>
                <w:color w:val="auto"/>
              </w:rPr>
            </w:pPr>
          </w:p>
        </w:tc>
      </w:tr>
      <w:tr>
        <w:trPr>
          <w:trHeight w:val="37"/>
        </w:trPr>
        <w:tc>
          <w:tcPr>
            <w:tcW w:w="1560" w:type="dxa"/>
            <w:vAlign w:val="bottom"/>
            <w:tcBorders>
              <w:left w:val="single" w:sz="8" w:color="auto"/>
              <w:bottom w:val="single" w:sz="8" w:color="auto"/>
              <w:right w:val="single" w:sz="8" w:color="auto"/>
            </w:tcBorders>
          </w:tcPr>
          <w:p>
            <w:pPr>
              <w:spacing w:after="0"/>
              <w:rPr>
                <w:sz w:val="3"/>
                <w:szCs w:val="3"/>
                <w:color w:val="auto"/>
              </w:rPr>
            </w:pPr>
          </w:p>
        </w:tc>
        <w:tc>
          <w:tcPr>
            <w:tcW w:w="41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3880" w:type="dxa"/>
            <w:vAlign w:val="bottom"/>
            <w:tcBorders>
              <w:bottom w:val="single" w:sz="8" w:color="auto"/>
              <w:right w:val="single" w:sz="8" w:color="auto"/>
            </w:tcBorders>
          </w:tcPr>
          <w:p>
            <w:pPr>
              <w:spacing w:after="0"/>
              <w:rPr>
                <w:sz w:val="3"/>
                <w:szCs w:val="3"/>
                <w:color w:val="auto"/>
              </w:rPr>
            </w:pPr>
          </w:p>
        </w:tc>
      </w:tr>
      <w:tr>
        <w:trPr>
          <w:trHeight w:val="160"/>
        </w:trPr>
        <w:tc>
          <w:tcPr>
            <w:tcW w:w="1560" w:type="dxa"/>
            <w:vAlign w:val="bottom"/>
            <w:tcBorders>
              <w:left w:val="single" w:sz="8" w:color="auto"/>
              <w:right w:val="single" w:sz="8" w:color="auto"/>
            </w:tcBorders>
          </w:tcPr>
          <w:p>
            <w:pPr>
              <w:ind w:left="100"/>
              <w:spacing w:after="0" w:line="160" w:lineRule="exact"/>
              <w:rPr>
                <w:sz w:val="20"/>
                <w:szCs w:val="20"/>
                <w:color w:val="auto"/>
              </w:rPr>
            </w:pPr>
            <w:r>
              <w:rPr>
                <w:rFonts w:ascii="Times New Roman" w:cs="Times New Roman" w:eastAsia="Times New Roman" w:hAnsi="Times New Roman"/>
                <w:sz w:val="14"/>
                <w:szCs w:val="14"/>
                <w:color w:val="auto"/>
              </w:rPr>
              <w:t>Hedge accounting</w:t>
            </w:r>
          </w:p>
        </w:tc>
        <w:tc>
          <w:tcPr>
            <w:tcW w:w="4180" w:type="dxa"/>
            <w:vAlign w:val="bottom"/>
            <w:tcBorders>
              <w:right w:val="single" w:sz="8" w:color="auto"/>
            </w:tcBorders>
          </w:tcPr>
          <w:p>
            <w:pPr>
              <w:ind w:left="80"/>
              <w:spacing w:after="0" w:line="160" w:lineRule="exact"/>
              <w:rPr>
                <w:sz w:val="20"/>
                <w:szCs w:val="20"/>
                <w:color w:val="auto"/>
              </w:rPr>
            </w:pPr>
            <w:r>
              <w:rPr>
                <w:rFonts w:ascii="Times New Roman" w:cs="Times New Roman" w:eastAsia="Times New Roman" w:hAnsi="Times New Roman"/>
                <w:sz w:val="14"/>
                <w:szCs w:val="14"/>
                <w:color w:val="auto"/>
              </w:rPr>
              <w:t>The amendment expands the hedged risks permitted to be aggregated</w:t>
            </w:r>
          </w:p>
        </w:tc>
        <w:tc>
          <w:tcPr>
            <w:tcW w:w="1640" w:type="dxa"/>
            <w:vAlign w:val="bottom"/>
            <w:tcBorders>
              <w:right w:val="single" w:sz="8" w:color="auto"/>
            </w:tcBorders>
          </w:tcPr>
          <w:p>
            <w:pPr>
              <w:ind w:left="320"/>
              <w:spacing w:after="0" w:line="160" w:lineRule="exact"/>
              <w:rPr>
                <w:sz w:val="20"/>
                <w:szCs w:val="20"/>
                <w:color w:val="auto"/>
              </w:rPr>
            </w:pPr>
            <w:r>
              <w:rPr>
                <w:rFonts w:ascii="Times New Roman" w:cs="Times New Roman" w:eastAsia="Times New Roman" w:hAnsi="Times New Roman"/>
                <w:sz w:val="14"/>
                <w:szCs w:val="14"/>
                <w:color w:val="auto"/>
              </w:rPr>
              <w:t>January 1, 2027</w:t>
            </w:r>
          </w:p>
        </w:tc>
        <w:tc>
          <w:tcPr>
            <w:tcW w:w="3880" w:type="dxa"/>
            <w:vAlign w:val="bottom"/>
            <w:tcBorders>
              <w:right w:val="single" w:sz="8" w:color="auto"/>
            </w:tcBorders>
          </w:tcPr>
          <w:p>
            <w:pPr>
              <w:ind w:left="80"/>
              <w:spacing w:after="0" w:line="160" w:lineRule="exact"/>
              <w:rPr>
                <w:sz w:val="20"/>
                <w:szCs w:val="20"/>
                <w:color w:val="auto"/>
              </w:rPr>
            </w:pPr>
            <w:r>
              <w:rPr>
                <w:rFonts w:ascii="Times New Roman" w:cs="Times New Roman" w:eastAsia="Times New Roman" w:hAnsi="Times New Roman"/>
                <w:sz w:val="14"/>
                <w:szCs w:val="14"/>
                <w:color w:val="auto"/>
              </w:rPr>
              <w:t>The Company does not expect the guidance will have a</w:t>
            </w:r>
          </w:p>
        </w:tc>
      </w:tr>
      <w:tr>
        <w:trPr>
          <w:trHeight w:val="175"/>
        </w:trPr>
        <w:tc>
          <w:tcPr>
            <w:tcW w:w="1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improvements</w:t>
            </w:r>
          </w:p>
        </w:tc>
        <w:tc>
          <w:tcPr>
            <w:tcW w:w="4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 a group of individual forecasted transactions in a cash flow hedge</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(Early adoption</w:t>
            </w:r>
          </w:p>
        </w:tc>
        <w:tc>
          <w:tcPr>
            <w:tcW w:w="3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material impact on its consolidated financial statements.</w:t>
            </w:r>
          </w:p>
        </w:tc>
      </w:tr>
      <w:tr>
        <w:trPr>
          <w:trHeight w:val="176"/>
        </w:trPr>
        <w:tc>
          <w:tcPr>
            <w:tcW w:w="156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by changing the requirement to designate a group of individual</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permitted)</w:t>
            </w:r>
          </w:p>
        </w:tc>
        <w:tc>
          <w:tcPr>
            <w:tcW w:w="3880" w:type="dxa"/>
            <w:vAlign w:val="bottom"/>
            <w:tcBorders>
              <w:right w:val="single" w:sz="8" w:color="auto"/>
            </w:tcBorders>
          </w:tcPr>
          <w:p>
            <w:pPr>
              <w:spacing w:after="0"/>
              <w:rPr>
                <w:sz w:val="15"/>
                <w:szCs w:val="15"/>
                <w:color w:val="auto"/>
              </w:rPr>
            </w:pPr>
          </w:p>
        </w:tc>
      </w:tr>
      <w:tr>
        <w:trPr>
          <w:trHeight w:val="175"/>
        </w:trPr>
        <w:tc>
          <w:tcPr>
            <w:tcW w:w="156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forecasted transactions from having a shared risk exposure to having</w:t>
            </w:r>
          </w:p>
        </w:tc>
        <w:tc>
          <w:tcPr>
            <w:tcW w:w="164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tcPr>
          <w:p>
            <w:pPr>
              <w:spacing w:after="0"/>
              <w:rPr>
                <w:sz w:val="15"/>
                <w:szCs w:val="15"/>
                <w:color w:val="auto"/>
              </w:rPr>
            </w:pPr>
          </w:p>
        </w:tc>
      </w:tr>
      <w:tr>
        <w:trPr>
          <w:trHeight w:val="176"/>
        </w:trPr>
        <w:tc>
          <w:tcPr>
            <w:tcW w:w="156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 similar risk exposure. The amendment also provides a model to</w:t>
            </w:r>
          </w:p>
        </w:tc>
        <w:tc>
          <w:tcPr>
            <w:tcW w:w="164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tcPr>
          <w:p>
            <w:pPr>
              <w:spacing w:after="0"/>
              <w:rPr>
                <w:sz w:val="15"/>
                <w:szCs w:val="15"/>
                <w:color w:val="auto"/>
              </w:rPr>
            </w:pPr>
          </w:p>
        </w:tc>
      </w:tr>
      <w:tr>
        <w:trPr>
          <w:trHeight w:val="162"/>
        </w:trPr>
        <w:tc>
          <w:tcPr>
            <w:tcW w:w="1560" w:type="dxa"/>
            <w:vAlign w:val="bottom"/>
            <w:tcBorders>
              <w:left w:val="single" w:sz="8" w:color="auto"/>
              <w:right w:val="single" w:sz="8" w:color="auto"/>
            </w:tcBorders>
          </w:tcPr>
          <w:p>
            <w:pPr>
              <w:spacing w:after="0"/>
              <w:rPr>
                <w:sz w:val="14"/>
                <w:szCs w:val="14"/>
                <w:color w:val="auto"/>
              </w:rPr>
            </w:pPr>
          </w:p>
        </w:tc>
        <w:tc>
          <w:tcPr>
            <w:tcW w:w="4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facilitate the application of cash flow hedge accounting to forecasted</w:t>
            </w:r>
          </w:p>
        </w:tc>
        <w:tc>
          <w:tcPr>
            <w:tcW w:w="1640" w:type="dxa"/>
            <w:vAlign w:val="bottom"/>
            <w:tcBorders>
              <w:right w:val="single" w:sz="8" w:color="auto"/>
            </w:tcBorders>
          </w:tcPr>
          <w:p>
            <w:pPr>
              <w:spacing w:after="0"/>
              <w:rPr>
                <w:sz w:val="14"/>
                <w:szCs w:val="14"/>
                <w:color w:val="auto"/>
              </w:rPr>
            </w:pPr>
          </w:p>
        </w:tc>
        <w:tc>
          <w:tcPr>
            <w:tcW w:w="3880" w:type="dxa"/>
            <w:vAlign w:val="bottom"/>
            <w:tcBorders>
              <w:right w:val="single" w:sz="8" w:color="auto"/>
            </w:tcBorders>
          </w:tcPr>
          <w:p>
            <w:pPr>
              <w:spacing w:after="0"/>
              <w:rPr>
                <w:sz w:val="14"/>
                <w:szCs w:val="14"/>
                <w:color w:val="auto"/>
              </w:rPr>
            </w:pPr>
          </w:p>
        </w:tc>
      </w:tr>
      <w:tr>
        <w:trPr>
          <w:trHeight w:val="175"/>
        </w:trPr>
        <w:tc>
          <w:tcPr>
            <w:tcW w:w="156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interest payments on variable rate debt instruments that permit the</w:t>
            </w:r>
          </w:p>
        </w:tc>
        <w:tc>
          <w:tcPr>
            <w:tcW w:w="164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tcPr>
          <w:p>
            <w:pPr>
              <w:spacing w:after="0"/>
              <w:rPr>
                <w:sz w:val="15"/>
                <w:szCs w:val="15"/>
                <w:color w:val="auto"/>
              </w:rPr>
            </w:pPr>
          </w:p>
        </w:tc>
      </w:tr>
      <w:tr>
        <w:trPr>
          <w:trHeight w:val="176"/>
        </w:trPr>
        <w:tc>
          <w:tcPr>
            <w:tcW w:w="156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borrower to change the interest rate index. The amendment also</w:t>
            </w:r>
          </w:p>
        </w:tc>
        <w:tc>
          <w:tcPr>
            <w:tcW w:w="164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tcPr>
          <w:p>
            <w:pPr>
              <w:spacing w:after="0"/>
              <w:rPr>
                <w:sz w:val="15"/>
                <w:szCs w:val="15"/>
                <w:color w:val="auto"/>
              </w:rPr>
            </w:pPr>
          </w:p>
        </w:tc>
      </w:tr>
      <w:tr>
        <w:trPr>
          <w:trHeight w:val="188"/>
        </w:trPr>
        <w:tc>
          <w:tcPr>
            <w:tcW w:w="156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modifies certain other hedge accounting rules.</w:t>
            </w:r>
          </w:p>
        </w:tc>
        <w:tc>
          <w:tcPr>
            <w:tcW w:w="1640" w:type="dxa"/>
            <w:vAlign w:val="bottom"/>
            <w:tcBorders>
              <w:right w:val="single" w:sz="8" w:color="auto"/>
            </w:tcBorders>
          </w:tcPr>
          <w:p>
            <w:pPr>
              <w:spacing w:after="0"/>
              <w:rPr>
                <w:sz w:val="16"/>
                <w:szCs w:val="16"/>
                <w:color w:val="auto"/>
              </w:rPr>
            </w:pPr>
          </w:p>
        </w:tc>
        <w:tc>
          <w:tcPr>
            <w:tcW w:w="3880" w:type="dxa"/>
            <w:vAlign w:val="bottom"/>
            <w:tcBorders>
              <w:right w:val="single" w:sz="8" w:color="auto"/>
            </w:tcBorders>
          </w:tcPr>
          <w:p>
            <w:pPr>
              <w:spacing w:after="0"/>
              <w:rPr>
                <w:sz w:val="16"/>
                <w:szCs w:val="16"/>
                <w:color w:val="auto"/>
              </w:rPr>
            </w:pPr>
          </w:p>
        </w:tc>
      </w:tr>
      <w:tr>
        <w:trPr>
          <w:trHeight w:val="37"/>
        </w:trPr>
        <w:tc>
          <w:tcPr>
            <w:tcW w:w="1560" w:type="dxa"/>
            <w:vAlign w:val="bottom"/>
            <w:tcBorders>
              <w:left w:val="single" w:sz="8" w:color="auto"/>
              <w:bottom w:val="single" w:sz="8" w:color="auto"/>
              <w:right w:val="single" w:sz="8" w:color="auto"/>
            </w:tcBorders>
          </w:tcPr>
          <w:p>
            <w:pPr>
              <w:spacing w:after="0"/>
              <w:rPr>
                <w:sz w:val="3"/>
                <w:szCs w:val="3"/>
                <w:color w:val="auto"/>
              </w:rPr>
            </w:pPr>
          </w:p>
        </w:tc>
        <w:tc>
          <w:tcPr>
            <w:tcW w:w="41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3880" w:type="dxa"/>
            <w:vAlign w:val="bottom"/>
            <w:tcBorders>
              <w:bottom w:val="single" w:sz="8" w:color="auto"/>
              <w:right w:val="single" w:sz="8" w:color="auto"/>
            </w:tcBorders>
          </w:tcPr>
          <w:p>
            <w:pPr>
              <w:spacing w:after="0"/>
              <w:rPr>
                <w:sz w:val="3"/>
                <w:szCs w:val="3"/>
                <w:color w:val="auto"/>
              </w:rPr>
            </w:pPr>
          </w:p>
        </w:tc>
      </w:tr>
      <w:tr>
        <w:trPr>
          <w:trHeight w:val="160"/>
        </w:trPr>
        <w:tc>
          <w:tcPr>
            <w:tcW w:w="1560" w:type="dxa"/>
            <w:vAlign w:val="bottom"/>
            <w:tcBorders>
              <w:left w:val="single" w:sz="8" w:color="auto"/>
              <w:right w:val="single" w:sz="8" w:color="auto"/>
            </w:tcBorders>
          </w:tcPr>
          <w:p>
            <w:pPr>
              <w:ind w:left="100"/>
              <w:spacing w:after="0" w:line="160" w:lineRule="exact"/>
              <w:rPr>
                <w:sz w:val="20"/>
                <w:szCs w:val="20"/>
                <w:color w:val="auto"/>
              </w:rPr>
            </w:pPr>
            <w:r>
              <w:rPr>
                <w:rFonts w:ascii="Times New Roman" w:cs="Times New Roman" w:eastAsia="Times New Roman" w:hAnsi="Times New Roman"/>
                <w:sz w:val="14"/>
                <w:szCs w:val="14"/>
                <w:color w:val="auto"/>
              </w:rPr>
              <w:t>Targeted</w:t>
            </w:r>
          </w:p>
        </w:tc>
        <w:tc>
          <w:tcPr>
            <w:tcW w:w="4180" w:type="dxa"/>
            <w:vAlign w:val="bottom"/>
            <w:tcBorders>
              <w:right w:val="single" w:sz="8" w:color="auto"/>
            </w:tcBorders>
          </w:tcPr>
          <w:p>
            <w:pPr>
              <w:ind w:left="80"/>
              <w:spacing w:after="0" w:line="160" w:lineRule="exact"/>
              <w:rPr>
                <w:sz w:val="20"/>
                <w:szCs w:val="20"/>
                <w:color w:val="auto"/>
              </w:rPr>
            </w:pPr>
            <w:r>
              <w:rPr>
                <w:rFonts w:ascii="Times New Roman" w:cs="Times New Roman" w:eastAsia="Times New Roman" w:hAnsi="Times New Roman"/>
                <w:sz w:val="14"/>
                <w:szCs w:val="14"/>
                <w:color w:val="auto"/>
              </w:rPr>
              <w:t>The standard eliminates the concept of a software development</w:t>
            </w:r>
          </w:p>
        </w:tc>
        <w:tc>
          <w:tcPr>
            <w:tcW w:w="16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January 1, 2028</w:t>
            </w:r>
          </w:p>
        </w:tc>
        <w:tc>
          <w:tcPr>
            <w:tcW w:w="3880" w:type="dxa"/>
            <w:vAlign w:val="bottom"/>
            <w:tcBorders>
              <w:right w:val="single" w:sz="8" w:color="auto"/>
            </w:tcBorders>
          </w:tcPr>
          <w:p>
            <w:pPr>
              <w:ind w:left="80"/>
              <w:spacing w:after="0" w:line="160" w:lineRule="exact"/>
              <w:rPr>
                <w:sz w:val="20"/>
                <w:szCs w:val="20"/>
                <w:color w:val="auto"/>
              </w:rPr>
            </w:pPr>
            <w:r>
              <w:rPr>
                <w:rFonts w:ascii="Times New Roman" w:cs="Times New Roman" w:eastAsia="Times New Roman" w:hAnsi="Times New Roman"/>
                <w:sz w:val="14"/>
                <w:szCs w:val="14"/>
                <w:color w:val="auto"/>
              </w:rPr>
              <w:t>The Company does not expect the guidance will have a</w:t>
            </w:r>
          </w:p>
        </w:tc>
      </w:tr>
      <w:tr>
        <w:trPr>
          <w:trHeight w:val="176"/>
        </w:trPr>
        <w:tc>
          <w:tcPr>
            <w:tcW w:w="1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improvements to the</w:t>
            </w:r>
          </w:p>
        </w:tc>
        <w:tc>
          <w:tcPr>
            <w:tcW w:w="4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project stage such that the guidance is agnostic to different software</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(Early adoption</w:t>
            </w:r>
          </w:p>
        </w:tc>
        <w:tc>
          <w:tcPr>
            <w:tcW w:w="3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material impact on its consolidated financial statements.</w:t>
            </w:r>
          </w:p>
        </w:tc>
      </w:tr>
      <w:tr>
        <w:trPr>
          <w:trHeight w:val="175"/>
        </w:trPr>
        <w:tc>
          <w:tcPr>
            <w:tcW w:w="1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accounting for</w:t>
            </w:r>
          </w:p>
        </w:tc>
        <w:tc>
          <w:tcPr>
            <w:tcW w:w="4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development methods and introduces a new threshold for cost</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permitted)</w:t>
            </w:r>
          </w:p>
        </w:tc>
        <w:tc>
          <w:tcPr>
            <w:tcW w:w="3880" w:type="dxa"/>
            <w:vAlign w:val="bottom"/>
            <w:tcBorders>
              <w:right w:val="single" w:sz="8" w:color="auto"/>
            </w:tcBorders>
          </w:tcPr>
          <w:p>
            <w:pPr>
              <w:spacing w:after="0"/>
              <w:rPr>
                <w:sz w:val="15"/>
                <w:szCs w:val="15"/>
                <w:color w:val="auto"/>
              </w:rPr>
            </w:pPr>
          </w:p>
        </w:tc>
      </w:tr>
      <w:tr>
        <w:trPr>
          <w:trHeight w:val="175"/>
        </w:trPr>
        <w:tc>
          <w:tcPr>
            <w:tcW w:w="1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internal-use software</w:t>
            </w:r>
          </w:p>
        </w:tc>
        <w:tc>
          <w:tcPr>
            <w:tcW w:w="4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capitalization. The standard also provides factors to consider when</w:t>
            </w:r>
          </w:p>
        </w:tc>
        <w:tc>
          <w:tcPr>
            <w:tcW w:w="164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tcPr>
          <w:p>
            <w:pPr>
              <w:spacing w:after="0"/>
              <w:rPr>
                <w:sz w:val="15"/>
                <w:szCs w:val="15"/>
                <w:color w:val="auto"/>
              </w:rPr>
            </w:pPr>
          </w:p>
        </w:tc>
      </w:tr>
      <w:tr>
        <w:trPr>
          <w:trHeight w:val="188"/>
        </w:trPr>
        <w:tc>
          <w:tcPr>
            <w:tcW w:w="156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determining whether significant development uncertainty exists.</w:t>
            </w:r>
          </w:p>
        </w:tc>
        <w:tc>
          <w:tcPr>
            <w:tcW w:w="1640" w:type="dxa"/>
            <w:vAlign w:val="bottom"/>
            <w:tcBorders>
              <w:right w:val="single" w:sz="8" w:color="auto"/>
            </w:tcBorders>
          </w:tcPr>
          <w:p>
            <w:pPr>
              <w:spacing w:after="0"/>
              <w:rPr>
                <w:sz w:val="16"/>
                <w:szCs w:val="16"/>
                <w:color w:val="auto"/>
              </w:rPr>
            </w:pPr>
          </w:p>
        </w:tc>
        <w:tc>
          <w:tcPr>
            <w:tcW w:w="3880" w:type="dxa"/>
            <w:vAlign w:val="bottom"/>
            <w:tcBorders>
              <w:right w:val="single" w:sz="8" w:color="auto"/>
            </w:tcBorders>
          </w:tcPr>
          <w:p>
            <w:pPr>
              <w:spacing w:after="0"/>
              <w:rPr>
                <w:sz w:val="16"/>
                <w:szCs w:val="16"/>
                <w:color w:val="auto"/>
              </w:rPr>
            </w:pPr>
          </w:p>
        </w:tc>
      </w:tr>
      <w:tr>
        <w:trPr>
          <w:trHeight w:val="37"/>
        </w:trPr>
        <w:tc>
          <w:tcPr>
            <w:tcW w:w="1560" w:type="dxa"/>
            <w:vAlign w:val="bottom"/>
            <w:tcBorders>
              <w:left w:val="single" w:sz="8" w:color="auto"/>
              <w:bottom w:val="single" w:sz="8" w:color="auto"/>
              <w:right w:val="single" w:sz="8" w:color="auto"/>
            </w:tcBorders>
          </w:tcPr>
          <w:p>
            <w:pPr>
              <w:spacing w:after="0"/>
              <w:rPr>
                <w:sz w:val="3"/>
                <w:szCs w:val="3"/>
                <w:color w:val="auto"/>
              </w:rPr>
            </w:pPr>
          </w:p>
        </w:tc>
        <w:tc>
          <w:tcPr>
            <w:tcW w:w="41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3880" w:type="dxa"/>
            <w:vAlign w:val="bottom"/>
            <w:tcBorders>
              <w:bottom w:val="single" w:sz="8" w:color="auto"/>
              <w:right w:val="single" w:sz="8" w:color="auto"/>
            </w:tcBorders>
          </w:tcPr>
          <w:p>
            <w:pPr>
              <w:spacing w:after="0"/>
              <w:rPr>
                <w:sz w:val="3"/>
                <w:szCs w:val="3"/>
                <w:color w:val="auto"/>
              </w:rPr>
            </w:pPr>
          </w:p>
        </w:tc>
      </w:tr>
    </w:tbl>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1"/>
          <w:szCs w:val="21"/>
          <w:b w:val="1"/>
          <w:bCs w:val="1"/>
          <w:color w:val="auto"/>
        </w:rPr>
        <w:t>2. Investment securities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amortized cost and fair value of investment securities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 (a)</w:t>
            </w: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11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560" w:type="dxa"/>
            <w:vAlign w:val="bottom"/>
            <w:gridSpan w:val="2"/>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45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 securities available for sale:</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Treasury</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Commercial</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Residential</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3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3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25,228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 securities held to maturity:</w:t>
            </w: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Treasury</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Commercial</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Residential</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Privately issued</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3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3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debt securities</w:t>
            </w: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37,338</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36,583</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520" w:type="dxa"/>
            <w:vAlign w:val="bottom"/>
            <w:tcBorders>
              <w:bottom w:val="single" w:sz="8" w:color="CCEEFF"/>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Equity and other securities:</w:t>
            </w: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Readily marketable equity — at fair value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 at cost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equity and other securities</w:t>
            </w: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Investment securities available for sale:</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U.S. Treasury</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6,302</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6,343</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Commercial</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Residential</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22,994</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23,202</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3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Investment securities held to maturity:</w:t>
            </w: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U.S. Treasury</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Commercial</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Residential</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7,207</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Privately issued</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12,430</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11,715</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3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debt securities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35,424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5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Equity and other securities: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55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Readily marketable equity — at fair value</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Other — at cost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3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 and other securities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-33655</wp:posOffset>
            </wp:positionV>
            <wp:extent cx="514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-33655</wp:posOffset>
            </wp:positionV>
            <wp:extent cx="51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-187960</wp:posOffset>
            </wp:positionV>
            <wp:extent cx="514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-187960</wp:posOffset>
            </wp:positionV>
            <wp:extent cx="514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-641985</wp:posOffset>
            </wp:positionV>
            <wp:extent cx="51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-641985</wp:posOffset>
            </wp:positionV>
            <wp:extent cx="51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-796290</wp:posOffset>
            </wp:positionV>
            <wp:extent cx="514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-796290</wp:posOffset>
            </wp:positionV>
            <wp:extent cx="514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-2262505</wp:posOffset>
            </wp:positionV>
            <wp:extent cx="5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-2262505</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-3719830</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-3719830</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-4328160</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-4328160</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-4662805</wp:posOffset>
            </wp:positionV>
            <wp:extent cx="514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-4662805</wp:posOffset>
            </wp:positionV>
            <wp:extent cx="514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-6128385</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-6128385</wp:posOffset>
            </wp:positionV>
            <wp:extent cx="51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54" w:lineRule="exact"/>
        <w:rPr>
          <w:sz w:val="20"/>
          <w:szCs w:val="20"/>
          <w:color w:val="auto"/>
        </w:rPr>
      </w:pPr>
    </w:p>
    <w:p>
      <w:pPr>
        <w:ind w:left="440" w:right="20" w:hanging="432"/>
        <w:spacing w:after="0" w:line="285" w:lineRule="auto"/>
        <w:tabs>
          <w:tab w:leader="none" w:pos="437"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Amortized cost balances of debt securities exclude accrued interest receivable of $163 million and $187 million at March 31, 2026 and December 31, 2025, respectively, which is included in Accrued interest and other assets in the Company's Consolidated Balance Sheet.</w:t>
      </w:r>
    </w:p>
    <w:p>
      <w:pPr>
        <w:sectPr>
          <w:pgSz w:w="11900" w:h="16838" w:orient="portrait"/>
          <w:cols w:equalWidth="0" w:num="1">
            <w:col w:w="11240"/>
          </w:cols>
          <w:pgMar w:left="320" w:top="1036" w:right="339" w:bottom="920"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92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1"/>
          <w:szCs w:val="21"/>
          <w:b w:val="1"/>
          <w:bCs w:val="1"/>
          <w:color w:val="auto"/>
        </w:rPr>
        <w:t>2. Investment securities, continued</w:t>
      </w:r>
    </w:p>
    <w:p>
      <w:pPr>
        <w:spacing w:after="0" w:line="200" w:lineRule="exact"/>
        <w:rPr>
          <w:sz w:val="20"/>
          <w:szCs w:val="20"/>
          <w:color w:val="auto"/>
        </w:rPr>
      </w:pPr>
    </w:p>
    <w:p>
      <w:pPr>
        <w:spacing w:after="0" w:line="2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A summary of debt investment securities that as of March 31, 2026 and December 31, 2025 had been in a continuous unrealized loss position for less than twelve months and those that had been in a continuous unrealized loss position for twelve months or longer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4"/>
          </w:tcPr>
          <w:p>
            <w:pPr>
              <w:jc w:val="right"/>
              <w:ind w:right="10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920" w:type="dxa"/>
            <w:vAlign w:val="bottom"/>
            <w:gridSpan w:val="2"/>
            <w:vMerge w:val="restart"/>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 securities available for sale:</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Treasury</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8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Commercial</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Residential</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7,759</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7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8,730</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9,895</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 securities held to maturity:</w:t>
            </w: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Treasury</w:t>
            </w:r>
          </w:p>
        </w:tc>
        <w:tc>
          <w:tcPr>
            <w:tcW w:w="2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8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Commercial</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Residential</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5,307</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Privately issued</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2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1,840</w:t>
            </w:r>
          </w:p>
        </w:tc>
        <w:tc>
          <w:tcPr>
            <w:tcW w:w="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8,663</w:t>
            </w:r>
          </w:p>
        </w:tc>
        <w:tc>
          <w:tcPr>
            <w:tcW w:w="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10,503</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7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10,570</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9,828</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20,398</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 securities available for sale:</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Treasury</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8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Commercial</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Residential</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7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 securities held to maturity:</w:t>
            </w: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Treasury</w:t>
            </w:r>
          </w:p>
        </w:tc>
        <w:tc>
          <w:tcPr>
            <w:tcW w:w="2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8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Commercial</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Residential</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6,287</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Privately issued</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2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10,384</w:t>
            </w:r>
          </w:p>
        </w:tc>
        <w:tc>
          <w:tcPr>
            <w:tcW w:w="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10,566</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7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11,938</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12,782</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-33655</wp:posOffset>
            </wp:positionV>
            <wp:extent cx="514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-33655</wp:posOffset>
            </wp:positionV>
            <wp:extent cx="514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-33655</wp:posOffset>
            </wp:positionV>
            <wp:extent cx="51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-187960</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-187960</wp:posOffset>
            </wp:positionV>
            <wp:extent cx="51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-187960</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-1662430</wp:posOffset>
            </wp:positionV>
            <wp:extent cx="514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-1662430</wp:posOffset>
            </wp:positionV>
            <wp:extent cx="514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-1662430</wp:posOffset>
            </wp:positionV>
            <wp:extent cx="514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-2982595</wp:posOffset>
            </wp:positionV>
            <wp:extent cx="514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-2982595</wp:posOffset>
            </wp:positionV>
            <wp:extent cx="514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-2982595</wp:posOffset>
            </wp:positionV>
            <wp:extent cx="514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-3136900</wp:posOffset>
            </wp:positionV>
            <wp:extent cx="514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-3136900</wp:posOffset>
            </wp:positionV>
            <wp:extent cx="514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-3136900</wp:posOffset>
            </wp:positionV>
            <wp:extent cx="514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-4611370</wp:posOffset>
            </wp:positionV>
            <wp:extent cx="51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-4611370</wp:posOffset>
            </wp:positionV>
            <wp:extent cx="514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-4611370</wp:posOffset>
            </wp:positionV>
            <wp:extent cx="51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1"/>
          <w:szCs w:val="21"/>
          <w:b w:val="1"/>
          <w:bCs w:val="1"/>
          <w:color w:val="auto"/>
        </w:rPr>
        <w:t>2. Investment securities, continued</w:t>
      </w:r>
    </w:p>
    <w:p>
      <w:pPr>
        <w:spacing w:after="0" w:line="200" w:lineRule="exact"/>
        <w:rPr>
          <w:sz w:val="20"/>
          <w:szCs w:val="20"/>
          <w:color w:val="auto"/>
        </w:rPr>
      </w:pPr>
    </w:p>
    <w:p>
      <w:pPr>
        <w:spacing w:after="0" w:line="2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Company owned 3,325 individual debt securities with aggregate gross unrealized losses of $925 million at March 31, 2026. Based on a review of each of the securities in the investment securities portfolio at March 31, 2026, including security type and issuer credit quality, the Company concluded that it expected to recover the amortized cost basis of its investment. As of March 31, 2026, the Company does not intend to sell nor is it anticipated that it would be required to sell any of its impaired investment securities at a loss. The Company estimated no material allowance for credit losses for its investment securities at March 31, 2026 or December 31, 2025. At March 31, 2026, the Company has not identified events or changes in circumstances which may have a significant adverse effect on the fair value of the $993 million of cost method equity securities.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 March 31, 2026, the amortized cost and fair value of debt securities by contractual maturity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1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7"/>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Debt securities available for sale:</w:t>
            </w: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in one year or less</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2,488</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after ten years</w:t>
            </w:r>
          </w:p>
        </w:tc>
        <w:tc>
          <w:tcPr>
            <w:tcW w:w="2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21,987</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25,228</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Debt securities held to maturity: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4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in one year or less</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after ten years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8,940</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-33655</wp:posOffset>
            </wp:positionV>
            <wp:extent cx="51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-187960</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-487680</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-1233805</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-1388110</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-1687830</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There were no significant gross realized gains or losses from sales of investment securities for the three-month periods ended March 31, 2026 and 2025.</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At March 31, 2026 and December 31, 2025, investment securities with carrying values of $5.8 billion (including $64 million related to repurchase transactions) and $5.3 billion (including $67 million related to repurchase transactions), respectively, were pledged to secure outstanding borrowings, lines of credit and governmental deposits.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1"/>
          <w:szCs w:val="21"/>
          <w:b w:val="1"/>
          <w:bCs w:val="1"/>
          <w:color w:val="auto"/>
        </w:rPr>
        <w:t>3. Loans and allowance for loan losses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summary of current, past due and nonaccrual loans as of March 31, 2026 and December 31, 2025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Accruing Loans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Past Due 90 Days or</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More</w:t>
            </w:r>
          </w:p>
        </w:tc>
        <w:tc>
          <w:tcPr>
            <w:tcW w:w="18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80" w:type="dxa"/>
            <w:vAlign w:val="bottom"/>
          </w:tcPr>
          <w:p>
            <w:pPr>
              <w:spacing w:after="0"/>
              <w:rPr>
                <w:sz w:val="17"/>
                <w:szCs w:val="17"/>
                <w:color w:val="auto"/>
              </w:rPr>
            </w:pPr>
          </w:p>
        </w:tc>
        <w:tc>
          <w:tcPr>
            <w:tcW w:w="11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 (a) (b)</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64,543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65,391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Real estate:</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(c)</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Residential (d) (e)</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23,398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24,857</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Home equity lines and loans (e)</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4,796</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Recreational finance</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Automobile</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5,016</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136,694</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139,914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62,626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63,548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Real estate:</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(c)</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Residential (d) (e)</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Home equity lines and loans (e)</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4,807</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Recreational finance</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Automobile</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5,167</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135,136</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138,702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54" w:lineRule="exact"/>
        <w:rPr>
          <w:sz w:val="20"/>
          <w:szCs w:val="20"/>
          <w:color w:val="auto"/>
        </w:rPr>
      </w:pPr>
    </w:p>
    <w:p>
      <w:pPr>
        <w:ind w:left="440" w:hanging="432"/>
        <w:spacing w:after="0" w:line="262" w:lineRule="auto"/>
        <w:tabs>
          <w:tab w:leader="none" w:pos="437"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Balances include net discounts, comprised of unamortized premiums, discounts and net deferred loan fees and costs of $269 million and $276 million at March 31, 2026 and December 31, 2025, respectively.</w:t>
      </w:r>
    </w:p>
    <w:p>
      <w:pPr>
        <w:ind w:left="440" w:hanging="432"/>
        <w:spacing w:after="0" w:line="261" w:lineRule="auto"/>
        <w:tabs>
          <w:tab w:leader="none" w:pos="437"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Balances exclude accrued interest receivable of $616 million and $627 million at March 31, 2026 and December 31, 2025, respectively, which is included in Accrued interest and other assets in the Consolidated Balance Sheet.</w:t>
      </w:r>
    </w:p>
    <w:p>
      <w:pPr>
        <w:ind w:left="440" w:hanging="432"/>
        <w:spacing w:after="0"/>
        <w:tabs>
          <w:tab w:leader="none" w:pos="44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Commercial real estate loans held for sale were $359 million at March 31, 2026 and $484 million at December 31, 2025.</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Residential real estate loans held for sale were $327 million at March 31, 2026 and $441 million at December 31, 2025.</w:t>
      </w:r>
    </w:p>
    <w:p>
      <w:pPr>
        <w:spacing w:after="0" w:line="4" w:lineRule="exact"/>
        <w:rPr>
          <w:rFonts w:ascii="Times New Roman" w:cs="Times New Roman" w:eastAsia="Times New Roman" w:hAnsi="Times New Roman"/>
          <w:sz w:val="14"/>
          <w:szCs w:val="14"/>
          <w:i w:val="1"/>
          <w:iCs w:val="1"/>
          <w:color w:val="auto"/>
        </w:rPr>
      </w:pPr>
    </w:p>
    <w:p>
      <w:pPr>
        <w:ind w:left="440" w:hanging="432"/>
        <w:spacing w:after="0" w:line="278" w:lineRule="auto"/>
        <w:tabs>
          <w:tab w:leader="none" w:pos="429"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There were $185 million and $182 million at March 31, 2026 and December 31, 2025, respectively, of loans secured by residential real estate that were in the process of foreclosure. At March 31, 2026, approximately 55% of those residential real estate loans in the process of foreclosure were government guaranteed.</w:t>
      </w:r>
    </w:p>
    <w:p>
      <w:pPr>
        <w:spacing w:after="0" w:line="200" w:lineRule="exact"/>
        <w:rPr>
          <w:rFonts w:ascii="Times New Roman" w:cs="Times New Roman" w:eastAsia="Times New Roman" w:hAnsi="Times New Roman"/>
          <w:sz w:val="14"/>
          <w:szCs w:val="14"/>
          <w:i w:val="1"/>
          <w:iCs w:val="1"/>
          <w:color w:val="auto"/>
        </w:rPr>
      </w:pPr>
    </w:p>
    <w:p>
      <w:pPr>
        <w:spacing w:after="0" w:line="200" w:lineRule="exact"/>
        <w:rPr>
          <w:rFonts w:ascii="Times New Roman" w:cs="Times New Roman" w:eastAsia="Times New Roman" w:hAnsi="Times New Roman"/>
          <w:sz w:val="14"/>
          <w:szCs w:val="14"/>
          <w:i w:val="1"/>
          <w:iCs w:val="1"/>
          <w:color w:val="auto"/>
        </w:rPr>
      </w:pPr>
    </w:p>
    <w:p>
      <w:pPr>
        <w:spacing w:after="0" w:line="241" w:lineRule="exact"/>
        <w:rPr>
          <w:rFonts w:ascii="Times New Roman" w:cs="Times New Roman" w:eastAsia="Times New Roman" w:hAnsi="Times New Roman"/>
          <w:sz w:val="14"/>
          <w:szCs w:val="14"/>
          <w:i w:val="1"/>
          <w:iCs w:val="1"/>
          <w:color w:val="auto"/>
        </w:rPr>
      </w:pPr>
    </w:p>
    <w:p>
      <w:pPr>
        <w:ind w:left="5540" w:hanging="111"/>
        <w:spacing w:after="0"/>
        <w:tabs>
          <w:tab w:leader="none" w:pos="5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1"/>
          <w:szCs w:val="21"/>
          <w:b w:val="1"/>
          <w:bCs w:val="1"/>
          <w:color w:val="auto"/>
        </w:rPr>
        <w:t>3. Loans and allowance for loan losses, continued</w:t>
      </w:r>
    </w:p>
    <w:p>
      <w:pPr>
        <w:spacing w:after="0" w:line="200" w:lineRule="exact"/>
        <w:rPr>
          <w:sz w:val="20"/>
          <w:szCs w:val="20"/>
          <w:color w:val="auto"/>
        </w:rPr>
      </w:pPr>
    </w:p>
    <w:p>
      <w:pPr>
        <w:spacing w:after="0" w:line="2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At March 31, 2026, approximately $22.0 billion of commercial and industrial loans, $13.6 billion of commercial real estate loans, $19.6 billion of one-to-four family residential real estate loans, $3.0 billion of home equity loans and lines of credit and $15.1 billion of other consumer loans were pledged to secure outstanding borrowings and available lines of credit from the FHLB and the FRB of New York. At December 31, 2025, approximately $20.7 billion of commercial and industrial loans, $13.4 billion of commercial real estate loans, $19.5 billion of one-to-four family residential real estate loans, $3.0 billion of home equity loans and lines of credit and $15.2 billion of other consumer loans were pledged to secure outstanding borrowings and available lines of credit from the FHLB and the FRB of New York. As further described in notes 4 and 11, loans totaling $2.4 billion and $2.1 billion at March 31, 2026 and December 31, 2025, respectively, were held in special purpose trusts to settle the obligations of certain asset-backed notes issued by those trusts which have been included in the Company's consolidated financial statements.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Credit quality indicators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 utilizes a loan grading system to differentiate risk amongst its commercial and industrial loans and commercial real estate loans. The following table summarizes the loan grades applied at March 31, 2026 to the various classes of the Company’s commercial and industrial loans and commercial real estate loans and gross charge-offs for those types of loans for the three-month period ended March 31, 2026 by origination year.</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Revolving</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w w:val="95"/>
              </w:rPr>
              <w:t>Loans</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6"/>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Term Loans by Origination Year</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5"/>
              </w:rPr>
              <w:t>Converted to</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gridSpan w:val="6"/>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1"/>
                <w:szCs w:val="11"/>
                <w:b w:val="1"/>
                <w:bCs w:val="1"/>
                <w:color w:val="auto"/>
              </w:rPr>
              <w:t>Revolving</w:t>
            </w:r>
          </w:p>
        </w:tc>
        <w:tc>
          <w:tcPr>
            <w:tcW w:w="80" w:type="dxa"/>
            <w:vAlign w:val="bottom"/>
          </w:tcPr>
          <w:p>
            <w:pPr>
              <w:spacing w:after="0"/>
              <w:rPr>
                <w:sz w:val="9"/>
                <w:szCs w:val="9"/>
                <w:color w:val="auto"/>
              </w:rPr>
            </w:pPr>
          </w:p>
        </w:tc>
        <w:tc>
          <w:tcPr>
            <w:tcW w:w="84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11"/>
                <w:szCs w:val="11"/>
                <w:b w:val="1"/>
                <w:bCs w:val="1"/>
                <w:color w:val="auto"/>
              </w:rPr>
              <w:t>Term</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3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180" w:type="dxa"/>
            <w:vAlign w:val="bottom"/>
          </w:tcPr>
          <w:p>
            <w:pPr>
              <w:spacing w:after="0"/>
              <w:rPr>
                <w:sz w:val="15"/>
                <w:szCs w:val="15"/>
                <w:color w:val="auto"/>
              </w:rPr>
            </w:pPr>
          </w:p>
        </w:tc>
        <w:tc>
          <w:tcPr>
            <w:tcW w:w="64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Prior</w:t>
            </w: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Loans</w:t>
            </w:r>
          </w:p>
        </w:tc>
        <w:tc>
          <w:tcPr>
            <w:tcW w:w="8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Loans</w:t>
            </w:r>
          </w:p>
        </w:tc>
        <w:tc>
          <w:tcPr>
            <w:tcW w:w="180" w:type="dxa"/>
            <w:vAlign w:val="bottom"/>
          </w:tcPr>
          <w:p>
            <w:pPr>
              <w:spacing w:after="0"/>
              <w:rPr>
                <w:sz w:val="15"/>
                <w:szCs w:val="15"/>
                <w:color w:val="auto"/>
              </w:rPr>
            </w:pPr>
          </w:p>
        </w:tc>
        <w:tc>
          <w:tcPr>
            <w:tcW w:w="640" w:type="dxa"/>
            <w:vAlign w:val="bottom"/>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6"/>
        </w:trPr>
        <w:tc>
          <w:tcPr>
            <w:tcW w:w="3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Commercial and industrial:</w:t>
            </w: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Pass</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3,057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9,161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6,171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3,664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3,746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6,752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29,241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61,893</w:t>
            </w:r>
          </w:p>
        </w:tc>
        <w:tc>
          <w:tcPr>
            <w:tcW w:w="0" w:type="dxa"/>
            <w:vAlign w:val="bottom"/>
          </w:tcPr>
          <w:p>
            <w:pPr>
              <w:spacing w:after="0"/>
              <w:rPr>
                <w:sz w:val="1"/>
                <w:szCs w:val="1"/>
                <w:color w:val="auto"/>
              </w:rPr>
            </w:pPr>
          </w:p>
        </w:tc>
      </w:tr>
      <w:tr>
        <w:trPr>
          <w:trHeight w:val="169"/>
        </w:trPr>
        <w:tc>
          <w:tcPr>
            <w:tcW w:w="31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Criticized accrual</w:t>
            </w:r>
          </w:p>
        </w:tc>
        <w:tc>
          <w:tcPr>
            <w:tcW w:w="18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349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2,963</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Criticized nonaccrual</w:t>
            </w: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74</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78</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175</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111</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535</w:t>
            </w:r>
          </w:p>
        </w:tc>
        <w:tc>
          <w:tcPr>
            <w:tcW w:w="0" w:type="dxa"/>
            <w:vAlign w:val="bottom"/>
          </w:tcPr>
          <w:p>
            <w:pPr>
              <w:spacing w:after="0"/>
              <w:rPr>
                <w:sz w:val="1"/>
                <w:szCs w:val="1"/>
                <w:color w:val="auto"/>
              </w:rPr>
            </w:pPr>
          </w:p>
        </w:tc>
      </w:tr>
      <w:tr>
        <w:trPr>
          <w:trHeight w:val="189"/>
        </w:trPr>
        <w:tc>
          <w:tcPr>
            <w:tcW w:w="3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commercial and industrial</w:t>
            </w: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3,070</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9,408</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6,587</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4,190</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4,134</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7,276</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30,571</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155</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65,391</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charge-offs three months ended March 31, 2026</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Real estate: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1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Commercial:</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1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Pass</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999</w:t>
            </w:r>
          </w:p>
        </w:tc>
        <w:tc>
          <w:tcPr>
            <w:tcW w:w="80" w:type="dxa"/>
            <w:vAlign w:val="bottom"/>
          </w:tcPr>
          <w:p>
            <w:pPr>
              <w:spacing w:after="0"/>
              <w:rPr>
                <w:sz w:val="15"/>
                <w:szCs w:val="15"/>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3,317</w:t>
            </w:r>
          </w:p>
        </w:tc>
        <w:tc>
          <w:tcPr>
            <w:tcW w:w="80" w:type="dxa"/>
            <w:vAlign w:val="bottom"/>
          </w:tcPr>
          <w:p>
            <w:pPr>
              <w:spacing w:after="0"/>
              <w:rPr>
                <w:sz w:val="15"/>
                <w:szCs w:val="15"/>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423</w:t>
            </w:r>
          </w:p>
        </w:tc>
        <w:tc>
          <w:tcPr>
            <w:tcW w:w="80" w:type="dxa"/>
            <w:vAlign w:val="bottom"/>
          </w:tcPr>
          <w:p>
            <w:pPr>
              <w:spacing w:after="0"/>
              <w:rPr>
                <w:sz w:val="15"/>
                <w:szCs w:val="15"/>
                <w:color w:val="auto"/>
              </w:rPr>
            </w:pP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1,556</w:t>
            </w:r>
          </w:p>
        </w:tc>
        <w:tc>
          <w:tcPr>
            <w:tcW w:w="80" w:type="dxa"/>
            <w:vAlign w:val="bottom"/>
          </w:tcPr>
          <w:p>
            <w:pPr>
              <w:spacing w:after="0"/>
              <w:rPr>
                <w:sz w:val="15"/>
                <w:szCs w:val="15"/>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1,579</w:t>
            </w:r>
          </w:p>
        </w:tc>
        <w:tc>
          <w:tcPr>
            <w:tcW w:w="80" w:type="dxa"/>
            <w:vAlign w:val="bottom"/>
          </w:tcPr>
          <w:p>
            <w:pPr>
              <w:spacing w:after="0"/>
              <w:rPr>
                <w:sz w:val="15"/>
                <w:szCs w:val="15"/>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9,598</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337</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17,809</w:t>
            </w:r>
          </w:p>
        </w:tc>
        <w:tc>
          <w:tcPr>
            <w:tcW w:w="0" w:type="dxa"/>
            <w:vAlign w:val="bottom"/>
          </w:tcPr>
          <w:p>
            <w:pPr>
              <w:spacing w:after="0"/>
              <w:rPr>
                <w:sz w:val="1"/>
                <w:szCs w:val="1"/>
                <w:color w:val="auto"/>
              </w:rPr>
            </w:pPr>
          </w:p>
        </w:tc>
      </w:tr>
      <w:tr>
        <w:trPr>
          <w:trHeight w:val="179"/>
        </w:trPr>
        <w:tc>
          <w:tcPr>
            <w:tcW w:w="3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Criticized accrual</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1,366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1,927</w:t>
            </w:r>
          </w:p>
        </w:tc>
        <w:tc>
          <w:tcPr>
            <w:tcW w:w="0" w:type="dxa"/>
            <w:vAlign w:val="bottom"/>
          </w:tcPr>
          <w:p>
            <w:pPr>
              <w:spacing w:after="0"/>
              <w:rPr>
                <w:sz w:val="1"/>
                <w:szCs w:val="1"/>
                <w:color w:val="auto"/>
              </w:rPr>
            </w:pPr>
          </w:p>
        </w:tc>
      </w:tr>
      <w:tr>
        <w:trPr>
          <w:trHeight w:val="183"/>
        </w:trPr>
        <w:tc>
          <w:tcPr>
            <w:tcW w:w="3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2"/>
                <w:szCs w:val="12"/>
                <w:color w:val="auto"/>
              </w:rPr>
              <w:t>Criticized nonaccrual</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24</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246</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294</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commercial real estate</w:t>
            </w: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999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3,350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1,832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1,877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11,210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20,030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60" w:type="dxa"/>
            <w:vAlign w:val="bottom"/>
          </w:tcPr>
          <w:p>
            <w:pPr>
              <w:ind w:left="20"/>
              <w:spacing w:after="0" w:line="136" w:lineRule="exact"/>
              <w:rPr>
                <w:sz w:val="20"/>
                <w:szCs w:val="20"/>
                <w:color w:val="auto"/>
              </w:rPr>
            </w:pPr>
            <w:r>
              <w:rPr>
                <w:rFonts w:ascii="Times New Roman" w:cs="Times New Roman" w:eastAsia="Times New Roman" w:hAnsi="Times New Roman"/>
                <w:sz w:val="12"/>
                <w:szCs w:val="12"/>
                <w:color w:val="auto"/>
              </w:rPr>
              <w:t>Gross charge-offs three months ended March 31, 2026</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6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line="136" w:lineRule="exact"/>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1"/>
                <w:szCs w:val="11"/>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line="136" w:lineRule="exact"/>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1"/>
                <w:szCs w:val="11"/>
                <w:color w:val="auto"/>
              </w:rPr>
            </w:pPr>
          </w:p>
        </w:tc>
        <w:tc>
          <w:tcPr>
            <w:tcW w:w="180" w:type="dxa"/>
            <w:vAlign w:val="bottom"/>
          </w:tcPr>
          <w:p>
            <w:pPr>
              <w:jc w:val="right"/>
              <w:ind w:right="4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line="136" w:lineRule="exact"/>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1"/>
                <w:szCs w:val="11"/>
                <w:color w:val="auto"/>
              </w:rPr>
            </w:pP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line="136" w:lineRule="exact"/>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60" w:type="dxa"/>
            <w:vAlign w:val="bottom"/>
            <w:tcBorders>
              <w:bottom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Residential builder and developer:</w:t>
            </w:r>
          </w:p>
        </w:tc>
        <w:tc>
          <w:tcPr>
            <w:tcW w:w="1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1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Pass</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tcPr>
          <w:p>
            <w:pPr>
              <w:spacing w:after="0"/>
              <w:rPr>
                <w:sz w:val="14"/>
                <w:szCs w:val="14"/>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4"/>
                <w:szCs w:val="14"/>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4"/>
                <w:szCs w:val="14"/>
                <w:color w:val="auto"/>
              </w:rPr>
            </w:pP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4"/>
                <w:szCs w:val="14"/>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4"/>
                <w:szCs w:val="14"/>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97</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Criticized accrual</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83"/>
        </w:trPr>
        <w:tc>
          <w:tcPr>
            <w:tcW w:w="3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2"/>
                <w:szCs w:val="12"/>
                <w:color w:val="auto"/>
              </w:rPr>
              <w:t>Criticized nonaccrual</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residential builder and developer</w:t>
            </w: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60" w:type="dxa"/>
            <w:vAlign w:val="bottom"/>
          </w:tcPr>
          <w:p>
            <w:pPr>
              <w:ind w:left="20"/>
              <w:spacing w:after="0" w:line="136" w:lineRule="exact"/>
              <w:rPr>
                <w:sz w:val="20"/>
                <w:szCs w:val="20"/>
                <w:color w:val="auto"/>
              </w:rPr>
            </w:pPr>
            <w:r>
              <w:rPr>
                <w:rFonts w:ascii="Times New Roman" w:cs="Times New Roman" w:eastAsia="Times New Roman" w:hAnsi="Times New Roman"/>
                <w:sz w:val="12"/>
                <w:szCs w:val="12"/>
                <w:color w:val="auto"/>
              </w:rPr>
              <w:t>Gross charge-offs three months ended March 31, 2026</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6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line="136"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6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Other commercial construction:</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1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Pass</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59</w:t>
            </w:r>
          </w:p>
        </w:tc>
        <w:tc>
          <w:tcPr>
            <w:tcW w:w="80" w:type="dxa"/>
            <w:vAlign w:val="bottom"/>
          </w:tcPr>
          <w:p>
            <w:pPr>
              <w:spacing w:after="0"/>
              <w:rPr>
                <w:sz w:val="14"/>
                <w:szCs w:val="14"/>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419</w:t>
            </w:r>
          </w:p>
        </w:tc>
        <w:tc>
          <w:tcPr>
            <w:tcW w:w="80" w:type="dxa"/>
            <w:vAlign w:val="bottom"/>
          </w:tcPr>
          <w:p>
            <w:pPr>
              <w:spacing w:after="0"/>
              <w:rPr>
                <w:sz w:val="14"/>
                <w:szCs w:val="14"/>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80" w:type="dxa"/>
            <w:vAlign w:val="bottom"/>
          </w:tcPr>
          <w:p>
            <w:pPr>
              <w:spacing w:after="0"/>
              <w:rPr>
                <w:sz w:val="14"/>
                <w:szCs w:val="14"/>
                <w:color w:val="auto"/>
              </w:rPr>
            </w:pP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932</w:t>
            </w:r>
          </w:p>
        </w:tc>
        <w:tc>
          <w:tcPr>
            <w:tcW w:w="80" w:type="dxa"/>
            <w:vAlign w:val="bottom"/>
          </w:tcPr>
          <w:p>
            <w:pPr>
              <w:spacing w:after="0"/>
              <w:rPr>
                <w:sz w:val="14"/>
                <w:szCs w:val="14"/>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521</w:t>
            </w:r>
          </w:p>
        </w:tc>
        <w:tc>
          <w:tcPr>
            <w:tcW w:w="80" w:type="dxa"/>
            <w:vAlign w:val="bottom"/>
          </w:tcPr>
          <w:p>
            <w:pPr>
              <w:spacing w:after="0"/>
              <w:rPr>
                <w:sz w:val="14"/>
                <w:szCs w:val="14"/>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162</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63</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2,385</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Criticized accrual</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152</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438</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810</w:t>
            </w:r>
          </w:p>
        </w:tc>
        <w:tc>
          <w:tcPr>
            <w:tcW w:w="0" w:type="dxa"/>
            <w:vAlign w:val="bottom"/>
          </w:tcPr>
          <w:p>
            <w:pPr>
              <w:spacing w:after="0"/>
              <w:rPr>
                <w:sz w:val="1"/>
                <w:szCs w:val="1"/>
                <w:color w:val="auto"/>
              </w:rPr>
            </w:pPr>
          </w:p>
        </w:tc>
      </w:tr>
      <w:tr>
        <w:trPr>
          <w:trHeight w:val="182"/>
        </w:trPr>
        <w:tc>
          <w:tcPr>
            <w:tcW w:w="3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2"/>
                <w:szCs w:val="12"/>
                <w:color w:val="auto"/>
              </w:rPr>
              <w:t>Criticized nonaccrual</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other commercial construction</w:t>
            </w: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1,084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967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3,205</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 three months ended March 31, 2026</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1"/>
          <w:szCs w:val="21"/>
          <w:b w:val="1"/>
          <w:bCs w:val="1"/>
          <w:color w:val="auto"/>
        </w:rPr>
        <w:t>3. Loans and allowance for loan losses, continued</w:t>
      </w:r>
    </w:p>
    <w:p>
      <w:pPr>
        <w:spacing w:after="0" w:line="200" w:lineRule="exact"/>
        <w:rPr>
          <w:sz w:val="20"/>
          <w:szCs w:val="20"/>
          <w:color w:val="auto"/>
        </w:rPr>
      </w:pPr>
    </w:p>
    <w:p>
      <w:pPr>
        <w:spacing w:after="0" w:line="2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 considers repayment performance a significant indicator of credit quality for its residential real estate loan and consumer loan portfolios. A summary of loans in accrual and nonaccrual status at March 31, 2026 for the various classes of the Company’s residential real estate loans and consumer loans and gross charge-offs for those types of loans for the three-month period ended March 31, 2026 by origination year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Revolving</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5"/>
              </w:rPr>
              <w:t>Loans</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6"/>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Term Loans by Origination Year</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5"/>
              </w:rPr>
              <w:t>Converted to</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1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gridSpan w:val="6"/>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1"/>
                <w:szCs w:val="11"/>
                <w:b w:val="1"/>
                <w:bCs w:val="1"/>
                <w:color w:val="auto"/>
              </w:rPr>
              <w:t>Revolving</w:t>
            </w:r>
          </w:p>
        </w:tc>
        <w:tc>
          <w:tcPr>
            <w:tcW w:w="80" w:type="dxa"/>
            <w:vAlign w:val="bottom"/>
          </w:tcPr>
          <w:p>
            <w:pPr>
              <w:spacing w:after="0"/>
              <w:rPr>
                <w:sz w:val="9"/>
                <w:szCs w:val="9"/>
                <w:color w:val="auto"/>
              </w:rPr>
            </w:pPr>
          </w:p>
        </w:tc>
        <w:tc>
          <w:tcPr>
            <w:tcW w:w="84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11"/>
                <w:szCs w:val="11"/>
                <w:b w:val="1"/>
                <w:bCs w:val="1"/>
                <w:color w:val="auto"/>
              </w:rPr>
              <w:t>Term</w:t>
            </w: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3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180" w:type="dxa"/>
            <w:vAlign w:val="bottom"/>
          </w:tcPr>
          <w:p>
            <w:pPr>
              <w:spacing w:after="0"/>
              <w:rPr>
                <w:sz w:val="15"/>
                <w:szCs w:val="15"/>
                <w:color w:val="auto"/>
              </w:rPr>
            </w:pPr>
          </w:p>
        </w:tc>
        <w:tc>
          <w:tcPr>
            <w:tcW w:w="64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Prior</w:t>
            </w:r>
          </w:p>
        </w:tc>
        <w:tc>
          <w:tcPr>
            <w:tcW w:w="12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Loans</w:t>
            </w:r>
          </w:p>
        </w:tc>
        <w:tc>
          <w:tcPr>
            <w:tcW w:w="8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5"/>
              </w:rPr>
              <w:t>Loans</w:t>
            </w:r>
          </w:p>
        </w:tc>
        <w:tc>
          <w:tcPr>
            <w:tcW w:w="200" w:type="dxa"/>
            <w:vAlign w:val="bottom"/>
          </w:tcPr>
          <w:p>
            <w:pPr>
              <w:spacing w:after="0"/>
              <w:rPr>
                <w:sz w:val="15"/>
                <w:szCs w:val="15"/>
                <w:color w:val="auto"/>
              </w:rPr>
            </w:pPr>
          </w:p>
        </w:tc>
        <w:tc>
          <w:tcPr>
            <w:tcW w:w="640" w:type="dxa"/>
            <w:vAlign w:val="bottom"/>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6"/>
        </w:trPr>
        <w:tc>
          <w:tcPr>
            <w:tcW w:w="3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Residential real estate:</w:t>
            </w: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Current</w:t>
            </w: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1,029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1,696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1,128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4,001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12,197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23,398</w:t>
            </w:r>
          </w:p>
        </w:tc>
        <w:tc>
          <w:tcPr>
            <w:tcW w:w="0" w:type="dxa"/>
            <w:vAlign w:val="bottom"/>
          </w:tcPr>
          <w:p>
            <w:pPr>
              <w:spacing w:after="0"/>
              <w:rPr>
                <w:sz w:val="1"/>
                <w:szCs w:val="1"/>
                <w:color w:val="auto"/>
              </w:rPr>
            </w:pPr>
          </w:p>
        </w:tc>
      </w:tr>
      <w:tr>
        <w:trPr>
          <w:trHeight w:val="169"/>
        </w:trPr>
        <w:tc>
          <w:tcPr>
            <w:tcW w:w="3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30-89 days past due</w:t>
            </w:r>
          </w:p>
        </w:tc>
        <w:tc>
          <w:tcPr>
            <w:tcW w:w="1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553</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Accruing loans past due 90 days or more</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158</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634</w:t>
            </w: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2"/>
                <w:szCs w:val="12"/>
                <w:color w:val="auto"/>
              </w:rPr>
              <w:t>Nonaccrual</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272</w:t>
            </w:r>
          </w:p>
        </w:tc>
        <w:tc>
          <w:tcPr>
            <w:tcW w:w="0" w:type="dxa"/>
            <w:vAlign w:val="bottom"/>
          </w:tcPr>
          <w:p>
            <w:pPr>
              <w:spacing w:after="0"/>
              <w:rPr>
                <w:sz w:val="1"/>
                <w:szCs w:val="1"/>
                <w:color w:val="auto"/>
              </w:rPr>
            </w:pPr>
          </w:p>
        </w:tc>
      </w:tr>
      <w:tr>
        <w:trPr>
          <w:trHeight w:val="209"/>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residential real estate</w:t>
            </w: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1,029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1,719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1,182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4,293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13,271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24,857</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40" w:type="dxa"/>
            <w:vAlign w:val="bottom"/>
          </w:tcPr>
          <w:p>
            <w:pPr>
              <w:ind w:left="20"/>
              <w:spacing w:after="0" w:line="136" w:lineRule="exact"/>
              <w:rPr>
                <w:sz w:val="20"/>
                <w:szCs w:val="20"/>
                <w:color w:val="auto"/>
              </w:rPr>
            </w:pPr>
            <w:r>
              <w:rPr>
                <w:rFonts w:ascii="Times New Roman" w:cs="Times New Roman" w:eastAsia="Times New Roman" w:hAnsi="Times New Roman"/>
                <w:sz w:val="12"/>
                <w:szCs w:val="12"/>
                <w:color w:val="auto"/>
              </w:rPr>
              <w:t>Gross charge-offs three months ended March 31, 2026</w:t>
            </w:r>
          </w:p>
        </w:tc>
        <w:tc>
          <w:tcPr>
            <w:tcW w:w="180" w:type="dxa"/>
            <w:vAlign w:val="bottom"/>
          </w:tcPr>
          <w:p>
            <w:pPr>
              <w:jc w:val="right"/>
              <w:ind w:right="4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6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6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1"/>
                <w:szCs w:val="11"/>
                <w:color w:val="auto"/>
              </w:rPr>
            </w:pP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6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line="136" w:lineRule="exact"/>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Consumer:</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Home equity lines and loans: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Current</w:t>
            </w: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3,340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1,269</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4,681</w:t>
            </w:r>
          </w:p>
        </w:tc>
        <w:tc>
          <w:tcPr>
            <w:tcW w:w="0" w:type="dxa"/>
            <w:vAlign w:val="bottom"/>
          </w:tcPr>
          <w:p>
            <w:pPr>
              <w:spacing w:after="0"/>
              <w:rPr>
                <w:sz w:val="1"/>
                <w:szCs w:val="1"/>
                <w:color w:val="auto"/>
              </w:rPr>
            </w:pPr>
          </w:p>
        </w:tc>
      </w:tr>
      <w:tr>
        <w:trPr>
          <w:trHeight w:val="169"/>
        </w:trPr>
        <w:tc>
          <w:tcPr>
            <w:tcW w:w="3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30-89 days past due</w:t>
            </w:r>
          </w:p>
        </w:tc>
        <w:tc>
          <w:tcPr>
            <w:tcW w:w="1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Accruing loans past due 90 days or more</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2"/>
                <w:szCs w:val="12"/>
                <w:color w:val="auto"/>
              </w:rPr>
              <w:t>Nonaccrual</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79</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84</w:t>
            </w:r>
          </w:p>
        </w:tc>
        <w:tc>
          <w:tcPr>
            <w:tcW w:w="0" w:type="dxa"/>
            <w:vAlign w:val="bottom"/>
          </w:tcPr>
          <w:p>
            <w:pPr>
              <w:spacing w:after="0"/>
              <w:rPr>
                <w:sz w:val="1"/>
                <w:szCs w:val="1"/>
                <w:color w:val="auto"/>
              </w:rPr>
            </w:pPr>
          </w:p>
        </w:tc>
      </w:tr>
      <w:tr>
        <w:trPr>
          <w:trHeight w:val="209"/>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home equity lines and loans</w:t>
            </w: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3,341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1,378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4,796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40" w:type="dxa"/>
            <w:vAlign w:val="bottom"/>
          </w:tcPr>
          <w:p>
            <w:pPr>
              <w:ind w:left="20"/>
              <w:spacing w:after="0" w:line="136" w:lineRule="exact"/>
              <w:rPr>
                <w:sz w:val="20"/>
                <w:szCs w:val="20"/>
                <w:color w:val="auto"/>
              </w:rPr>
            </w:pPr>
            <w:r>
              <w:rPr>
                <w:rFonts w:ascii="Times New Roman" w:cs="Times New Roman" w:eastAsia="Times New Roman" w:hAnsi="Times New Roman"/>
                <w:sz w:val="12"/>
                <w:szCs w:val="12"/>
                <w:color w:val="auto"/>
              </w:rPr>
              <w:t>Gross charge-offs three months ended March 31, 2026</w:t>
            </w:r>
          </w:p>
        </w:tc>
        <w:tc>
          <w:tcPr>
            <w:tcW w:w="180" w:type="dxa"/>
            <w:vAlign w:val="bottom"/>
          </w:tcPr>
          <w:p>
            <w:pPr>
              <w:jc w:val="right"/>
              <w:ind w:right="4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6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6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2"/>
              <w:spacing w:after="0" w:line="136" w:lineRule="exact"/>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1"/>
                <w:szCs w:val="11"/>
                <w:color w:val="auto"/>
              </w:rPr>
            </w:pPr>
          </w:p>
        </w:tc>
        <w:tc>
          <w:tcPr>
            <w:tcW w:w="200" w:type="dxa"/>
            <w:vAlign w:val="bottom"/>
          </w:tcPr>
          <w:p>
            <w:pPr>
              <w:jc w:val="right"/>
              <w:ind w:right="6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line="136" w:lineRule="exact"/>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Recreational finance:</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Current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853</w:t>
            </w:r>
          </w:p>
        </w:tc>
        <w:tc>
          <w:tcPr>
            <w:tcW w:w="80" w:type="dxa"/>
            <w:vAlign w:val="bottom"/>
          </w:tcPr>
          <w:p>
            <w:pPr>
              <w:spacing w:after="0"/>
              <w:rPr>
                <w:sz w:val="14"/>
                <w:szCs w:val="14"/>
                <w:color w:val="auto"/>
              </w:rPr>
            </w:pP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3,817</w:t>
            </w:r>
          </w:p>
        </w:tc>
        <w:tc>
          <w:tcPr>
            <w:tcW w:w="80" w:type="dxa"/>
            <w:vAlign w:val="bottom"/>
          </w:tcPr>
          <w:p>
            <w:pPr>
              <w:spacing w:after="0"/>
              <w:rPr>
                <w:sz w:val="14"/>
                <w:szCs w:val="14"/>
                <w:color w:val="auto"/>
              </w:rPr>
            </w:pP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2,876</w:t>
            </w:r>
          </w:p>
        </w:tc>
        <w:tc>
          <w:tcPr>
            <w:tcW w:w="80" w:type="dxa"/>
            <w:vAlign w:val="bottom"/>
          </w:tcPr>
          <w:p>
            <w:pPr>
              <w:spacing w:after="0"/>
              <w:rPr>
                <w:sz w:val="14"/>
                <w:szCs w:val="14"/>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1,626</w:t>
            </w:r>
          </w:p>
        </w:tc>
        <w:tc>
          <w:tcPr>
            <w:tcW w:w="80" w:type="dxa"/>
            <w:vAlign w:val="bottom"/>
          </w:tcPr>
          <w:p>
            <w:pPr>
              <w:spacing w:after="0"/>
              <w:rPr>
                <w:sz w:val="14"/>
                <w:szCs w:val="14"/>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1,598</w:t>
            </w:r>
          </w:p>
        </w:tc>
        <w:tc>
          <w:tcPr>
            <w:tcW w:w="80" w:type="dxa"/>
            <w:vAlign w:val="bottom"/>
          </w:tcPr>
          <w:p>
            <w:pPr>
              <w:spacing w:after="0"/>
              <w:rPr>
                <w:sz w:val="14"/>
                <w:szCs w:val="14"/>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3,233</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14,003</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30-89 days past due</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109</w:t>
            </w:r>
          </w:p>
        </w:tc>
        <w:tc>
          <w:tcPr>
            <w:tcW w:w="0" w:type="dxa"/>
            <w:vAlign w:val="bottom"/>
          </w:tcPr>
          <w:p>
            <w:pPr>
              <w:spacing w:after="0"/>
              <w:rPr>
                <w:sz w:val="1"/>
                <w:szCs w:val="1"/>
                <w:color w:val="auto"/>
              </w:rPr>
            </w:pPr>
          </w:p>
        </w:tc>
      </w:tr>
      <w:tr>
        <w:trPr>
          <w:trHeight w:val="169"/>
        </w:trPr>
        <w:tc>
          <w:tcPr>
            <w:tcW w:w="3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Accruing loans past due 90 days or more</w:t>
            </w:r>
          </w:p>
        </w:tc>
        <w:tc>
          <w:tcPr>
            <w:tcW w:w="1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Nonaccrual</w:t>
            </w: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w:t>
            </w:r>
          </w:p>
        </w:tc>
        <w:tc>
          <w:tcPr>
            <w:tcW w:w="0" w:type="dxa"/>
            <w:vAlign w:val="bottom"/>
          </w:tcPr>
          <w:p>
            <w:pPr>
              <w:spacing w:after="0"/>
              <w:rPr>
                <w:sz w:val="1"/>
                <w:szCs w:val="1"/>
                <w:color w:val="auto"/>
              </w:rPr>
            </w:pPr>
          </w:p>
        </w:tc>
      </w:tr>
      <w:tr>
        <w:trPr>
          <w:trHeight w:val="189"/>
        </w:trPr>
        <w:tc>
          <w:tcPr>
            <w:tcW w:w="3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recreational finance</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853</w:t>
            </w:r>
          </w:p>
        </w:tc>
        <w:tc>
          <w:tcPr>
            <w:tcW w:w="80" w:type="dxa"/>
            <w:vAlign w:val="bottom"/>
          </w:tcPr>
          <w:p>
            <w:pPr>
              <w:spacing w:after="0"/>
              <w:rPr>
                <w:sz w:val="16"/>
                <w:szCs w:val="16"/>
                <w:color w:val="auto"/>
              </w:rPr>
            </w:pP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3,831</w:t>
            </w:r>
          </w:p>
        </w:tc>
        <w:tc>
          <w:tcPr>
            <w:tcW w:w="80" w:type="dxa"/>
            <w:vAlign w:val="bottom"/>
          </w:tcPr>
          <w:p>
            <w:pPr>
              <w:spacing w:after="0"/>
              <w:rPr>
                <w:sz w:val="16"/>
                <w:szCs w:val="16"/>
                <w:color w:val="auto"/>
              </w:rPr>
            </w:pP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2,899</w:t>
            </w:r>
          </w:p>
        </w:tc>
        <w:tc>
          <w:tcPr>
            <w:tcW w:w="80" w:type="dxa"/>
            <w:vAlign w:val="bottom"/>
          </w:tcPr>
          <w:p>
            <w:pPr>
              <w:spacing w:after="0"/>
              <w:rPr>
                <w:sz w:val="16"/>
                <w:szCs w:val="16"/>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1,653</w:t>
            </w:r>
          </w:p>
        </w:tc>
        <w:tc>
          <w:tcPr>
            <w:tcW w:w="80" w:type="dxa"/>
            <w:vAlign w:val="bottom"/>
          </w:tcPr>
          <w:p>
            <w:pPr>
              <w:spacing w:after="0"/>
              <w:rPr>
                <w:sz w:val="16"/>
                <w:szCs w:val="16"/>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1,619</w:t>
            </w:r>
          </w:p>
        </w:tc>
        <w:tc>
          <w:tcPr>
            <w:tcW w:w="80" w:type="dxa"/>
            <w:vAlign w:val="bottom"/>
          </w:tcPr>
          <w:p>
            <w:pPr>
              <w:spacing w:after="0"/>
              <w:rPr>
                <w:sz w:val="16"/>
                <w:szCs w:val="16"/>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3,289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14,144</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charge-offs three months ended March 31, 2026</w:t>
            </w: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Automobile: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Current</w:t>
            </w: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385</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1,796</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1,523</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495</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407</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4,947</w:t>
            </w:r>
          </w:p>
        </w:tc>
        <w:tc>
          <w:tcPr>
            <w:tcW w:w="0" w:type="dxa"/>
            <w:vAlign w:val="bottom"/>
          </w:tcPr>
          <w:p>
            <w:pPr>
              <w:spacing w:after="0"/>
              <w:rPr>
                <w:sz w:val="1"/>
                <w:szCs w:val="1"/>
                <w:color w:val="auto"/>
              </w:rPr>
            </w:pPr>
          </w:p>
        </w:tc>
      </w:tr>
      <w:tr>
        <w:trPr>
          <w:trHeight w:val="179"/>
        </w:trPr>
        <w:tc>
          <w:tcPr>
            <w:tcW w:w="3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30-89 days past due</w:t>
            </w:r>
          </w:p>
        </w:tc>
        <w:tc>
          <w:tcPr>
            <w:tcW w:w="1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17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Accruing loans past due 90 days or more</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2"/>
                <w:szCs w:val="12"/>
                <w:color w:val="auto"/>
              </w:rPr>
              <w:t>Nonaccrual</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209"/>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automobile</w:t>
            </w: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1,542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509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5,016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40" w:type="dxa"/>
            <w:vAlign w:val="bottom"/>
          </w:tcPr>
          <w:p>
            <w:pPr>
              <w:ind w:left="20"/>
              <w:spacing w:after="0" w:line="136" w:lineRule="exact"/>
              <w:rPr>
                <w:sz w:val="20"/>
                <w:szCs w:val="20"/>
                <w:color w:val="auto"/>
              </w:rPr>
            </w:pPr>
            <w:r>
              <w:rPr>
                <w:rFonts w:ascii="Times New Roman" w:cs="Times New Roman" w:eastAsia="Times New Roman" w:hAnsi="Times New Roman"/>
                <w:sz w:val="12"/>
                <w:szCs w:val="12"/>
                <w:color w:val="auto"/>
              </w:rPr>
              <w:t>Gross charge-offs three months ended March 31, 2026</w:t>
            </w:r>
          </w:p>
        </w:tc>
        <w:tc>
          <w:tcPr>
            <w:tcW w:w="180" w:type="dxa"/>
            <w:vAlign w:val="bottom"/>
          </w:tcPr>
          <w:p>
            <w:pPr>
              <w:jc w:val="right"/>
              <w:ind w:right="4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6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11"/>
                <w:szCs w:val="11"/>
                <w:color w:val="auto"/>
              </w:rPr>
            </w:pPr>
          </w:p>
        </w:tc>
        <w:tc>
          <w:tcPr>
            <w:tcW w:w="200" w:type="dxa"/>
            <w:vAlign w:val="bottom"/>
          </w:tcPr>
          <w:p>
            <w:pPr>
              <w:jc w:val="right"/>
              <w:ind w:right="6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line="136" w:lineRule="exact"/>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1"/>
                <w:szCs w:val="11"/>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line="136" w:lineRule="exact"/>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1"/>
                <w:szCs w:val="11"/>
                <w:color w:val="auto"/>
              </w:rPr>
            </w:pPr>
          </w:p>
        </w:tc>
        <w:tc>
          <w:tcPr>
            <w:tcW w:w="180" w:type="dxa"/>
            <w:vAlign w:val="bottom"/>
          </w:tcPr>
          <w:p>
            <w:pPr>
              <w:jc w:val="right"/>
              <w:ind w:right="4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line="136" w:lineRule="exact"/>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1"/>
                <w:szCs w:val="11"/>
                <w:color w:val="auto"/>
              </w:rPr>
            </w:pPr>
          </w:p>
        </w:tc>
        <w:tc>
          <w:tcPr>
            <w:tcW w:w="180" w:type="dxa"/>
            <w:vAlign w:val="bottom"/>
          </w:tcPr>
          <w:p>
            <w:pPr>
              <w:jc w:val="right"/>
              <w:ind w:right="4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1"/>
                <w:szCs w:val="11"/>
                <w:color w:val="auto"/>
              </w:rPr>
            </w:pP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62"/>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line="136" w:lineRule="exact"/>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Current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88</w:t>
            </w:r>
          </w:p>
        </w:tc>
        <w:tc>
          <w:tcPr>
            <w:tcW w:w="80" w:type="dxa"/>
            <w:vAlign w:val="bottom"/>
          </w:tcPr>
          <w:p>
            <w:pPr>
              <w:spacing w:after="0"/>
              <w:rPr>
                <w:sz w:val="15"/>
                <w:szCs w:val="15"/>
                <w:color w:val="auto"/>
              </w:rPr>
            </w:pP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80" w:type="dxa"/>
            <w:vAlign w:val="bottom"/>
          </w:tcPr>
          <w:p>
            <w:pPr>
              <w:spacing w:after="0"/>
              <w:rPr>
                <w:sz w:val="15"/>
                <w:szCs w:val="15"/>
                <w:color w:val="auto"/>
              </w:rPr>
            </w:pP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134</w:t>
            </w:r>
          </w:p>
        </w:tc>
        <w:tc>
          <w:tcPr>
            <w:tcW w:w="80" w:type="dxa"/>
            <w:vAlign w:val="bottom"/>
          </w:tcPr>
          <w:p>
            <w:pPr>
              <w:spacing w:after="0"/>
              <w:rPr>
                <w:sz w:val="15"/>
                <w:szCs w:val="15"/>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76</w:t>
            </w:r>
          </w:p>
        </w:tc>
        <w:tc>
          <w:tcPr>
            <w:tcW w:w="80" w:type="dxa"/>
            <w:vAlign w:val="bottom"/>
          </w:tcPr>
          <w:p>
            <w:pPr>
              <w:spacing w:after="0"/>
              <w:rPr>
                <w:sz w:val="15"/>
                <w:szCs w:val="15"/>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tcPr>
          <w:p>
            <w:pPr>
              <w:spacing w:after="0"/>
              <w:rPr>
                <w:sz w:val="15"/>
                <w:szCs w:val="15"/>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1,658</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5"/>
                <w:szCs w:val="15"/>
                <w:color w:val="auto"/>
              </w:rPr>
            </w:pP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2,314</w:t>
            </w:r>
          </w:p>
        </w:tc>
        <w:tc>
          <w:tcPr>
            <w:tcW w:w="0" w:type="dxa"/>
            <w:vAlign w:val="bottom"/>
          </w:tcPr>
          <w:p>
            <w:pPr>
              <w:spacing w:after="0"/>
              <w:rPr>
                <w:sz w:val="1"/>
                <w:szCs w:val="1"/>
                <w:color w:val="auto"/>
              </w:rPr>
            </w:pPr>
          </w:p>
        </w:tc>
      </w:tr>
      <w:tr>
        <w:trPr>
          <w:trHeight w:val="179"/>
        </w:trPr>
        <w:tc>
          <w:tcPr>
            <w:tcW w:w="3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30-89 days past due</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79"/>
        </w:trPr>
        <w:tc>
          <w:tcPr>
            <w:tcW w:w="3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Accruing loans past due 90 days or more</w:t>
            </w:r>
          </w:p>
        </w:tc>
        <w:tc>
          <w:tcPr>
            <w:tcW w:w="1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93"/>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Nonaccrual</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89"/>
        </w:trPr>
        <w:tc>
          <w:tcPr>
            <w:tcW w:w="31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Total other</w:t>
            </w:r>
          </w:p>
        </w:tc>
        <w:tc>
          <w:tcPr>
            <w:tcW w:w="18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91</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269</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137</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77</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1,695</w:t>
            </w: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2,365</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charge-offs three months ended March 31, 2026</w:t>
            </w: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Total loans at March 31, 2026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140" w:type="dxa"/>
            <w:vAlign w:val="bottom"/>
            <w:vMerge w:val="continue"/>
          </w:tcPr>
          <w:p>
            <w:pPr>
              <w:spacing w:after="0"/>
              <w:rPr>
                <w:sz w:val="13"/>
                <w:szCs w:val="13"/>
                <w:color w:val="auto"/>
              </w:rPr>
            </w:pPr>
          </w:p>
        </w:tc>
        <w:tc>
          <w:tcPr>
            <w:tcW w:w="1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6,527</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22,331</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13,548</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10,528</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13,371</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35,899</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36,175</w:t>
            </w: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1,535</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139,914</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5"/>
        </w:trPr>
        <w:tc>
          <w:tcPr>
            <w:tcW w:w="314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b w:val="1"/>
                <w:bCs w:val="1"/>
                <w:color w:val="auto"/>
              </w:rPr>
              <w:t>Total gross charge-offs for the three months ended</w:t>
            </w:r>
          </w:p>
        </w:tc>
        <w:tc>
          <w:tcPr>
            <w:tcW w:w="18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153</w:t>
            </w:r>
          </w:p>
        </w:tc>
        <w:tc>
          <w:tcPr>
            <w:tcW w:w="0" w:type="dxa"/>
            <w:vAlign w:val="bottom"/>
          </w:tcPr>
          <w:p>
            <w:pPr>
              <w:spacing w:after="0"/>
              <w:rPr>
                <w:sz w:val="1"/>
                <w:szCs w:val="1"/>
                <w:color w:val="auto"/>
              </w:rPr>
            </w:pPr>
          </w:p>
        </w:tc>
      </w:tr>
      <w:tr>
        <w:trPr>
          <w:trHeight w:val="175"/>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18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1"/>
          <w:szCs w:val="21"/>
          <w:b w:val="1"/>
          <w:bCs w:val="1"/>
          <w:color w:val="auto"/>
        </w:rPr>
        <w:t>3. Loans and allowance for loan losses, continued</w:t>
      </w:r>
    </w:p>
    <w:p>
      <w:pPr>
        <w:spacing w:after="0" w:line="200" w:lineRule="exact"/>
        <w:rPr>
          <w:sz w:val="20"/>
          <w:szCs w:val="20"/>
          <w:color w:val="auto"/>
        </w:rPr>
      </w:pPr>
    </w:p>
    <w:p>
      <w:pPr>
        <w:spacing w:after="0" w:line="23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The following table summarizes the loan grades applied at December 31, 2025 to the various classes of the Company’s commercial and industrial loans and commercial real estate loans by origination year.</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2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Term Loans by Origination Year</w:t>
            </w: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Converted to</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2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1200" w:type="dxa"/>
            <w:vAlign w:val="bottom"/>
            <w:vMerge w:val="restart"/>
          </w:tcPr>
          <w:p>
            <w:pPr>
              <w:jc w:val="center"/>
              <w:ind w:right="8"/>
              <w:spacing w:after="0" w:line="160"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8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23495</wp:posOffset>
            </wp:positionV>
            <wp:extent cx="52806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9,462</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6,640</w:t>
            </w:r>
          </w:p>
        </w:tc>
        <w:tc>
          <w:tcPr>
            <w:tcW w:w="8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Criticized accrual</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Criticized nonaccrual</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9,686</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7,026</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9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3,757</w:t>
            </w:r>
          </w:p>
        </w:tc>
        <w:tc>
          <w:tcPr>
            <w:tcW w:w="8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2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Criticized accrual</w:t>
            </w:r>
          </w:p>
        </w:tc>
        <w:tc>
          <w:tcPr>
            <w:tcW w:w="26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Criticized nonaccrual</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3,781</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429</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9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Criticized accrual</w:t>
            </w:r>
          </w:p>
        </w:tc>
        <w:tc>
          <w:tcPr>
            <w:tcW w:w="26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Criticized nonaccrual</w:t>
            </w:r>
          </w:p>
        </w:tc>
        <w:tc>
          <w:tcPr>
            <w:tcW w:w="26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Total residential builder and developer</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9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2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Criticized accrual</w:t>
            </w:r>
          </w:p>
        </w:tc>
        <w:tc>
          <w:tcPr>
            <w:tcW w:w="26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Criticized nonaccrual</w:t>
            </w:r>
          </w:p>
        </w:tc>
        <w:tc>
          <w:tcPr>
            <w:tcW w:w="26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Total other commercial construction</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2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-2794000</wp:posOffset>
            </wp:positionV>
            <wp:extent cx="71323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-2167890</wp:posOffset>
            </wp:positionV>
            <wp:extent cx="713232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-1876425</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-1250950</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-624840</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-1559560</wp:posOffset>
            </wp:positionV>
            <wp:extent cx="713232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-2476500</wp:posOffset>
            </wp:positionV>
            <wp:extent cx="713232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95"/>
              </w:rPr>
              <w:t>4,086</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5,059</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28,124</w:t>
            </w:r>
          </w:p>
        </w:tc>
        <w:tc>
          <w:tcPr>
            <w:tcW w:w="8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59,744</w:t>
            </w:r>
          </w:p>
        </w:tc>
        <w:tc>
          <w:tcPr>
            <w:tcW w:w="0" w:type="dxa"/>
            <w:vAlign w:val="bottom"/>
          </w:tcPr>
          <w:p>
            <w:pPr>
              <w:spacing w:after="0"/>
              <w:rPr>
                <w:sz w:val="1"/>
                <w:szCs w:val="1"/>
                <w:color w:val="auto"/>
              </w:rPr>
            </w:pPr>
          </w:p>
        </w:tc>
      </w:tr>
      <w:tr>
        <w:trPr>
          <w:trHeight w:val="229"/>
        </w:trPr>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390</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w:t>
            </w:r>
          </w:p>
        </w:tc>
        <w:tc>
          <w:tcPr>
            <w:tcW w:w="0" w:type="dxa"/>
            <w:vAlign w:val="bottom"/>
          </w:tcPr>
          <w:p>
            <w:pPr>
              <w:spacing w:after="0"/>
              <w:rPr>
                <w:sz w:val="1"/>
                <w:szCs w:val="1"/>
                <w:color w:val="auto"/>
              </w:rPr>
            </w:pPr>
          </w:p>
        </w:tc>
      </w:tr>
      <w:tr>
        <w:trPr>
          <w:trHeight w:val="230"/>
        </w:trPr>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65</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0" w:type="dxa"/>
            <w:vAlign w:val="bottom"/>
          </w:tcPr>
          <w:p>
            <w:pPr>
              <w:spacing w:after="0"/>
              <w:rPr>
                <w:sz w:val="1"/>
                <w:szCs w:val="1"/>
                <w:color w:val="auto"/>
              </w:rPr>
            </w:pPr>
          </w:p>
        </w:tc>
      </w:tr>
      <w:tr>
        <w:trPr>
          <w:trHeight w:val="37"/>
        </w:trPr>
        <w:tc>
          <w:tcPr>
            <w:tcW w:w="4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95"/>
              </w:rPr>
              <w:t>4,541</w:t>
            </w: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60" w:type="dxa"/>
            <w:vAlign w:val="bottom"/>
            <w:vMerge w:val="continue"/>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2,344</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5,562</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29,615</w:t>
            </w:r>
          </w:p>
        </w:tc>
        <w:tc>
          <w:tcPr>
            <w:tcW w:w="8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63,548</w:t>
            </w:r>
          </w:p>
        </w:tc>
        <w:tc>
          <w:tcPr>
            <w:tcW w:w="0" w:type="dxa"/>
            <w:vAlign w:val="bottom"/>
          </w:tcPr>
          <w:p>
            <w:pPr>
              <w:spacing w:after="0"/>
              <w:rPr>
                <w:sz w:val="1"/>
                <w:szCs w:val="1"/>
                <w:color w:val="auto"/>
              </w:rPr>
            </w:pPr>
          </w:p>
        </w:tc>
      </w:tr>
      <w:tr>
        <w:trPr>
          <w:trHeight w:val="37"/>
        </w:trPr>
        <w:tc>
          <w:tcPr>
            <w:tcW w:w="4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5"/>
        </w:trPr>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95"/>
              </w:rPr>
              <w:t>1,681</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8,970</w:t>
            </w:r>
          </w:p>
        </w:tc>
        <w:tc>
          <w:tcPr>
            <w:tcW w:w="10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17,831</w:t>
            </w:r>
          </w:p>
        </w:tc>
        <w:tc>
          <w:tcPr>
            <w:tcW w:w="0" w:type="dxa"/>
            <w:vAlign w:val="bottom"/>
          </w:tcPr>
          <w:p>
            <w:pPr>
              <w:spacing w:after="0"/>
              <w:rPr>
                <w:sz w:val="1"/>
                <w:szCs w:val="1"/>
                <w:color w:val="auto"/>
              </w:rPr>
            </w:pPr>
          </w:p>
        </w:tc>
      </w:tr>
      <w:tr>
        <w:trPr>
          <w:trHeight w:val="230"/>
        </w:trPr>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244</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0" w:type="dxa"/>
            <w:vAlign w:val="bottom"/>
          </w:tcPr>
          <w:p>
            <w:pPr>
              <w:spacing w:after="0"/>
              <w:rPr>
                <w:sz w:val="1"/>
                <w:szCs w:val="1"/>
                <w:color w:val="auto"/>
              </w:rPr>
            </w:pPr>
          </w:p>
        </w:tc>
      </w:tr>
      <w:tr>
        <w:trPr>
          <w:trHeight w:val="229"/>
        </w:trPr>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37"/>
        </w:trPr>
        <w:tc>
          <w:tcPr>
            <w:tcW w:w="4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95"/>
              </w:rPr>
              <w:t>1,950</w:t>
            </w: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60" w:type="dxa"/>
            <w:vAlign w:val="bottom"/>
            <w:vMerge w:val="continue"/>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10,592</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20,192</w:t>
            </w:r>
          </w:p>
        </w:tc>
        <w:tc>
          <w:tcPr>
            <w:tcW w:w="0" w:type="dxa"/>
            <w:vAlign w:val="bottom"/>
          </w:tcPr>
          <w:p>
            <w:pPr>
              <w:spacing w:after="0"/>
              <w:rPr>
                <w:sz w:val="1"/>
                <w:szCs w:val="1"/>
                <w:color w:val="auto"/>
              </w:rPr>
            </w:pPr>
          </w:p>
        </w:tc>
      </w:tr>
      <w:tr>
        <w:trPr>
          <w:trHeight w:val="37"/>
        </w:trPr>
        <w:tc>
          <w:tcPr>
            <w:tcW w:w="4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29"/>
        </w:trPr>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30"/>
        </w:trPr>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4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14</w:t>
            </w: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60" w:type="dxa"/>
            <w:vAlign w:val="bottom"/>
            <w:vMerge w:val="continue"/>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37"/>
        </w:trPr>
        <w:tc>
          <w:tcPr>
            <w:tcW w:w="4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606</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0" w:type="dxa"/>
            <w:vAlign w:val="bottom"/>
          </w:tcPr>
          <w:p>
            <w:pPr>
              <w:spacing w:after="0"/>
              <w:rPr>
                <w:sz w:val="1"/>
                <w:szCs w:val="1"/>
                <w:color w:val="auto"/>
              </w:rPr>
            </w:pPr>
          </w:p>
        </w:tc>
      </w:tr>
      <w:tr>
        <w:trPr>
          <w:trHeight w:val="230"/>
        </w:trPr>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493</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0" w:type="dxa"/>
            <w:vAlign w:val="bottom"/>
          </w:tcPr>
          <w:p>
            <w:pPr>
              <w:spacing w:after="0"/>
              <w:rPr>
                <w:sz w:val="1"/>
                <w:szCs w:val="1"/>
                <w:color w:val="auto"/>
              </w:rPr>
            </w:pPr>
          </w:p>
        </w:tc>
      </w:tr>
      <w:tr>
        <w:trPr>
          <w:trHeight w:val="229"/>
        </w:trPr>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37"/>
        </w:trPr>
        <w:tc>
          <w:tcPr>
            <w:tcW w:w="4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95"/>
              </w:rPr>
              <w:t>1,107</w:t>
            </w: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60" w:type="dxa"/>
            <w:vAlign w:val="bottom"/>
            <w:vMerge w:val="continue"/>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3,558</w:t>
            </w:r>
          </w:p>
        </w:tc>
        <w:tc>
          <w:tcPr>
            <w:tcW w:w="0" w:type="dxa"/>
            <w:vAlign w:val="bottom"/>
          </w:tcPr>
          <w:p>
            <w:pPr>
              <w:spacing w:after="0"/>
              <w:rPr>
                <w:sz w:val="1"/>
                <w:szCs w:val="1"/>
                <w:color w:val="auto"/>
              </w:rPr>
            </w:pPr>
          </w:p>
        </w:tc>
      </w:tr>
      <w:tr>
        <w:trPr>
          <w:trHeight w:val="37"/>
        </w:trPr>
        <w:tc>
          <w:tcPr>
            <w:tcW w:w="4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-33655</wp:posOffset>
            </wp:positionV>
            <wp:extent cx="5226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-280670</wp:posOffset>
            </wp:positionH>
            <wp:positionV relativeFrom="paragraph">
              <wp:posOffset>-7620</wp:posOffset>
            </wp:positionV>
            <wp:extent cx="5226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-280670</wp:posOffset>
            </wp:positionH>
            <wp:positionV relativeFrom="paragraph">
              <wp:posOffset>-187960</wp:posOffset>
            </wp:positionV>
            <wp:extent cx="5226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-280670</wp:posOffset>
            </wp:positionH>
            <wp:positionV relativeFrom="paragraph">
              <wp:posOffset>-779145</wp:posOffset>
            </wp:positionV>
            <wp:extent cx="5226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2605" cy="8890"/>
                    </a:xfrm>
                    <a:prstGeom prst="rect">
                      <a:avLst/>
                    </a:prstGeom>
                    <a:noFill/>
                  </pic:spPr>
                </pic:pic>
              </a:graphicData>
            </a:graphic>
          </wp:anchor>
        </w:drawing>
        <w:drawing>
          <wp:anchor simplePos="0" relativeHeight="251657728" behindDoc="1" locked="0" layoutInCell="0" allowOverlap="1">
            <wp:simplePos x="0" y="0"/>
            <wp:positionH relativeFrom="column">
              <wp:posOffset>-280670</wp:posOffset>
            </wp:positionH>
            <wp:positionV relativeFrom="paragraph">
              <wp:posOffset>-1576705</wp:posOffset>
            </wp:positionV>
            <wp:extent cx="5226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-280670</wp:posOffset>
            </wp:positionH>
            <wp:positionV relativeFrom="paragraph">
              <wp:posOffset>-1731010</wp:posOffset>
            </wp:positionV>
            <wp:extent cx="5226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-280670</wp:posOffset>
            </wp:positionH>
            <wp:positionV relativeFrom="paragraph">
              <wp:posOffset>-2493645</wp:posOffset>
            </wp:positionV>
            <wp:extent cx="5226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2605" cy="8890"/>
                    </a:xfrm>
                    <a:prstGeom prst="rect">
                      <a:avLst/>
                    </a:prstGeom>
                    <a:noFill/>
                  </pic:spPr>
                </pic:pic>
              </a:graphicData>
            </a:graphic>
          </wp:anchor>
        </w:drawing>
        <w:drawing>
          <wp:anchor simplePos="0" relativeHeight="251657728" behindDoc="1" locked="0" layoutInCell="0" allowOverlap="1">
            <wp:simplePos x="0" y="0"/>
            <wp:positionH relativeFrom="column">
              <wp:posOffset>-280670</wp:posOffset>
            </wp:positionH>
            <wp:positionV relativeFrom="paragraph">
              <wp:posOffset>-2647950</wp:posOffset>
            </wp:positionV>
            <wp:extent cx="5226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360"/>
            <w:col w:w="5160"/>
          </w:cols>
          <w:pgMar w:left="320" w:top="1036" w:right="339" w:bottom="1440" w:gutter="0" w:footer="0" w:header="0"/>
          <w:type w:val="continuous"/>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1"/>
          <w:szCs w:val="21"/>
          <w:b w:val="1"/>
          <w:bCs w:val="1"/>
          <w:color w:val="auto"/>
        </w:rPr>
        <w:t>3. Loans and allowance for loan losses, continued</w:t>
      </w:r>
    </w:p>
    <w:p>
      <w:pPr>
        <w:spacing w:after="0" w:line="200" w:lineRule="exact"/>
        <w:rPr>
          <w:sz w:val="20"/>
          <w:szCs w:val="20"/>
          <w:color w:val="auto"/>
        </w:rPr>
      </w:pPr>
    </w:p>
    <w:p>
      <w:pPr>
        <w:spacing w:after="0" w:line="236"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21"/>
          <w:szCs w:val="21"/>
          <w:color w:val="auto"/>
        </w:rPr>
        <w:t>A summary of loans in accrual and nonaccrual status at December 31, 2025 for the various classes of the Company’s residential real estate loans and consumer loans by origination year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20" w:type="dxa"/>
            <w:vAlign w:val="bottom"/>
            <w:gridSpan w:val="9"/>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Term Loans by Origination Year</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Converted to</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3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120" w:type="dxa"/>
            <w:vAlign w:val="bottom"/>
            <w:gridSpan w:val="9"/>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Term</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6"/>
                <w:szCs w:val="16"/>
                <w:color w:val="auto"/>
              </w:rPr>
            </w:pPr>
          </w:p>
        </w:tc>
        <w:tc>
          <w:tcPr>
            <w:tcW w:w="6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8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real estate:</w:t>
            </w: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Current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320" w:type="dxa"/>
            <w:vAlign w:val="bottom"/>
            <w:tcBorders>
              <w:bottom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23,410</w:t>
            </w: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30-89 days past due</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Accruing loans past due 90 days or more</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Nonaccrual</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37"/>
        </w:trPr>
        <w:tc>
          <w:tcPr>
            <w:tcW w:w="30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residential real estate</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3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24,874</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4,690</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30-89 days past due</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Accruing loans past due 90 days or more</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Nonaccrual</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18"/>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home equity lines and loans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4,807</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Recreational finance:</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4,081</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3,052</w:t>
            </w: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13,946</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30-89 days past due</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Accruing loans past due 90 days or more</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Nonaccrual</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18"/>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recreational finance</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3,077</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14,092</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Automobile:</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5,097</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30-89 days past due</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Accruing loans past due 90 days or more</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Nonaccrual</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8"/>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automobile</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5,167</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30-89 days past due</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3"/>
        </w:trPr>
        <w:tc>
          <w:tcPr>
            <w:tcW w:w="3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Accruing loans past due 90 days or more</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Nonaccrual</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8"/>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2,395</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at December 31, 2025</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14,450</w:t>
            </w:r>
          </w:p>
        </w:tc>
        <w:tc>
          <w:tcPr>
            <w:tcW w:w="3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28,808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35,268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138,702</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6528435</wp:posOffset>
            </wp:positionH>
            <wp:positionV relativeFrom="paragraph">
              <wp:posOffset>-196215</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-196215</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-196215</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-196215</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-196215</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-196215</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-196215</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-196215</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-4114165</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-4114165</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-4114165</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-4114165</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-4114165</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-4114165</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1"/>
          <w:szCs w:val="21"/>
          <w:b w:val="1"/>
          <w:bCs w:val="1"/>
          <w:color w:val="auto"/>
        </w:rPr>
        <w:t>3. Loans and allowance for loan losses,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Allowance for loan losses</w:t>
      </w:r>
    </w:p>
    <w:p>
      <w:pPr>
        <w:spacing w:after="0" w:line="1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For purposes of determining the level of the allowance for loan losses, the Company evaluates its portfolios by loan type. Changes in the allowance for loan losses and the reserve for unfunded credit commitments for the three-month periods ended March 31, 2026 and 2025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6"/>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Allowance for Loan Losses</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Reserve for</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3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520" w:type="dxa"/>
            <w:vAlign w:val="bottom"/>
            <w:gridSpan w:val="5"/>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restart"/>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80" w:type="dxa"/>
            <w:vAlign w:val="bottom"/>
          </w:tcPr>
          <w:p>
            <w:pPr>
              <w:spacing w:after="0"/>
              <w:rPr>
                <w:sz w:val="10"/>
                <w:szCs w:val="10"/>
                <w:color w:val="auto"/>
              </w:rPr>
            </w:pPr>
          </w:p>
        </w:tc>
        <w:tc>
          <w:tcPr>
            <w:tcW w:w="252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vMerge w:val="restart"/>
          </w:tcPr>
          <w:p>
            <w:pPr>
              <w:jc w:val="center"/>
              <w:ind w:right="48"/>
              <w:spacing w:after="0" w:line="160" w:lineRule="exact"/>
              <w:rPr>
                <w:sz w:val="20"/>
                <w:szCs w:val="20"/>
                <w:color w:val="auto"/>
              </w:rPr>
            </w:pPr>
            <w:r>
              <w:rPr>
                <w:rFonts w:ascii="Times New Roman" w:cs="Times New Roman" w:eastAsia="Times New Roman" w:hAnsi="Times New Roman"/>
                <w:sz w:val="14"/>
                <w:szCs w:val="14"/>
                <w:b w:val="1"/>
                <w:bCs w:val="1"/>
                <w:color w:val="auto"/>
              </w:rPr>
              <w:t>Unfunded Credit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280" w:type="dxa"/>
            <w:vAlign w:val="bottom"/>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2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Commitments (a)</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charge-offs:</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Charge-offs</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31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Recoveries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charge-offs</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230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3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2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8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2,184</w:t>
            </w: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charge-offs: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1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Charge-offs</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Recoveries</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230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3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charge-offs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54" w:lineRule="exact"/>
        <w:rPr>
          <w:sz w:val="20"/>
          <w:szCs w:val="20"/>
          <w:color w:val="auto"/>
        </w:rPr>
      </w:pPr>
    </w:p>
    <w:p>
      <w:pPr>
        <w:ind w:left="440" w:hanging="432"/>
        <w:spacing w:after="0"/>
        <w:tabs>
          <w:tab w:leader="none" w:pos="440"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Further information about unfunded credit commitments is included in note 13.</w:t>
      </w:r>
    </w:p>
    <w:p>
      <w:pPr>
        <w:spacing w:after="0" w:line="1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Despite the allocation in the preceding tables, the allowance for loan losses is general in nature and is available to absorb losses from any loan or lease type. In determining the allowance for loan losses, accruing loans with similar risk characteristics are evaluated collectively, generally through the use of statistically developed credit models or other quantitative methodologies. The statistically developed models project principal balances over the remaining contractual lives of the loan portfolios and determine estimated credit losses through a reasonable and supportable forecast period. Individual loan credit quality indicators, including loan grade and borrower repayment performance, can inform the models, which have been statistically developed based on historical correlations of credit losses with prevailing economic metrics, including unemployment, GDP and real estate prices. Model forecasts may be adjusted for inherent limitations or biases that have been identified through independent validation and back-testing of model performance to actual realized results. At each of March 31, 2026 and December 31, 2025, the Company utilized a reasonable and supportable forecast period of two years. Subsequent to this forecast period the Company reverted, ratably over a one-year period, to historical loss experience to inform its estimate of losses for the remaining contractual life of each portfolio. In determining the allowance for loan losses, the Company may adjust forecasted loss estimates for inherent limitations or biases in the models as well as for other factors that may not be adequately considered in its quantitative methodologies including the impact of portfolio concentrations, imprecision in its economic forecasts, geopolitical conditions and other risk factors that might influence its loss estimation process.</w:t>
      </w:r>
    </w:p>
    <w:p>
      <w:pPr>
        <w:spacing w:after="0" w:line="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Company also estimates losses attributable to specific troubled credits identified through both normal and targeted credit review processes. The amounts of specific loss components in the Company’s loan portfolios are determined through a loan-by-loan analysis of larger balance commercial and industrial loans and commercial real estate loans that are in nonaccrual status. Such loss estimates are typically based on expected future cash flows, collateral values and other factors that may impact the borrower’s ability to pay. To the extent that those loans are collateral-dependent, they are evaluated based on the fair value of the loan’s collateral as estimated at or near the financial statement date. As the quality of a loan deteriorates to the point of designating the loan as “criticized</w:t>
      </w:r>
    </w:p>
    <w:p>
      <w:pPr>
        <w:sectPr>
          <w:pgSz w:w="11900" w:h="16838" w:orient="portrait"/>
          <w:cols w:equalWidth="0" w:num="1">
            <w:col w:w="11240"/>
          </w:cols>
          <w:pgMar w:left="320" w:top="1036" w:right="3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1"/>
          <w:szCs w:val="21"/>
          <w:b w:val="1"/>
          <w:bCs w:val="1"/>
          <w:color w:val="auto"/>
        </w:rPr>
        <w:t>3. Loans and allowance for loan losses, continued</w:t>
      </w:r>
    </w:p>
    <w:p>
      <w:pPr>
        <w:spacing w:after="0" w:line="200" w:lineRule="exact"/>
        <w:rPr>
          <w:sz w:val="20"/>
          <w:szCs w:val="20"/>
          <w:color w:val="auto"/>
        </w:rPr>
      </w:pPr>
    </w:p>
    <w:p>
      <w:pPr>
        <w:spacing w:after="0" w:line="2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nonaccrual,”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values as determined by line of business and/or loan workout personnel. Those adjustments are reviewed and assessed for reasonableness by the Company’s credit risk personnel. Accordingly, for real estate collateral securing larger nonaccrual commercial and industrial loans and commercial real estate loans, estimated collateral values are generally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Changes in the amount of the allowance for loan losses reflect the outcome of the procedures described herein, including the impact of changes in macroeconomic forecasts as compared with previous forecasts, as well as the impact of portfolio concentrations, imprecision in economic forecasts, geopolitical conditions and other risk factors that might influence the loss estimation process.</w:t>
      </w:r>
    </w:p>
    <w:p>
      <w:pPr>
        <w:spacing w:after="0" w:line="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Information with respect to loans that were considered nonaccrual at the beginning and end of the reporting period and the interest income recognized on such loans for the three-month periods ended March 31, 2026 and 2025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Amortized Cost with</w:t>
            </w:r>
          </w:p>
        </w:tc>
        <w:tc>
          <w:tcPr>
            <w:tcW w:w="12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04"/>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without Allowance</w:t>
            </w:r>
          </w:p>
        </w:tc>
        <w:tc>
          <w:tcPr>
            <w:tcW w:w="300" w:type="dxa"/>
            <w:vAlign w:val="bottom"/>
          </w:tcPr>
          <w:p>
            <w:pPr>
              <w:spacing w:after="0"/>
              <w:rPr>
                <w:sz w:val="17"/>
                <w:szCs w:val="17"/>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Income Recognized</w:t>
            </w:r>
          </w:p>
        </w:tc>
      </w:tr>
      <w:tr>
        <w:trPr>
          <w:trHeight w:val="37"/>
        </w:trPr>
        <w:tc>
          <w:tcPr>
            <w:tcW w:w="32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158"/>
        </w:trPr>
        <w:tc>
          <w:tcPr>
            <w:tcW w:w="3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tcPr>
          <w:p>
            <w:pPr>
              <w:jc w:val="center"/>
              <w:ind w:right="208"/>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76"/>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1, 2026</w:t>
            </w:r>
          </w:p>
        </w:tc>
        <w:tc>
          <w:tcPr>
            <w:tcW w:w="280" w:type="dxa"/>
            <w:vAlign w:val="bottom"/>
          </w:tcPr>
          <w:p>
            <w:pPr>
              <w:spacing w:after="0"/>
              <w:rPr>
                <w:sz w:val="16"/>
                <w:szCs w:val="16"/>
                <w:color w:val="auto"/>
              </w:rPr>
            </w:pPr>
          </w:p>
        </w:tc>
        <w:tc>
          <w:tcPr>
            <w:tcW w:w="160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37"/>
        </w:trPr>
        <w:tc>
          <w:tcPr>
            <w:tcW w:w="32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03"/>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7"/>
        </w:trPr>
        <w:tc>
          <w:tcPr>
            <w:tcW w:w="3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10"/>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3"/>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24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3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09"/>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37"/>
        </w:trPr>
        <w:tc>
          <w:tcPr>
            <w:tcW w:w="3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1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r>
      <w:tr>
        <w:trPr>
          <w:trHeight w:val="193"/>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37"/>
        </w:trPr>
        <w:tc>
          <w:tcPr>
            <w:tcW w:w="3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09"/>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Recreational finance</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Automobile</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3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30"/>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tcPr>
          <w:p>
            <w:pPr>
              <w:spacing w:after="0"/>
              <w:rPr>
                <w:sz w:val="16"/>
                <w:szCs w:val="16"/>
                <w:color w:val="auto"/>
              </w:rPr>
            </w:pP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37"/>
        </w:trPr>
        <w:tc>
          <w:tcPr>
            <w:tcW w:w="32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0"/>
        </w:trPr>
        <w:tc>
          <w:tcPr>
            <w:tcW w:w="3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58"/>
        </w:trPr>
        <w:tc>
          <w:tcPr>
            <w:tcW w:w="3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tcPr>
          <w:p>
            <w:pPr>
              <w:jc w:val="center"/>
              <w:ind w:right="208"/>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75"/>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1, 2025</w:t>
            </w:r>
          </w:p>
        </w:tc>
        <w:tc>
          <w:tcPr>
            <w:tcW w:w="280" w:type="dxa"/>
            <w:vAlign w:val="bottom"/>
          </w:tcPr>
          <w:p>
            <w:pPr>
              <w:spacing w:after="0"/>
              <w:rPr>
                <w:sz w:val="16"/>
                <w:szCs w:val="16"/>
                <w:color w:val="auto"/>
              </w:rPr>
            </w:pPr>
          </w:p>
        </w:tc>
        <w:tc>
          <w:tcPr>
            <w:tcW w:w="160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37"/>
        </w:trPr>
        <w:tc>
          <w:tcPr>
            <w:tcW w:w="32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03"/>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7"/>
        </w:trPr>
        <w:tc>
          <w:tcPr>
            <w:tcW w:w="3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10"/>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3"/>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3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10"/>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37"/>
        </w:trPr>
        <w:tc>
          <w:tcPr>
            <w:tcW w:w="3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1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r>
      <w:tr>
        <w:trPr>
          <w:trHeight w:val="193"/>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37"/>
        </w:trPr>
        <w:tc>
          <w:tcPr>
            <w:tcW w:w="3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09"/>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Recreational finance</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Automobile</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3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29"/>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80" w:type="dxa"/>
            <w:vAlign w:val="bottom"/>
          </w:tcPr>
          <w:p>
            <w:pPr>
              <w:spacing w:after="0"/>
              <w:rPr>
                <w:sz w:val="16"/>
                <w:szCs w:val="16"/>
                <w:color w:val="auto"/>
              </w:rPr>
            </w:pP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37"/>
        </w:trPr>
        <w:tc>
          <w:tcPr>
            <w:tcW w:w="32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0"/>
        </w:trPr>
        <w:tc>
          <w:tcPr>
            <w:tcW w:w="3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-1799590</wp:posOffset>
            </wp:positionV>
            <wp:extent cx="514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-1799590</wp:posOffset>
            </wp:positionV>
            <wp:extent cx="514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-2193925</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-2167890</wp:posOffset>
            </wp:positionV>
            <wp:extent cx="514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-2193925</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-2167890</wp:posOffset>
            </wp:positionV>
            <wp:extent cx="514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-4328160</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-4328160</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1"/>
          <w:szCs w:val="21"/>
          <w:b w:val="1"/>
          <w:bCs w:val="1"/>
          <w:color w:val="auto"/>
        </w:rPr>
        <w:t>3. Loans and allowance for loan losses,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Loan modifications</w:t>
      </w:r>
    </w:p>
    <w:p>
      <w:pPr>
        <w:spacing w:after="0" w:line="11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1"/>
          <w:szCs w:val="21"/>
          <w:color w:val="auto"/>
        </w:rPr>
        <w:t>The table that follows summarizes the Company’s loan modification activities to borrowers experiencing financial difficulty for the three-month periods ended March 31, 2026 and 2025.</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 (a)</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Combination of</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Modification Types</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 Extension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Other (b)</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w:t>
            </w:r>
          </w:p>
        </w:tc>
        <w:tc>
          <w:tcPr>
            <w:tcW w:w="20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 (d) (e)</w:t>
            </w:r>
          </w:p>
        </w:tc>
        <w:tc>
          <w:tcPr>
            <w:tcW w:w="12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Loan Class</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7.86</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Residential</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Recreational finance</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Automobile</w:t>
            </w: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80" w:type="dxa"/>
            <w:vAlign w:val="bottom"/>
          </w:tcPr>
          <w:p>
            <w:pPr>
              <w:spacing w:after="0"/>
              <w:rPr>
                <w:sz w:val="16"/>
                <w:szCs w:val="16"/>
                <w:color w:val="auto"/>
              </w:rPr>
            </w:pPr>
          </w:p>
        </w:tc>
        <w:tc>
          <w:tcPr>
            <w:tcW w:w="960" w:type="dxa"/>
            <w:vAlign w:val="bottom"/>
            <w:tcBorders>
              <w:top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8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Residential</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Recreational finance</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Automobile</w:t>
            </w: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tcPr>
          <w:p>
            <w:pPr>
              <w:spacing w:after="0"/>
              <w:rPr>
                <w:sz w:val="16"/>
                <w:szCs w:val="16"/>
                <w:color w:val="auto"/>
              </w:rPr>
            </w:pPr>
          </w:p>
        </w:tc>
        <w:tc>
          <w:tcPr>
            <w:tcW w:w="960" w:type="dxa"/>
            <w:vAlign w:val="bottom"/>
            <w:tcBorders>
              <w:top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8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-2073910</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-2073910</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-2073910</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0"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As of the respective period end.</w:t>
      </w:r>
    </w:p>
    <w:p>
      <w:pPr>
        <w:spacing w:after="0" w:line="29"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Loan modifications comprised of payment deferrals or interest rate reductions.</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Primarily term extensions combined with payment deferrals or interest rate reductions.</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line="254" w:lineRule="auto"/>
        <w:tabs>
          <w:tab w:leader="none" w:pos="437"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approximately $14 million and $36 million of loans guaranteed by government-related entities (predominantly first lien residential mortgage loans) for the three-month periods ended March 31, 2026 and 2025, respectively.</w:t>
      </w:r>
    </w:p>
    <w:p>
      <w:pPr>
        <w:ind w:left="440" w:hanging="432"/>
        <w:spacing w:after="0"/>
        <w:tabs>
          <w:tab w:leader="none" w:pos="44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unfunded commitments to extend credit totaling $31 million and $9 million for the three-month periods ended March 31, 2026 and 2025, respectively.</w:t>
      </w:r>
    </w:p>
    <w:p>
      <w:pPr>
        <w:spacing w:after="0" w:line="326" w:lineRule="exact"/>
        <w:rPr>
          <w:rFonts w:ascii="Times New Roman" w:cs="Times New Roman" w:eastAsia="Times New Roman" w:hAnsi="Times New Roman"/>
          <w:sz w:val="14"/>
          <w:szCs w:val="14"/>
          <w:i w:val="1"/>
          <w:iCs w:val="1"/>
          <w:color w:val="auto"/>
        </w:rPr>
      </w:pPr>
    </w:p>
    <w:p>
      <w:pPr>
        <w:ind w:left="5540" w:hanging="111"/>
        <w:spacing w:after="0"/>
        <w:tabs>
          <w:tab w:leader="none" w:pos="5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1"/>
          <w:szCs w:val="21"/>
          <w:b w:val="1"/>
          <w:bCs w:val="1"/>
          <w:color w:val="auto"/>
        </w:rPr>
        <w:t>3. Loans and allowance for loan losses, continued</w:t>
      </w:r>
    </w:p>
    <w:p>
      <w:pPr>
        <w:spacing w:after="0" w:line="200" w:lineRule="exact"/>
        <w:rPr>
          <w:sz w:val="20"/>
          <w:szCs w:val="20"/>
          <w:color w:val="auto"/>
        </w:rPr>
      </w:pPr>
    </w:p>
    <w:p>
      <w:pPr>
        <w:spacing w:after="0" w:line="23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The financial effects of the modifications on the weighted-average remaining term of modified loans for the three-month periods ended March 31, 2026 and 2025 are summarized in the following table.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800" w:type="dxa"/>
            <w:vAlign w:val="bottom"/>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40" w:type="dxa"/>
            <w:vAlign w:val="bottom"/>
            <w:vMerge w:val="continue"/>
          </w:tcPr>
          <w:p>
            <w:pPr>
              <w:spacing w:after="0"/>
              <w:rPr>
                <w:sz w:val="16"/>
                <w:szCs w:val="16"/>
                <w:color w:val="auto"/>
              </w:rPr>
            </w:pPr>
          </w:p>
        </w:tc>
        <w:tc>
          <w:tcPr>
            <w:tcW w:w="13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3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to weighted-average remaining term</w:t>
            </w:r>
          </w:p>
        </w:tc>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44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(a)</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3"/>
        </w:trPr>
        <w:tc>
          <w:tcPr>
            <w:tcW w:w="8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54" w:lineRule="exact"/>
        <w:rPr>
          <w:sz w:val="20"/>
          <w:szCs w:val="20"/>
          <w:color w:val="auto"/>
        </w:rPr>
      </w:pPr>
    </w:p>
    <w:p>
      <w:pPr>
        <w:ind w:left="440" w:hanging="432"/>
        <w:spacing w:after="0"/>
        <w:tabs>
          <w:tab w:leader="none" w:pos="44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Inclusive of residential builder and developer loans and other commercial construction loans.</w:t>
      </w:r>
    </w:p>
    <w:p>
      <w:pPr>
        <w:spacing w:after="0" w:line="7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21"/>
          <w:szCs w:val="21"/>
          <w:color w:val="auto"/>
        </w:rPr>
        <w:t>The following table summarizes the payment status, at March 31, 2026 and 2025, of loans to borrowers experiencing financial difficulty that were modified during the twelve-month periods ended March 31, 2026 and 2025, respectively.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40" w:type="dxa"/>
            <w:vAlign w:val="bottom"/>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Amortized Cost (a)</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Past Due 90 Days or</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7"/>
                <w:szCs w:val="17"/>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30-89 Days Past Due</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More (b)</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Twelve Months Ended March 31, 2026</w:t>
            </w: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60" w:type="dxa"/>
            <w:vAlign w:val="bottom"/>
            <w:tcBorders>
              <w:top w:val="single" w:sz="8" w:color="auto"/>
            </w:tcBorders>
          </w:tcPr>
          <w:p>
            <w:pPr>
              <w:spacing w:after="0"/>
              <w:rPr>
                <w:sz w:val="4"/>
                <w:szCs w:val="4"/>
                <w:color w:val="auto"/>
              </w:rPr>
            </w:pPr>
          </w:p>
        </w:tc>
        <w:tc>
          <w:tcPr>
            <w:tcW w:w="3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Residential (c)</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Recreational finance</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Automobile</w:t>
            </w:r>
          </w:p>
        </w:tc>
        <w:tc>
          <w:tcPr>
            <w:tcW w:w="2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8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Twelve Months Ended March 31, 2025</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60" w:type="dxa"/>
            <w:vAlign w:val="bottom"/>
            <w:tcBorders>
              <w:top w:val="single" w:sz="8" w:color="auto"/>
            </w:tcBorders>
          </w:tcPr>
          <w:p>
            <w:pPr>
              <w:spacing w:after="0"/>
              <w:rPr>
                <w:sz w:val="4"/>
                <w:szCs w:val="4"/>
                <w:color w:val="auto"/>
              </w:rPr>
            </w:pPr>
          </w:p>
        </w:tc>
        <w:tc>
          <w:tcPr>
            <w:tcW w:w="3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Residential (c)</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Recreational finance</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Automobile</w:t>
            </w:r>
          </w:p>
        </w:tc>
        <w:tc>
          <w:tcPr>
            <w:tcW w:w="2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80" w:type="dxa"/>
            <w:vAlign w:val="bottom"/>
          </w:tcPr>
          <w:p>
            <w:pPr>
              <w:spacing w:after="0"/>
              <w:rPr>
                <w:sz w:val="16"/>
                <w:szCs w:val="16"/>
                <w:color w:val="auto"/>
              </w:rPr>
            </w:pPr>
          </w:p>
        </w:tc>
        <w:tc>
          <w:tcPr>
            <w:tcW w:w="46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6"/>
                <w:szCs w:val="16"/>
                <w:color w:val="auto"/>
              </w:rPr>
            </w:pPr>
          </w:p>
        </w:tc>
        <w:tc>
          <w:tcPr>
            <w:tcW w:w="1040" w:type="dxa"/>
            <w:vAlign w:val="bottom"/>
            <w:tcBorders>
              <w:top w:val="single" w:sz="8" w:color="auto"/>
            </w:tcBorders>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6"/>
                <w:szCs w:val="16"/>
                <w:color w:val="auto"/>
              </w:rPr>
            </w:pP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-2065020</wp:posOffset>
            </wp:positionV>
            <wp:extent cx="514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-2065020</wp:posOffset>
            </wp:positionV>
            <wp:extent cx="51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-2065020</wp:posOffset>
            </wp:positionV>
            <wp:extent cx="51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54" w:lineRule="exact"/>
        <w:rPr>
          <w:sz w:val="20"/>
          <w:szCs w:val="20"/>
          <w:color w:val="auto"/>
        </w:rPr>
      </w:pPr>
    </w:p>
    <w:p>
      <w:pPr>
        <w:ind w:left="480" w:hanging="472"/>
        <w:spacing w:after="0"/>
        <w:tabs>
          <w:tab w:leader="none" w:pos="48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At the respective period end.</w:t>
      </w:r>
    </w:p>
    <w:p>
      <w:pPr>
        <w:spacing w:after="0" w:line="29"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Predominantly loan modifications of term extensions or term extensions combined with interest rate reductions.</w:t>
      </w:r>
    </w:p>
    <w:p>
      <w:pPr>
        <w:spacing w:after="0" w:line="4" w:lineRule="exact"/>
        <w:rPr>
          <w:rFonts w:ascii="Times New Roman" w:cs="Times New Roman" w:eastAsia="Times New Roman" w:hAnsi="Times New Roman"/>
          <w:sz w:val="14"/>
          <w:szCs w:val="14"/>
          <w:i w:val="1"/>
          <w:iCs w:val="1"/>
          <w:color w:val="auto"/>
        </w:rPr>
      </w:pPr>
    </w:p>
    <w:p>
      <w:pPr>
        <w:ind w:left="200" w:hanging="192"/>
        <w:spacing w:after="0"/>
        <w:tabs>
          <w:tab w:leader="none" w:pos="20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loans guaranteed by government-related entities classified as 30 to 89 days past due of $31 million and $29 million and as past due 90 days or more of $51 million and $34 million at</w:t>
      </w:r>
    </w:p>
    <w:p>
      <w:pPr>
        <w:spacing w:after="0" w:line="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March 31, 2026 and 2025, respectively.</w:t>
      </w:r>
    </w:p>
    <w:p>
      <w:pPr>
        <w:spacing w:after="0" w:line="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Modified loans to borrowers experiencing financial difficulty are subject to the allowance for loan losses methodology described herein, including the use of models to inform credit loss estimates and, to the extent larger balance commercial and industrial loans and commercial real estate loans are in nonaccrual status, a loan-by-loan analysis of expected credit losses on those individual loans.</w:t>
      </w:r>
    </w:p>
    <w:p>
      <w:pPr>
        <w:sectPr>
          <w:pgSz w:w="11900" w:h="16838" w:orient="portrait"/>
          <w:cols w:equalWidth="0" w:num="1">
            <w:col w:w="11240"/>
          </w:cols>
          <w:pgMar w:left="320" w:top="1036" w:right="339" w:bottom="1440" w:gutter="0" w:footer="0" w:header="0"/>
        </w:sect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1"/>
          <w:szCs w:val="21"/>
          <w:b w:val="1"/>
          <w:bCs w:val="1"/>
          <w:color w:val="auto"/>
        </w:rPr>
        <w:t>4. Borrowings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summarizes the Company's short-term and long-term borrowings at March 31, 2026 and December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7"/>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Short-term borrowings</w:t>
            </w: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79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agreements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37"/>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Advances from FHLB</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7,800</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0" w:type="dxa"/>
            <w:vAlign w:val="bottom"/>
          </w:tcPr>
          <w:p>
            <w:pPr>
              <w:spacing w:after="0"/>
              <w:rPr>
                <w:sz w:val="1"/>
                <w:szCs w:val="1"/>
                <w:color w:val="auto"/>
              </w:rPr>
            </w:pPr>
          </w:p>
        </w:tc>
      </w:tr>
      <w:tr>
        <w:trPr>
          <w:trHeight w:val="26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short-term borrowings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borrowings</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 M&amp;T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5,583</w:t>
            </w:r>
          </w:p>
        </w:tc>
        <w:tc>
          <w:tcPr>
            <w:tcW w:w="0" w:type="dxa"/>
            <w:vAlign w:val="bottom"/>
          </w:tcPr>
          <w:p>
            <w:pPr>
              <w:spacing w:after="0"/>
              <w:rPr>
                <w:sz w:val="1"/>
                <w:szCs w:val="1"/>
                <w:color w:val="auto"/>
              </w:rPr>
            </w:pPr>
          </w:p>
        </w:tc>
      </w:tr>
      <w:tr>
        <w:trPr>
          <w:trHeight w:val="25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 M&amp;T Bank</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0" w:type="dxa"/>
            <w:vAlign w:val="bottom"/>
          </w:tcPr>
          <w:p>
            <w:pPr>
              <w:spacing w:after="0"/>
              <w:rPr>
                <w:sz w:val="1"/>
                <w:szCs w:val="1"/>
                <w:color w:val="auto"/>
              </w:rPr>
            </w:pPr>
          </w:p>
        </w:tc>
      </w:tr>
      <w:tr>
        <w:trPr>
          <w:trHeight w:val="23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Advances from FHLB</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5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notes — M&amp;T</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0" w:type="dxa"/>
            <w:vAlign w:val="bottom"/>
          </w:tcPr>
          <w:p>
            <w:pPr>
              <w:spacing w:after="0"/>
              <w:rPr>
                <w:sz w:val="1"/>
                <w:szCs w:val="1"/>
                <w:color w:val="auto"/>
              </w:rPr>
            </w:pPr>
          </w:p>
        </w:tc>
      </w:tr>
      <w:tr>
        <w:trPr>
          <w:trHeight w:val="23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Subordinated notes — M&amp;T Bank</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0" w:type="dxa"/>
            <w:vAlign w:val="bottom"/>
          </w:tcPr>
          <w:p>
            <w:pPr>
              <w:spacing w:after="0"/>
              <w:rPr>
                <w:sz w:val="1"/>
                <w:szCs w:val="1"/>
                <w:color w:val="auto"/>
              </w:rPr>
            </w:pPr>
          </w:p>
        </w:tc>
      </w:tr>
      <w:tr>
        <w:trPr>
          <w:trHeight w:val="25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Junior subordinated debentures — M&amp;T (a)</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3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Asset-backed notes (a)</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0" w:type="dxa"/>
            <w:vAlign w:val="bottom"/>
          </w:tcPr>
          <w:p>
            <w:pPr>
              <w:spacing w:after="0"/>
              <w:rPr>
                <w:sz w:val="1"/>
                <w:szCs w:val="1"/>
                <w:color w:val="auto"/>
              </w:rPr>
            </w:pPr>
          </w:p>
        </w:tc>
      </w:tr>
      <w:tr>
        <w:trPr>
          <w:trHeight w:val="25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long-term borrowings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11,175</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10,911</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54" w:lineRule="exact"/>
        <w:rPr>
          <w:sz w:val="20"/>
          <w:szCs w:val="20"/>
          <w:color w:val="auto"/>
        </w:rPr>
      </w:pPr>
    </w:p>
    <w:p>
      <w:pPr>
        <w:ind w:left="480" w:hanging="472"/>
        <w:spacing w:after="0"/>
        <w:tabs>
          <w:tab w:leader="none" w:pos="480"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Further information about Junior Subordinated Debentures and asset-backed note financing transactions is provided in note 11.</w:t>
      </w:r>
    </w:p>
    <w:p>
      <w:pPr>
        <w:spacing w:after="0" w:line="1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At March 31, 2026, M&amp;T Bank had borrowing facilities available with the FHLB of New York whereby M&amp;T Bank could borrow up to approximately $20.7 billion, of which $7.8 billion was outstanding at March 31, 2026. Additionally, M&amp;T Bank had an available line of credit with the FRB of New York totaling approximately $26.5 billion at March 31, 2026. M&amp;T Bank is required to pledge loans and investment securities as collateral for these borrowing facilities and could increase the availability under such facilities by pledging additional assets.</w:t>
      </w:r>
    </w:p>
    <w:p>
      <w:pPr>
        <w:spacing w:after="0" w:line="8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In April 2026, M&amp;T issued $500 million of subordinated notes that mature in April 2036 and pay a fixed rate of 5.295% semi-annually until April 2031 which, unless redeemed by M&amp;T at that time, will reset to the U.S. Treasury rate for a five year maturity plus 1.38% until maturity. In April and May 2026, M&amp;T Bank issued a combined $1.2 billion of senior unsecured notes that mature in April 2030 and pay a 4.548% fixed rate semi-annually until April 2029 after which SOFR plus 0.94% will be paid quarterly until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1"/>
          <w:szCs w:val="21"/>
          <w:b w:val="1"/>
          <w:bCs w:val="1"/>
          <w:color w:val="auto"/>
        </w:rPr>
        <w:t>5. Shareholders' equity</w:t>
      </w:r>
    </w:p>
    <w:p>
      <w:pPr>
        <w:spacing w:after="0" w:line="200" w:lineRule="exact"/>
        <w:rPr>
          <w:sz w:val="20"/>
          <w:szCs w:val="20"/>
          <w:color w:val="auto"/>
        </w:rPr>
      </w:pPr>
    </w:p>
    <w:p>
      <w:pPr>
        <w:spacing w:after="0" w:line="2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M&amp;T is authorized to issue 20,000,000 shares of preferred stock with a $1.00 par value per share. Preferred shares outstanding rank senior to common shares both as to dividends and liquidation preference, but have no general voting rights. Notwithstanding M&amp;T’s option to redeem the shares, if an event occurs such that the shares no longer qualify as Tier 1 capital, M&amp;T may redeem all of the shares within 90 days following that occurrence. Issued and outstanding preferred stock of M&amp;T as of March 31, 2026 and December 31, 2025 is presented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Liquidation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Earliest</w:t>
            </w:r>
          </w:p>
        </w:tc>
        <w:tc>
          <w:tcPr>
            <w:tcW w:w="660" w:type="dxa"/>
            <w:vAlign w:val="bottom"/>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7"/>
              </w:rPr>
              <w:t>Annual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80" w:type="dxa"/>
            <w:vAlign w:val="bottom"/>
            <w:gridSpan w:val="3"/>
          </w:tcPr>
          <w:p>
            <w:pPr>
              <w:ind w:left="8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Preference Per</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Issuance</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Redemption</w:t>
            </w:r>
          </w:p>
        </w:tc>
        <w:tc>
          <w:tcPr>
            <w:tcW w:w="660" w:type="dxa"/>
            <w:vAlign w:val="bottom"/>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4"/>
              </w:rPr>
              <w:t>Dividend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except per share)</w:t>
            </w:r>
          </w:p>
        </w:tc>
        <w:tc>
          <w:tcPr>
            <w:tcW w:w="2000" w:type="dxa"/>
            <w:vAlign w:val="bottom"/>
            <w:gridSpan w:val="4"/>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Issued and Outstanding</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660" w:type="dxa"/>
            <w:vAlign w:val="bottom"/>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3"/>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5"/>
              </w:rPr>
              <w:t>Carrying Amount</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Dividends Per Share</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Series</w:t>
            </w:r>
          </w:p>
        </w:tc>
        <w:tc>
          <w:tcPr>
            <w:tcW w:w="1280" w:type="dxa"/>
            <w:vAlign w:val="bottom"/>
            <w:gridSpan w:val="3"/>
          </w:tcPr>
          <w:p>
            <w:pPr>
              <w:jc w:val="right"/>
              <w:ind w:right="317"/>
              <w:spacing w:after="0" w:line="142" w:lineRule="exact"/>
              <w:rPr>
                <w:sz w:val="20"/>
                <w:szCs w:val="20"/>
                <w:color w:val="auto"/>
              </w:rPr>
            </w:pPr>
            <w:r>
              <w:rPr>
                <w:rFonts w:ascii="Times New Roman" w:cs="Times New Roman" w:eastAsia="Times New Roman" w:hAnsi="Times New Roman"/>
                <w:sz w:val="13"/>
                <w:szCs w:val="13"/>
                <w:b w:val="1"/>
                <w:bCs w:val="1"/>
                <w:color w:val="auto"/>
              </w:rPr>
              <w:t>March 31, 2026</w:t>
            </w:r>
          </w:p>
        </w:tc>
        <w:tc>
          <w:tcPr>
            <w:tcW w:w="720" w:type="dxa"/>
            <w:vAlign w:val="bottom"/>
          </w:tcPr>
          <w:p>
            <w:pPr>
              <w:jc w:val="right"/>
              <w:ind w:right="297"/>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317"/>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57"/>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320" w:type="dxa"/>
            <w:vAlign w:val="bottom"/>
            <w:tcBorders>
              <w:top w:val="single" w:sz="8" w:color="auto"/>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F (a)</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10/28/2016</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11/1/2026</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5.125</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center"/>
              <w:ind w:right="517"/>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128.13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128.13</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G (b)</w:t>
            </w:r>
          </w:p>
        </w:tc>
        <w:tc>
          <w:tcPr>
            <w:tcW w:w="1280" w:type="dxa"/>
            <w:vAlign w:val="bottom"/>
            <w:gridSpan w:val="3"/>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tcPr>
          <w:p>
            <w:pPr>
              <w:spacing w:after="0"/>
              <w:rPr>
                <w:sz w:val="15"/>
                <w:szCs w:val="15"/>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182.60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H (c)</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4/1/2022</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4/1/2027</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5.625</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0.35</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I (d)</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8/17/2021</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9/1/2026</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J (e)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5/13/2024</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6/15/2029</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187.50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187.50</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K (f)</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10/31/2025</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12/15/2030</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158.75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10,220,000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10,260,000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2,434</w:t>
            </w:r>
          </w:p>
        </w:tc>
        <w:tc>
          <w:tcPr>
            <w:tcW w:w="100" w:type="dxa"/>
            <w:vAlign w:val="bottom"/>
          </w:tcPr>
          <w:p>
            <w:pPr>
              <w:spacing w:after="0"/>
              <w:rPr>
                <w:sz w:val="16"/>
                <w:szCs w:val="16"/>
                <w:color w:val="auto"/>
              </w:rPr>
            </w:pPr>
          </w:p>
        </w:tc>
        <w:tc>
          <w:tcPr>
            <w:tcW w:w="660" w:type="dxa"/>
            <w:vAlign w:val="bottom"/>
          </w:tcPr>
          <w:p>
            <w:pPr>
              <w:jc w:val="center"/>
              <w:ind w:right="517"/>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2,834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 w:lineRule="exact"/>
        <w:rPr>
          <w:sz w:val="20"/>
          <w:szCs w:val="20"/>
          <w:color w:val="auto"/>
        </w:rPr>
      </w:pPr>
    </w:p>
    <w:p>
      <w:pPr>
        <w:ind w:left="440" w:hanging="432"/>
        <w:spacing w:after="0"/>
        <w:tabs>
          <w:tab w:leader="none" w:pos="44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Dividends, if declared, are paid semi-annually at a rate of 5.125% through October 31, 2026 and thereafter will be paid quarterly at a rate of the three-month SOFR plus 378 basis points.</w:t>
      </w:r>
    </w:p>
    <w:p>
      <w:pPr>
        <w:spacing w:after="0" w:line="11"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On February 1, 2026, M&amp;T redeemed all outstanding shares of the Series G Preferred Stock at par value.</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line="254" w:lineRule="auto"/>
        <w:tabs>
          <w:tab w:leader="none" w:pos="429"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Dividends, if declared, are paid quarterly at a rate of 5.625% through December 14, 2026 and thereafter will be paid quarterly at a rate of the three-month SOFR rate plus 428 basis points.</w:t>
      </w:r>
    </w:p>
    <w:p>
      <w:pPr>
        <w:spacing w:after="0" w:line="170" w:lineRule="exact"/>
        <w:rPr>
          <w:rFonts w:ascii="Times New Roman" w:cs="Times New Roman" w:eastAsia="Times New Roman" w:hAnsi="Times New Roman"/>
          <w:sz w:val="14"/>
          <w:szCs w:val="14"/>
          <w:i w:val="1"/>
          <w:iCs w:val="1"/>
          <w:color w:val="auto"/>
        </w:rPr>
      </w:pPr>
    </w:p>
    <w:p>
      <w:pPr>
        <w:ind w:left="440" w:right="20" w:hanging="432"/>
        <w:spacing w:after="0" w:line="259" w:lineRule="auto"/>
        <w:tabs>
          <w:tab w:leader="none" w:pos="437"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Dividends, if declared, are paid semi-annually at a rate of 3.5% through August 31, 2026. On September 1, 2026 and at each subsequent five year anniversary date therefrom the dividend rate will reset at a rate of the five-year U.S. Treasury rate plus 2.679%.</w:t>
      </w:r>
    </w:p>
    <w:p>
      <w:pPr>
        <w:ind w:left="440" w:hanging="432"/>
        <w:spacing w:after="0"/>
        <w:tabs>
          <w:tab w:leader="none" w:pos="44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Dividends, if declared, are paid quarterly at a rate of 7.5%.</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Dividends, if declared, are paid quarterly at a rate of 6.35%.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6. Revenue from contracts with customers</w:t>
      </w:r>
    </w:p>
    <w:p>
      <w:pPr>
        <w:spacing w:after="0" w:line="1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The Company generally charges customer accounts or otherwise bills customers upon completion of its services. Typically, the Company’s contracts with customers have a duration of one year or less and payment for services is received at least annually, but oftentimes more frequently as services are provided. At March 31, 2026 and December 31, 2025, the Company had $73 million and $75 million, respectively, of amounts receivable related to recognized revenue from the sources in the accompanying tables. Such amounts are included in Accrued interest and other assets in the Company's Consolidated Balance Sheet. In certain situations the Company is paid in advance of providing services and defers the recognition of revenue until its service obligation is satisfied. At March 31, 2026 and December 31, 2025, the Company had deferred revenue of $52 million and $54 million, respectively, related to the sources in the accompanying tables included in Accrued interest and other liabilities in the Company's Consolidated Balance Sheet.</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1"/>
          <w:szCs w:val="21"/>
          <w:b w:val="1"/>
          <w:bCs w:val="1"/>
          <w:color w:val="auto"/>
        </w:rPr>
        <w:t>6. Revenue from contracts with customers, continued</w:t>
      </w:r>
    </w:p>
    <w:p>
      <w:pPr>
        <w:spacing w:after="0" w:line="200" w:lineRule="exact"/>
        <w:rPr>
          <w:sz w:val="20"/>
          <w:szCs w:val="20"/>
          <w:color w:val="auto"/>
        </w:rPr>
      </w:pPr>
    </w:p>
    <w:p>
      <w:pPr>
        <w:spacing w:after="0" w:line="2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following tables summarize sources of the Company’s noninterest income during the three-month periods ended March 31, 2026 and 2025 that are subject to the revenue recognition accounting guidance.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Institutional Services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and Wealth</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 Bank</w:t>
            </w:r>
          </w:p>
        </w:tc>
        <w:tc>
          <w:tcPr>
            <w:tcW w:w="22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Retail Bank</w:t>
            </w: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Classification in Consolidated Statement of Income</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Trust income</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Brokerage services income</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revenues from operations: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Merchant discount and credit card interchange fees</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2300" w:type="dxa"/>
            <w:vAlign w:val="bottom"/>
            <w:tcBorders>
              <w:bottom w:val="single" w:sz="8" w:color="CCEEFF"/>
            </w:tcBorders>
          </w:tcPr>
          <w:p>
            <w:pPr>
              <w:spacing w:after="0"/>
              <w:rPr>
                <w:sz w:val="3"/>
                <w:szCs w:val="3"/>
                <w:color w:val="auto"/>
              </w:rPr>
            </w:pPr>
          </w:p>
        </w:tc>
        <w:tc>
          <w:tcPr>
            <w:tcW w:w="28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auto"/>
            </w:tcBorders>
            <w:shd w:val="clear" w:color="auto" w:fill="CCEEFF"/>
          </w:tcPr>
          <w:p>
            <w:pPr>
              <w:spacing w:after="0"/>
              <w:rPr>
                <w:sz w:val="4"/>
                <w:szCs w:val="4"/>
                <w:color w:val="auto"/>
              </w:rPr>
            </w:pPr>
          </w:p>
        </w:tc>
        <w:tc>
          <w:tcPr>
            <w:tcW w:w="28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Classification in Consolidated Statement of Income</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Trust income</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Brokerage services income</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revenues from operations: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Merchant discount and credit card interchange fees</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2300" w:type="dxa"/>
            <w:vAlign w:val="bottom"/>
            <w:tcBorders>
              <w:bottom w:val="single" w:sz="8" w:color="CCEEFF"/>
            </w:tcBorders>
          </w:tcPr>
          <w:p>
            <w:pPr>
              <w:spacing w:after="0"/>
              <w:rPr>
                <w:sz w:val="3"/>
                <w:szCs w:val="3"/>
                <w:color w:val="auto"/>
              </w:rPr>
            </w:pPr>
          </w:p>
        </w:tc>
        <w:tc>
          <w:tcPr>
            <w:tcW w:w="28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-33655</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-33655</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-33655</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-187960</wp:posOffset>
            </wp:positionV>
            <wp:extent cx="514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-187960</wp:posOffset>
            </wp:positionV>
            <wp:extent cx="514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-187960</wp:posOffset>
            </wp:positionV>
            <wp:extent cx="514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-1542415</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-1542415</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-1542415</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-1696720</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-1696720</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-1696720</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-2862580</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-2862580</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-2862580</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 Pension plans and other postretirement benefits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Company provides defined pension and other postretirement benefits (including health care and life insurance benefits) to eligible retired employees. Net periodic benefit for defined benefit plans consisted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80" w:type="dxa"/>
            <w:vAlign w:val="bottom"/>
          </w:tcPr>
          <w:p>
            <w:pPr>
              <w:spacing w:after="0"/>
              <w:rPr>
                <w:sz w:val="16"/>
                <w:szCs w:val="16"/>
                <w:color w:val="auto"/>
              </w:rPr>
            </w:pPr>
          </w:p>
        </w:tc>
        <w:tc>
          <w:tcPr>
            <w:tcW w:w="252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0" w:type="dxa"/>
            <w:vAlign w:val="bottom"/>
          </w:tcPr>
          <w:p>
            <w:pPr>
              <w:spacing w:after="0"/>
              <w:rPr>
                <w:sz w:val="1"/>
                <w:szCs w:val="1"/>
                <w:color w:val="auto"/>
              </w:rPr>
            </w:pPr>
          </w:p>
        </w:tc>
      </w:tr>
      <w:tr>
        <w:trPr>
          <w:trHeight w:val="37"/>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5"/>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periodic pension (benefit)/cost</w:t>
            </w: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5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 on benefit obligation</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5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credit and actuarial gains</w:t>
            </w:r>
          </w:p>
        </w:tc>
        <w:tc>
          <w:tcPr>
            <w:tcW w:w="3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55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periodic benefit</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1"/>
          <w:szCs w:val="21"/>
          <w:color w:val="auto"/>
        </w:rPr>
        <w:t>Service cost is reflected in Salaries and employee benefits and the other components of net periodic benefit cost are reflected in Other costs of operations in the Consolidated Statement of Income. Expenses incurred in connection with the Company's defined contribution pension and retirement savings plans totaled $50 million for each of the three months ended March 31, 2026 and 2025.</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1"/>
          <w:szCs w:val="21"/>
          <w:b w:val="1"/>
          <w:bCs w:val="1"/>
          <w:color w:val="auto"/>
        </w:rPr>
        <w:t>8. Earnings per common share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computations of basic earnings per common share follow.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shares in thousands)</w:t>
            </w: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Income available to common shareholders:</w:t>
            </w: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84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equity</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Income attributable to unvested stock-based compensation awards</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62"/>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620</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shares outstanding and unvested stock-based compensation awards</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149,487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164,520</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Unvested stock-based compensation awards</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262"/>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149,225</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164,209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453"/>
        </w:trPr>
        <w:tc>
          <w:tcPr>
            <w:tcW w:w="8440" w:type="dxa"/>
            <w:vAlign w:val="bottom"/>
          </w:tcPr>
          <w:p>
            <w:pPr>
              <w:spacing w:after="0"/>
              <w:rPr>
                <w:sz w:val="20"/>
                <w:szCs w:val="20"/>
                <w:color w:val="auto"/>
              </w:rPr>
            </w:pPr>
            <w:r>
              <w:rPr>
                <w:rFonts w:ascii="Times New Roman" w:cs="Times New Roman" w:eastAsia="Times New Roman" w:hAnsi="Times New Roman"/>
                <w:sz w:val="21"/>
                <w:szCs w:val="21"/>
                <w:color w:val="auto"/>
              </w:rPr>
              <w:t>The computations of diluted earnings per common share follow.</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8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shares in thousands)</w:t>
            </w: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equity</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Income attributable to unvested stock-based compensation awards</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61"/>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620</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Adjusted weighted-average shares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shares outstanding and unvested stock-based compensation awards</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149,487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164,520</w:t>
            </w:r>
          </w:p>
        </w:tc>
        <w:tc>
          <w:tcPr>
            <w:tcW w:w="0" w:type="dxa"/>
            <w:vAlign w:val="bottom"/>
          </w:tcPr>
          <w:p>
            <w:pPr>
              <w:spacing w:after="0"/>
              <w:rPr>
                <w:sz w:val="1"/>
                <w:szCs w:val="1"/>
                <w:color w:val="auto"/>
              </w:rPr>
            </w:pPr>
          </w:p>
        </w:tc>
      </w:tr>
      <w:tr>
        <w:trPr>
          <w:trHeight w:val="233"/>
        </w:trPr>
        <w:tc>
          <w:tcPr>
            <w:tcW w:w="8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Less: Unvested stock-based compensation awards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253"/>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Plus: Incremental shares from assumed conversion of stock-based compensation awards</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884</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weighted-average shares outstanding</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150,109</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165,047</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4.13</w:t>
            </w:r>
          </w:p>
        </w:tc>
        <w:tc>
          <w:tcPr>
            <w:tcW w:w="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Stock-based compensation awards to purchase common stock of M&amp;T representing common shares of 0.1 million in each of the three-month periods ended March 31, 2026 and 2025 were not included in the computations of diluted earnings per common share because the effect on those periods would have been antidilutive.</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1"/>
          <w:szCs w:val="21"/>
          <w:b w:val="1"/>
          <w:bCs w:val="1"/>
          <w:color w:val="auto"/>
        </w:rPr>
        <w:t>9. Comprehensive income</w:t>
      </w:r>
    </w:p>
    <w:p>
      <w:pPr>
        <w:spacing w:after="0" w:line="35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1"/>
          <w:szCs w:val="21"/>
          <w:color w:val="auto"/>
        </w:rPr>
        <w:t>The following table displays the components of other comprehensive income (loss) and amounts reclassified from accumulated other comprehensive income (loss) to net income during the three-month periods ended March 31, 2026 and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5"/>
                <w:szCs w:val="15"/>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60" w:type="dxa"/>
            <w:vAlign w:val="bottom"/>
          </w:tcPr>
          <w:p>
            <w:pPr>
              <w:spacing w:after="0"/>
              <w:rPr>
                <w:sz w:val="15"/>
                <w:szCs w:val="15"/>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7"/>
                <w:szCs w:val="17"/>
                <w:color w:val="auto"/>
              </w:rPr>
            </w:pPr>
          </w:p>
        </w:tc>
        <w:tc>
          <w:tcPr>
            <w:tcW w:w="8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Before Tax</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240" w:type="dxa"/>
            <w:vAlign w:val="bottom"/>
          </w:tcPr>
          <w:p>
            <w:pPr>
              <w:spacing w:after="0"/>
              <w:rPr>
                <w:sz w:val="17"/>
                <w:szCs w:val="17"/>
                <w:color w:val="auto"/>
              </w:rPr>
            </w:pPr>
          </w:p>
        </w:tc>
        <w:tc>
          <w:tcPr>
            <w:tcW w:w="7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3"/>
        </w:trPr>
        <w:tc>
          <w:tcPr>
            <w:tcW w:w="3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 January 1, 2026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372</w:t>
            </w:r>
          </w:p>
        </w:tc>
        <w:tc>
          <w:tcPr>
            <w:tcW w:w="5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8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before</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reclassifications: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holding losses, net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93"/>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Unrealized losses, net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0"/>
        </w:trPr>
        <w:tc>
          <w:tcPr>
            <w:tcW w:w="37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Total other comprehensive income (loss) before</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reclassifications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37"/>
        </w:trPr>
        <w:tc>
          <w:tcPr>
            <w:tcW w:w="37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37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Amounts reclassified from accumulated other comprehensive</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that (increase) decrease net income:</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gains realized in net income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6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(4) (a)</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yield adjustment from cash flow hedges currently in</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effect</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(5) (b)</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0"/>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prior service credit and</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actuarial gains</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6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(1) (c)</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37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91"/>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 March 31, 2026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90</w:t>
            </w:r>
          </w:p>
        </w:tc>
        <w:tc>
          <w:tcPr>
            <w:tcW w:w="3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 January 1,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5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before</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reclassifications:</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Unrealized holding gains, net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197</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gains, net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93"/>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37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37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Total other comprehensive income (loss) before</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reclassifications</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289</w:t>
            </w:r>
          </w:p>
        </w:tc>
        <w:tc>
          <w:tcPr>
            <w:tcW w:w="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60"/>
        </w:trPr>
        <w:tc>
          <w:tcPr>
            <w:tcW w:w="37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Amounts reclassified from accumulated other comprehensive</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 that (increase) decrease net income:</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yield adjustment from cash flow hedges currently in</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effect</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w:t>
            </w:r>
          </w:p>
        </w:tc>
        <w:tc>
          <w:tcPr>
            <w:tcW w:w="50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97"/>
              </w:rPr>
              <w:t>(b)</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0"/>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prior service credit and</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actuarial gains</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6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(2) (c)</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
        </w:trPr>
        <w:tc>
          <w:tcPr>
            <w:tcW w:w="37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340</w:t>
            </w:r>
          </w:p>
        </w:tc>
        <w:tc>
          <w:tcPr>
            <w:tcW w:w="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186"/>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 March 31, 2025</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32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 w:lineRule="exact"/>
        <w:rPr>
          <w:sz w:val="20"/>
          <w:szCs w:val="20"/>
          <w:color w:val="auto"/>
        </w:rPr>
      </w:pPr>
    </w:p>
    <w:p>
      <w:pPr>
        <w:ind w:left="440" w:hanging="432"/>
        <w:spacing w:after="0"/>
        <w:tabs>
          <w:tab w:leader="none" w:pos="44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Gain (loss) on bank investment securities in the Consolidated Statement of Income.</w:t>
      </w:r>
    </w:p>
    <w:p>
      <w:pPr>
        <w:spacing w:after="0" w:line="11"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Interest income in the Consolidated Statement of Income.</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Other costs of operations in the Consolidated Statement of Income.</w:t>
      </w:r>
    </w:p>
    <w:p>
      <w:pPr>
        <w:spacing w:after="0" w:line="5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21"/>
          <w:szCs w:val="21"/>
          <w:color w:val="auto"/>
        </w:rPr>
        <w:t>Accumulated other comprehensive income (loss), net during the three-month periods ended March 31, 2026 and 2025 consisted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Defined Benefit Plans</w:t>
            </w:r>
          </w:p>
        </w:tc>
        <w:tc>
          <w:tcPr>
            <w:tcW w:w="30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6"/>
                <w:szCs w:val="16"/>
                <w:color w:val="auto"/>
              </w:rPr>
            </w:pPr>
          </w:p>
        </w:tc>
        <w:tc>
          <w:tcPr>
            <w:tcW w:w="120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920" w:type="dxa"/>
            <w:vAlign w:val="bottom"/>
            <w:tcBorders>
              <w:bottom w:val="single" w:sz="8" w:color="CFF0FC"/>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03"/>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January 1, 2026</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center"/>
              <w:ind w:left="788"/>
              <w:spacing w:after="0"/>
              <w:rPr>
                <w:sz w:val="20"/>
                <w:szCs w:val="20"/>
                <w:color w:val="auto"/>
              </w:rPr>
            </w:pPr>
            <w:r>
              <w:rPr>
                <w:rFonts w:ascii="Times New Roman" w:cs="Times New Roman" w:eastAsia="Times New Roman" w:hAnsi="Times New Roman"/>
                <w:sz w:val="14"/>
                <w:szCs w:val="14"/>
                <w:color w:val="auto"/>
                <w:w w:val="97"/>
              </w:rPr>
              <w:t>(6)</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r>
      <w:tr>
        <w:trPr>
          <w:trHeight w:val="193"/>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during period</w:t>
            </w:r>
          </w:p>
        </w:tc>
        <w:tc>
          <w:tcPr>
            <w:tcW w:w="5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r>
      <w:tr>
        <w:trPr>
          <w:trHeight w:val="37"/>
        </w:trPr>
        <w:tc>
          <w:tcPr>
            <w:tcW w:w="392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 March 31, 2026</w:t>
            </w: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center"/>
              <w:ind w:left="788"/>
              <w:spacing w:after="0"/>
              <w:rPr>
                <w:sz w:val="20"/>
                <w:szCs w:val="20"/>
                <w:color w:val="auto"/>
              </w:rPr>
            </w:pPr>
            <w:r>
              <w:rPr>
                <w:rFonts w:ascii="Times New Roman" w:cs="Times New Roman" w:eastAsia="Times New Roman" w:hAnsi="Times New Roman"/>
                <w:sz w:val="14"/>
                <w:szCs w:val="14"/>
                <w:color w:val="auto"/>
                <w:w w:val="97"/>
              </w:rPr>
              <w:t>(7)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6"/>
        </w:trPr>
        <w:tc>
          <w:tcPr>
            <w:tcW w:w="3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10"/>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January 1, 2025</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center"/>
              <w:ind w:left="788"/>
              <w:spacing w:after="0"/>
              <w:rPr>
                <w:sz w:val="20"/>
                <w:szCs w:val="20"/>
                <w:color w:val="auto"/>
              </w:rPr>
            </w:pPr>
            <w:r>
              <w:rPr>
                <w:rFonts w:ascii="Times New Roman" w:cs="Times New Roman" w:eastAsia="Times New Roman" w:hAnsi="Times New Roman"/>
                <w:sz w:val="14"/>
                <w:szCs w:val="14"/>
                <w:color w:val="auto"/>
                <w:w w:val="97"/>
              </w:rPr>
              <w:t>(8)</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193"/>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gain (loss) during period</w:t>
            </w:r>
          </w:p>
        </w:tc>
        <w:tc>
          <w:tcPr>
            <w:tcW w:w="5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center"/>
              <w:ind w:left="808"/>
              <w:spacing w:after="0"/>
              <w:rPr>
                <w:sz w:val="20"/>
                <w:szCs w:val="20"/>
                <w:color w:val="auto"/>
              </w:rPr>
            </w:pPr>
            <w:r>
              <w:rPr>
                <w:rFonts w:ascii="Times New Roman" w:cs="Times New Roman" w:eastAsia="Times New Roman" w:hAnsi="Times New Roman"/>
                <w:sz w:val="14"/>
                <w:szCs w:val="14"/>
                <w:color w:val="auto"/>
                <w:w w:val="85"/>
              </w:rPr>
              <w:t>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r>
      <w:tr>
        <w:trPr>
          <w:trHeight w:val="37"/>
        </w:trPr>
        <w:tc>
          <w:tcPr>
            <w:tcW w:w="3920" w:type="dxa"/>
            <w:vAlign w:val="bottom"/>
            <w:tcBorders>
              <w:bottom w:val="single" w:sz="8" w:color="CFF0FC"/>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8"/>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March 31, 2025</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center"/>
              <w:ind w:left="788"/>
              <w:spacing w:after="0"/>
              <w:rPr>
                <w:sz w:val="20"/>
                <w:szCs w:val="20"/>
                <w:color w:val="auto"/>
              </w:rPr>
            </w:pPr>
            <w:r>
              <w:rPr>
                <w:rFonts w:ascii="Times New Roman" w:cs="Times New Roman" w:eastAsia="Times New Roman" w:hAnsi="Times New Roman"/>
                <w:sz w:val="14"/>
                <w:szCs w:val="14"/>
                <w:color w:val="auto"/>
                <w:w w:val="97"/>
              </w:rPr>
              <w:t>(7)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20"/>
        </w:trPr>
        <w:tc>
          <w:tcPr>
            <w:tcW w:w="39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6" w:right="3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1"/>
          <w:szCs w:val="21"/>
          <w:b w:val="1"/>
          <w:bCs w:val="1"/>
          <w:color w:val="auto"/>
        </w:rPr>
        <w:t>10. Derivative financial instruments</w:t>
      </w:r>
    </w:p>
    <w:p>
      <w:pPr>
        <w:spacing w:after="0" w:line="200" w:lineRule="exact"/>
        <w:rPr>
          <w:sz w:val="20"/>
          <w:szCs w:val="20"/>
          <w:color w:val="auto"/>
        </w:rPr>
      </w:pPr>
    </w:p>
    <w:p>
      <w:pPr>
        <w:spacing w:after="0" w:line="2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w:t>
      </w:r>
    </w:p>
    <w:p>
      <w:pPr>
        <w:spacing w:after="0" w:line="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Information about interest rate swap agreements entered into for interest rate risk management purposes summarized by type of financial instrument those agreements were intended to hedge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5"/>
                <w:szCs w:val="15"/>
                <w:color w:val="auto"/>
              </w:rPr>
            </w:pPr>
          </w:p>
        </w:tc>
        <w:tc>
          <w:tcPr>
            <w:tcW w:w="1480" w:type="dxa"/>
            <w:vAlign w:val="bottom"/>
            <w:gridSpan w:val="3"/>
            <w:vMerge w:val="restart"/>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vMerge w:val="restart"/>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00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80" w:type="dxa"/>
            <w:vAlign w:val="bottom"/>
          </w:tcPr>
          <w:p>
            <w:pPr>
              <w:spacing w:after="0"/>
              <w:rPr>
                <w:sz w:val="10"/>
                <w:szCs w:val="10"/>
                <w:color w:val="auto"/>
              </w:rPr>
            </w:pPr>
          </w:p>
        </w:tc>
        <w:tc>
          <w:tcPr>
            <w:tcW w:w="238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restart"/>
          </w:tcPr>
          <w:p>
            <w:pPr>
              <w:jc w:val="right"/>
              <w:ind w:right="208"/>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80" w:type="dxa"/>
            <w:vAlign w:val="bottom"/>
          </w:tcPr>
          <w:p>
            <w:pPr>
              <w:spacing w:after="0"/>
              <w:rPr>
                <w:sz w:val="16"/>
                <w:szCs w:val="16"/>
                <w:color w:val="auto"/>
              </w:rPr>
            </w:pPr>
          </w:p>
        </w:tc>
        <w:tc>
          <w:tcPr>
            <w:tcW w:w="148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12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Gain (Loss) (a)</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240" w:type="dxa"/>
            <w:vAlign w:val="bottom"/>
            <w:gridSpan w:val="2"/>
            <w:vMerge w:val="restart"/>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4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Fair value hedges:</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rate long-term borrowings (b)</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flow hedges:</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payments on variable rate commercial real estate and commercial</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52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and industrial loans (b) (c)</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25,525</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3.63</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31,625</w:t>
            </w:r>
          </w:p>
        </w:tc>
        <w:tc>
          <w:tcPr>
            <w:tcW w:w="8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Fair value hedges:</w:t>
            </w:r>
          </w:p>
        </w:tc>
        <w:tc>
          <w:tcPr>
            <w:tcW w:w="40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2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rate long-term borrowings (b) (d)</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flow hedges:</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payments on variable rate commercial real estate and commercial</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52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and industrial loans (b) (e)</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24,900</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3.63</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31,000</w:t>
            </w:r>
          </w:p>
        </w:tc>
        <w:tc>
          <w:tcPr>
            <w:tcW w:w="8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-1019810</wp:posOffset>
            </wp:positionV>
            <wp:extent cx="51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-1019810</wp:posOffset>
            </wp:positionV>
            <wp:extent cx="51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16" w:lineRule="exact"/>
        <w:rPr>
          <w:sz w:val="20"/>
          <w:szCs w:val="20"/>
          <w:color w:val="auto"/>
        </w:rPr>
      </w:pPr>
    </w:p>
    <w:p>
      <w:pPr>
        <w:jc w:val="both"/>
        <w:ind w:left="440" w:hanging="432"/>
        <w:spacing w:after="0" w:line="256" w:lineRule="auto"/>
        <w:tabs>
          <w:tab w:leader="none" w:pos="437"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Certain clearinghouse exchanges consider payments by counterparties for variation margin on derivative instruments to be settlements of those positions. The impact of such payments for interest rate swap agreements designated as fair value hedges was a net settlement of losses of $56 million and $6 million at March 31, 2026 and December 31, 2025, respectively. The impact of such payments on interest rate swap agreements designated as cash flow hedges was a net settlement of gains of $4 million and $96 million at March 31, 2026 and December 31, 2025, respectively.</w:t>
      </w:r>
    </w:p>
    <w:p>
      <w:pPr>
        <w:ind w:left="440" w:hanging="432"/>
        <w:spacing w:after="0"/>
        <w:tabs>
          <w:tab w:leader="none" w:pos="440"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Under the terms of these agreements, the Company receives settlement amounts at a fixed rate and pays at a variable rate.</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notional amount and terms of $10.5 billion of forward-starting interest rate swap agreements that become effective in 2026 and 2027.</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notional amount and terms of $1.8 billion of forward-starting interest rate swap agreements that became effective in 2026.</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notional amount and terms of $9.7 billion of forward-starting interest rate swap agreements that become effective in 2026 and 2027.</w:t>
      </w:r>
    </w:p>
    <w:p>
      <w:pPr>
        <w:spacing w:after="0" w:line="1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Company utilizes commitments to sell residential and commercial real estate loans to hedge the exposure to changes in fair value of real estate loans held for sale. Such commitments have generally been designated as fair value hedges. The Company also utilizes commitments to sell real estate loans to offset the exposure to changes in the fair value of certain commitments to originate real estate loans for sale. Changes in unrealized gains and losses as a result of such activities are included in Mortgage banking revenues in the Company's Consolidated Statement of Income and, in general, are realized in subsequent periods as the related loans are sold and commitments satisfied.</w:t>
      </w:r>
    </w:p>
    <w:p>
      <w:pPr>
        <w:spacing w:after="0" w:line="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As described in note 1, the Company elected to prospectively measure its residential mortgage loan servicing right assets at fair value. In preparation for this election, on December 31, 2025 the Company began economically hedging the risk of fair value changes in those residential mortgage loan servicing right assets through the use of various interest rate derivative contracts with a total notional value of $1.7 billion and $1.6 billion at March 31, 2026 and December 31, 2025, respectively. Changes in the fair value of such derivative contracts in 2026 are included in Mortgage banking revenues in the Company's Consolidated Statement of Income.</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Other derivative financial instruments not designated as hedging instruments included interest rate contracts, foreign exchange and other option and futures contracts. Interest rate contracts not designated as hedging instruments had notional values of $44.0 billion and $43.0 billion at March 31, 2026 and December 31, 2025, respectively. The notional amounts of foreign currency and other option and futures contracts not designated as hedging instruments aggregated $2.3 billion and $2.4 billion at March 31, 2026 and December 31, 2025, respectively.</w:t>
      </w:r>
    </w:p>
    <w:p>
      <w:pPr>
        <w:sectPr>
          <w:pgSz w:w="11900" w:h="16838" w:orient="portrait"/>
          <w:cols w:equalWidth="0" w:num="1">
            <w:col w:w="11240"/>
          </w:cols>
          <w:pgMar w:left="320" w:top="1036" w:right="3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1"/>
          <w:szCs w:val="21"/>
          <w:b w:val="1"/>
          <w:bCs w:val="1"/>
          <w:color w:val="auto"/>
        </w:rPr>
        <w:t>10. Derivative financial instruments, continued</w:t>
      </w:r>
    </w:p>
    <w:p>
      <w:pPr>
        <w:spacing w:after="0" w:line="200" w:lineRule="exact"/>
        <w:rPr>
          <w:sz w:val="20"/>
          <w:szCs w:val="20"/>
          <w:color w:val="auto"/>
        </w:rPr>
      </w:pPr>
    </w:p>
    <w:p>
      <w:pPr>
        <w:spacing w:after="0" w:line="23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Information about the fair values of derivative instruments in the Company’s Consolidated Balance Sheet and Consolidated Statement of Income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200" w:type="dxa"/>
            <w:vAlign w:val="bottom"/>
          </w:tcPr>
          <w:p>
            <w:pPr>
              <w:spacing w:after="0"/>
              <w:rPr>
                <w:sz w:val="16"/>
                <w:szCs w:val="16"/>
                <w:color w:val="auto"/>
              </w:rPr>
            </w:pPr>
          </w:p>
        </w:tc>
        <w:tc>
          <w:tcPr>
            <w:tcW w:w="2400" w:type="dxa"/>
            <w:vAlign w:val="bottom"/>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gridSpan w:val="4"/>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6"/>
                <w:szCs w:val="16"/>
                <w:color w:val="auto"/>
              </w:rPr>
            </w:pPr>
          </w:p>
        </w:tc>
        <w:tc>
          <w:tcPr>
            <w:tcW w:w="2400" w:type="dxa"/>
            <w:vAlign w:val="bottom"/>
            <w:gridSpan w:val="4"/>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5"/>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10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and qualifying as hedging instruments (a)</w:t>
            </w: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5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 agreements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3"/>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to sell real estate loans</w:t>
            </w:r>
          </w:p>
        </w:tc>
        <w:tc>
          <w:tcPr>
            <w:tcW w:w="2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3"/>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and qualifying as hedging instruments (a)</w:t>
            </w: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5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banking:</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Commitments to originate real estate loans for sale</w:t>
            </w:r>
          </w:p>
        </w:tc>
        <w:tc>
          <w:tcPr>
            <w:tcW w:w="2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Commitments to sell real estate loans</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3"/>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rate contracts (b)</w:t>
            </w:r>
          </w:p>
        </w:tc>
        <w:tc>
          <w:tcPr>
            <w:tcW w:w="2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73"/>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5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rate contracts (b)</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193"/>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Foreign exchange and other option and futures contracts</w:t>
            </w:r>
          </w:p>
        </w:tc>
        <w:tc>
          <w:tcPr>
            <w:tcW w:w="2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37"/>
        </w:trPr>
        <w:tc>
          <w:tcPr>
            <w:tcW w:w="59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186"/>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derivatives</w:t>
            </w: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16" w:lineRule="exact"/>
        <w:rPr>
          <w:sz w:val="20"/>
          <w:szCs w:val="20"/>
          <w:color w:val="auto"/>
        </w:rPr>
      </w:pPr>
    </w:p>
    <w:p>
      <w:pPr>
        <w:ind w:left="440" w:hanging="432"/>
        <w:spacing w:after="0"/>
        <w:tabs>
          <w:tab w:leader="none" w:pos="44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Asset derivatives are included in Accrued interest and other assets and liability derivatives are included in Accrued interest and other liabilities in the Consolidated Balance Sheet.</w:t>
      </w:r>
    </w:p>
    <w:p>
      <w:pPr>
        <w:spacing w:after="0" w:line="13" w:lineRule="exact"/>
        <w:rPr>
          <w:rFonts w:ascii="Times New Roman" w:cs="Times New Roman" w:eastAsia="Times New Roman" w:hAnsi="Times New Roman"/>
          <w:sz w:val="14"/>
          <w:szCs w:val="14"/>
          <w:i w:val="1"/>
          <w:iCs w:val="1"/>
          <w:color w:val="auto"/>
        </w:rPr>
      </w:pPr>
    </w:p>
    <w:p>
      <w:pPr>
        <w:ind w:left="440" w:hanging="432"/>
        <w:spacing w:after="0" w:line="283" w:lineRule="auto"/>
        <w:tabs>
          <w:tab w:leader="none" w:pos="437"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impact of variation margin payments at March 31, 2026 and December 31, 2025 was a reduction of the estimated fair value of interest rate contracts not designated as hedging instruments in an asset position of $362 million and $341 million, respectively, and in a liability position of $15 million and $32 million, respectively.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 of Gain (Loss) Recognized</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gridSpan w:val="3"/>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0" w:type="dxa"/>
            <w:vAlign w:val="bottom"/>
          </w:tcPr>
          <w:p>
            <w:pPr>
              <w:spacing w:after="0"/>
              <w:rPr>
                <w:sz w:val="1"/>
                <w:szCs w:val="1"/>
                <w:color w:val="auto"/>
              </w:rPr>
            </w:pPr>
          </w:p>
        </w:tc>
      </w:tr>
      <w:tr>
        <w:trPr>
          <w:trHeight w:val="37"/>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fair value hedging relationships</w:t>
            </w: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 agreements: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Fixed rate long-term borrowings (a)</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93</w:t>
            </w:r>
          </w:p>
        </w:tc>
        <w:tc>
          <w:tcPr>
            <w:tcW w:w="26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86"/>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1040" w:type="dxa"/>
            <w:vAlign w:val="bottom"/>
            <w:tcBorders>
              <w:top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93</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9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59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contracts (b)</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and other option and futures contracts (c)</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top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54" w:lineRule="exact"/>
        <w:rPr>
          <w:sz w:val="20"/>
          <w:szCs w:val="20"/>
          <w:color w:val="auto"/>
        </w:rPr>
      </w:pPr>
    </w:p>
    <w:p>
      <w:pPr>
        <w:ind w:left="440" w:hanging="432"/>
        <w:spacing w:after="0"/>
        <w:tabs>
          <w:tab w:leader="none" w:pos="440"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Reported as an adjustment to Interest expense in the Company's Consolidated Statement of Income.</w:t>
      </w:r>
    </w:p>
    <w:p>
      <w:pPr>
        <w:spacing w:after="0" w:line="29" w:lineRule="exact"/>
        <w:rPr>
          <w:rFonts w:ascii="Times New Roman" w:cs="Times New Roman" w:eastAsia="Times New Roman" w:hAnsi="Times New Roman"/>
          <w:sz w:val="14"/>
          <w:szCs w:val="14"/>
          <w:i w:val="1"/>
          <w:iCs w:val="1"/>
          <w:color w:val="auto"/>
        </w:rPr>
      </w:pPr>
    </w:p>
    <w:p>
      <w:pPr>
        <w:ind w:left="440" w:hanging="432"/>
        <w:spacing w:after="0" w:line="251" w:lineRule="auto"/>
        <w:tabs>
          <w:tab w:leader="none" w:pos="437"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gains of $8 million and $5 million in Trading account and other non-hedging derivative gains for the three months ended March 31, 2026 and 2025, respectively, and gains of $2 million in Mortgage banking revenues in the Company's Consolidated Statement of Income for the three months ended March 31, 2026.</w:t>
      </w:r>
    </w:p>
    <w:p>
      <w:pPr>
        <w:ind w:left="440" w:hanging="432"/>
        <w:spacing w:after="0"/>
        <w:tabs>
          <w:tab w:leader="none" w:pos="440"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Trading account and other non-hedging derivative gains in the Company's Consolidated Statement of Income.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Cumulative Amount of Fair Value Hedging</w:t>
            </w: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 Increasing (Decreasing) the</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gridSpan w:val="3"/>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Amount of the Hedged Item</w:t>
            </w:r>
          </w:p>
        </w:tc>
        <w:tc>
          <w:tcPr>
            <w:tcW w:w="2400" w:type="dxa"/>
            <w:vAlign w:val="bottom"/>
            <w:gridSpan w:val="4"/>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Amount of the Hedged Item</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12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7"/>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in the Consolidated Balance Sheet</w:t>
            </w: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5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of the Hedged Items in Fair Value Hedges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borrowings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6,072</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37"/>
        </w:trPr>
        <w:tc>
          <w:tcPr>
            <w:tcW w:w="55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6" w:right="3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1"/>
          <w:szCs w:val="21"/>
          <w:b w:val="1"/>
          <w:bCs w:val="1"/>
          <w:color w:val="auto"/>
        </w:rPr>
        <w:t>10. Derivative financial instruments, continued</w:t>
      </w:r>
    </w:p>
    <w:p>
      <w:pPr>
        <w:spacing w:after="0" w:line="200" w:lineRule="exact"/>
        <w:rPr>
          <w:sz w:val="20"/>
          <w:szCs w:val="20"/>
          <w:color w:val="auto"/>
        </w:rPr>
      </w:pPr>
    </w:p>
    <w:p>
      <w:pPr>
        <w:spacing w:after="0" w:line="2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net effect of interest rate swap agreements was to increase net interest income by $1 million and decrease net interest income by $62 million during the three-month periods ended March 31, 2026 and 2025, respectively. The amount of interest income recognized in the Company's Consolidated Statement of Income associated with derivatives designated as cash flow hedges was an increase of $5 million and a decrease of $53 million for the three-month periods ended March 31, 2026 and 2025, respectively. As of March 31, 2026, the unrealized gain recognized in other comprehensive income related to cash flow hedges was $9 million of which gains of $6 million are expected to be reclassified into earnings over the next twelve months.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Company predominantly clears non-customer derivative transactions through a clearinghouse, rather than directly with counterparties. The transactions cleared through a clearinghouse require initial margin collateral and variation margin payments depending on the contracts being in a net asset or liability position. The amount of initial margin collateral posted by the Company was $172 million and $224 million at March 31, 2026 and December 31, 2025, respectively. The fair value asset and liability amounts of derivative contracts have been reduced by variation margin payments treated as settlements as described herein. Variation margin on derivative contracts not treated as settlements continues to represent collateral posted or received by the Company.</w:t>
      </w:r>
    </w:p>
    <w:p>
      <w:pPr>
        <w:spacing w:after="0" w:line="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 Interest rate swap agreements entered into with customers are subject to the Company’s credit risk standards and may contain illiquid cross-collateral provisions with customer credit facilities. Information about master netting agreements and collateral postings related to the derivative instruments in the Company's Consolidated Balance Sheet follows.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1"/>
          <w:szCs w:val="21"/>
          <w:b w:val="1"/>
          <w:bCs w:val="1"/>
          <w:color w:val="auto"/>
        </w:rPr>
        <w:t>10. Derivative financial instruments, continued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 Amount in</w:t>
            </w:r>
          </w:p>
        </w:tc>
        <w:tc>
          <w:tcPr>
            <w:tcW w:w="200" w:type="dxa"/>
            <w:vAlign w:val="bottom"/>
          </w:tcPr>
          <w:p>
            <w:pPr>
              <w:spacing w:after="0"/>
              <w:rPr>
                <w:sz w:val="15"/>
                <w:szCs w:val="15"/>
                <w:color w:val="auto"/>
              </w:rPr>
            </w:pPr>
          </w:p>
        </w:tc>
        <w:tc>
          <w:tcPr>
            <w:tcW w:w="14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Master Netting</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restart"/>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Consolidated Balance</w:t>
            </w:r>
          </w:p>
        </w:tc>
        <w:tc>
          <w:tcPr>
            <w:tcW w:w="2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20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22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Collateral (a)</w:t>
            </w:r>
          </w:p>
        </w:tc>
        <w:tc>
          <w:tcPr>
            <w:tcW w:w="320" w:type="dxa"/>
            <w:vAlign w:val="bottom"/>
          </w:tcPr>
          <w:p>
            <w:pPr>
              <w:spacing w:after="0"/>
              <w:rPr>
                <w:sz w:val="17"/>
                <w:szCs w:val="17"/>
                <w:color w:val="auto"/>
              </w:rPr>
            </w:pPr>
          </w:p>
        </w:tc>
        <w:tc>
          <w:tcPr>
            <w:tcW w:w="12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600" w:type="dxa"/>
            <w:vAlign w:val="bottom"/>
            <w:gridSpan w:val="2"/>
            <w:vMerge w:val="restart"/>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3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5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Clearinghouse settlements (b)</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CCEEFF"/>
            </w:tcBorders>
            <w:gridSpan w:val="2"/>
            <w:shd w:val="clear" w:color="auto" w:fill="CCEEFF"/>
          </w:tcPr>
          <w:p>
            <w:pPr>
              <w:jc w:val="center"/>
              <w:ind w:left="86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Subject to master netting agreements</w:t>
            </w: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left="988"/>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5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subject to master netting agreements (c)</w:t>
            </w:r>
          </w:p>
        </w:tc>
        <w:tc>
          <w:tcPr>
            <w:tcW w:w="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center"/>
              <w:ind w:left="86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center"/>
              <w:ind w:left="988"/>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45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Clearinghouse settlements (b)</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jc w:val="center"/>
              <w:ind w:left="86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5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Subject to master netting agreements</w:t>
            </w: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center"/>
              <w:ind w:left="988"/>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subject to master netting agreements (c)</w:t>
            </w: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left="86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4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center"/>
              <w:ind w:left="988"/>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3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5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Clearinghouse settlements (b)</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CCEEFF"/>
            </w:tcBorders>
            <w:gridSpan w:val="2"/>
            <w:shd w:val="clear" w:color="auto" w:fill="CCEEFF"/>
          </w:tcPr>
          <w:p>
            <w:pPr>
              <w:jc w:val="center"/>
              <w:ind w:left="86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Subject to master netting agreements</w:t>
            </w: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left="988"/>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5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subject to master netting agreements (c)</w:t>
            </w:r>
          </w:p>
        </w:tc>
        <w:tc>
          <w:tcPr>
            <w:tcW w:w="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center"/>
              <w:ind w:left="86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center"/>
              <w:ind w:left="988"/>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45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Clearinghouse settlements (b)</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jc w:val="center"/>
              <w:ind w:left="86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5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Subject to master netting agreements</w:t>
            </w: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center"/>
              <w:ind w:left="988"/>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subject to master netting agreements (c)</w:t>
            </w: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left="86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4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center"/>
              <w:ind w:left="988"/>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0" w:lineRule="exact"/>
        <w:rPr>
          <w:sz w:val="20"/>
          <w:szCs w:val="20"/>
          <w:color w:val="auto"/>
        </w:rPr>
      </w:pPr>
    </w:p>
    <w:p>
      <w:pPr>
        <w:ind w:left="440" w:hanging="432"/>
        <w:spacing w:after="0"/>
        <w:tabs>
          <w:tab w:leader="none" w:pos="440"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Collateral column only includes posting of cash and investment securities and excludes initial margin amounts posted to clearinghouses.</w:t>
      </w:r>
    </w:p>
    <w:p>
      <w:pPr>
        <w:spacing w:after="0" w:line="29"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fair value of derivative assets and derivative liabilities subject to clearinghouse settlements are presented net of the variation margin payments in the Consolidated Balance Sheet.</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fair value of derivative assets and derivative liabilities not subject to master netting agreements predominantly relate to transactions with commercial customers.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Variable interest entities and asset securitizations</w:t>
      </w:r>
    </w:p>
    <w:p>
      <w:pPr>
        <w:spacing w:after="0" w:line="1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The Company’s securitization activities include securitizing loans originated for sale into government-issued or guaranteed mortgage-backed securities. Additionally, M&amp;T Bank and its subsidiaries have issued asset-backed notes secured by equipment finance loans and leases, automobile loans or recreational finance loans. Those loans and leases were sold into special purpose trusts which in turn issued asset-backed notes to investors. The loans and leases continue to be serviced by the Company. The senior-most notes in those securitizations were purchased by third parties whereas the residual interests of the trusts were retained by the Company. As a result of the retention of the residual interests and its continued role as servicer of the loans and leases, the Company is considered to be the primary beneficiary of the securitization trusts and, accordingly, the trusts have been included in the Company's consolidated financial statements. Assets held in each special purpose trust may only be used to settle the respective obligations of the asset-backed notes issued by that trust and the holders of the asset-backed notes have no recourse to the Company. The outstanding balances of those asset-backed notes issued to third party investors are included in Long-term borrowings in the Company's Consolidated Balance Sheet.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1"/>
          <w:szCs w:val="21"/>
          <w:b w:val="1"/>
          <w:bCs w:val="1"/>
          <w:color w:val="auto"/>
        </w:rPr>
        <w:t>11. Variable interest entities and asset securitizations, continued</w:t>
      </w:r>
    </w:p>
    <w:p>
      <w:pPr>
        <w:spacing w:after="0" w:line="200" w:lineRule="exact"/>
        <w:rPr>
          <w:sz w:val="20"/>
          <w:szCs w:val="20"/>
          <w:color w:val="auto"/>
        </w:rPr>
      </w:pPr>
    </w:p>
    <w:p>
      <w:pPr>
        <w:spacing w:after="0" w:line="3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Information about the asset-backed notes issued to investors and the respective special purpose trust at March 31, 2026 and December 31, 2025 are included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7"/>
        </w:trPr>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Loan</w:t>
            </w:r>
          </w:p>
        </w:tc>
        <w:tc>
          <w:tcPr>
            <w:tcW w:w="100" w:type="dxa"/>
            <w:vAlign w:val="bottom"/>
          </w:tcPr>
          <w:p>
            <w:pPr>
              <w:spacing w:after="0"/>
              <w:rPr>
                <w:sz w:val="14"/>
                <w:szCs w:val="14"/>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Asset-Backed</w:t>
            </w:r>
          </w:p>
        </w:tc>
        <w:tc>
          <w:tcPr>
            <w:tcW w:w="8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Loan</w:t>
            </w:r>
          </w:p>
        </w:tc>
        <w:tc>
          <w:tcPr>
            <w:tcW w:w="100" w:type="dxa"/>
            <w:vAlign w:val="bottom"/>
          </w:tcPr>
          <w:p>
            <w:pPr>
              <w:spacing w:after="0"/>
              <w:rPr>
                <w:sz w:val="14"/>
                <w:szCs w:val="14"/>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Asset-Backed</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00" w:type="dxa"/>
            <w:vAlign w:val="bottom"/>
          </w:tcPr>
          <w:p>
            <w:pPr>
              <w:spacing w:after="0"/>
              <w:rPr>
                <w:sz w:val="14"/>
                <w:szCs w:val="14"/>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Notes to</w:t>
            </w:r>
          </w:p>
        </w:tc>
        <w:tc>
          <w:tcPr>
            <w:tcW w:w="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 Life (In</w:t>
            </w: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00" w:type="dxa"/>
            <w:vAlign w:val="bottom"/>
          </w:tcPr>
          <w:p>
            <w:pPr>
              <w:spacing w:after="0"/>
              <w:rPr>
                <w:sz w:val="14"/>
                <w:szCs w:val="14"/>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Notes to</w:t>
            </w:r>
          </w:p>
        </w:tc>
        <w:tc>
          <w:tcPr>
            <w:tcW w:w="0" w:type="dxa"/>
            <w:vAlign w:val="bottom"/>
          </w:tcPr>
          <w:p>
            <w:pPr>
              <w:spacing w:after="0"/>
              <w:rPr>
                <w:sz w:val="1"/>
                <w:szCs w:val="1"/>
                <w:color w:val="auto"/>
              </w:rPr>
            </w:pPr>
          </w:p>
        </w:tc>
      </w:tr>
      <w:tr>
        <w:trPr>
          <w:trHeight w:val="190"/>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246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Collateral Type</w:t>
            </w: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Investors</w:t>
            </w:r>
          </w:p>
        </w:tc>
        <w:tc>
          <w:tcPr>
            <w:tcW w:w="80" w:type="dxa"/>
            <w:vAlign w:val="bottom"/>
          </w:tcPr>
          <w:p>
            <w:pPr>
              <w:spacing w:after="0"/>
              <w:rPr>
                <w:sz w:val="16"/>
                <w:szCs w:val="16"/>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3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6"/>
                <w:szCs w:val="16"/>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Investors</w:t>
            </w:r>
          </w:p>
        </w:tc>
        <w:tc>
          <w:tcPr>
            <w:tcW w:w="0" w:type="dxa"/>
            <w:vAlign w:val="bottom"/>
          </w:tcPr>
          <w:p>
            <w:pPr>
              <w:spacing w:after="0"/>
              <w:rPr>
                <w:sz w:val="1"/>
                <w:szCs w:val="1"/>
                <w:color w:val="auto"/>
              </w:rPr>
            </w:pPr>
          </w:p>
        </w:tc>
      </w:tr>
      <w:tr>
        <w:trPr>
          <w:trHeight w:val="37"/>
        </w:trPr>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August 2023</w:t>
            </w: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 finance loans and leases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5.74 %</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9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March 2024</w:t>
            </w: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Automobile loans</w:t>
            </w: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2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5.20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37"/>
        </w:trPr>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August 2024</w:t>
            </w: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 finance loans and leases</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4.84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19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2025</w:t>
            </w: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Automobile loans</w:t>
            </w: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2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4.68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37"/>
        </w:trPr>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May 2025</w:t>
            </w: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 finance loans and leases</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19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2026</w:t>
            </w: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Recreational finance loans</w:t>
            </w: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12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4.35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5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3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M&amp;T has issued Junior Subordinated Debentures payable to various trusts that have issued Preferred Capital Securities and Common Securities. M&amp;T owns the Common Securities of those trust entities. The Company is not considered to be the primary beneficiary of those entities and, accordingly, the trusts are not included in the Company’s consolidated financial statements. At each of March 31, 2026 and December 31, 2025, the Company included the Junior Subordinated Debentures in Long-term borrowings in the Company's Consolidated Balance Sheet and recognized $16 million in Accrued interest and other assets for its “investment” in the Common Securities of the trusts that will be concomitantly repaid to M&amp;T by the respective trust from the proceeds of M&amp;T’s repayment of the Junior Subordinated Debentures associated with the Preferred Capital Securities.</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Company has invested as a limited partner in various partnerships that collectively had total assets of approximately $10.9 billion and $10.7 billion at March 31, 2026 and December 31, 2025, respectively. Those partnerships generally construct or acquire properties, including properties and facilities that produce renewable energy,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The Company, in its position as a limited partner, does not direct the activities that most significantly impact the economic performance of the partnerships and, therefore, the partnership entities are not included in the Company's consolidated financial statements. Information on the Company's carrying amount of its investments in tax equity partnerships and its related future funding commitments are presented in the following table.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Pr>
          <w:p>
            <w:pPr>
              <w:spacing w:after="0"/>
              <w:rPr>
                <w:sz w:val="16"/>
                <w:szCs w:val="16"/>
                <w:color w:val="auto"/>
              </w:rPr>
            </w:pP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Pr>
          <w:p>
            <w:pPr>
              <w:spacing w:after="0"/>
              <w:rPr>
                <w:sz w:val="16"/>
                <w:szCs w:val="16"/>
                <w:color w:val="auto"/>
              </w:rPr>
            </w:pPr>
          </w:p>
        </w:tc>
        <w:tc>
          <w:tcPr>
            <w:tcW w:w="17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7"/>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Affordable housing projects:</w:t>
            </w:r>
          </w:p>
        </w:tc>
        <w:tc>
          <w:tcPr>
            <w:tcW w:w="3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6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Carrying amount (a)</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0" w:type="dxa"/>
            <w:vAlign w:val="bottom"/>
          </w:tcPr>
          <w:p>
            <w:pPr>
              <w:spacing w:after="0"/>
              <w:rPr>
                <w:sz w:val="1"/>
                <w:szCs w:val="1"/>
                <w:color w:val="auto"/>
              </w:rPr>
            </w:pPr>
          </w:p>
        </w:tc>
      </w:tr>
      <w:tr>
        <w:trPr>
          <w:trHeight w:val="193"/>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Amount of future funding commitments included in carrying amount (b)</w:t>
            </w:r>
          </w:p>
        </w:tc>
        <w:tc>
          <w:tcPr>
            <w:tcW w:w="3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0" w:type="dxa"/>
            <w:vAlign w:val="bottom"/>
          </w:tcPr>
          <w:p>
            <w:pPr>
              <w:spacing w:after="0"/>
              <w:rPr>
                <w:sz w:val="1"/>
                <w:szCs w:val="1"/>
                <w:color w:val="auto"/>
              </w:rPr>
            </w:pPr>
          </w:p>
        </w:tc>
      </w:tr>
      <w:tr>
        <w:trPr>
          <w:trHeight w:val="37"/>
        </w:trPr>
        <w:tc>
          <w:tcPr>
            <w:tcW w:w="6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Contingent commitments</w:t>
            </w:r>
          </w:p>
        </w:tc>
        <w:tc>
          <w:tcPr>
            <w:tcW w:w="3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93"/>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Renewable energy:</w:t>
            </w:r>
          </w:p>
        </w:tc>
        <w:tc>
          <w:tcPr>
            <w:tcW w:w="3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Carrying amount (a)</w:t>
            </w:r>
          </w:p>
        </w:tc>
        <w:tc>
          <w:tcPr>
            <w:tcW w:w="3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93"/>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Amount of future funding commitments included in carrying amount (b)</w:t>
            </w:r>
          </w:p>
        </w:tc>
        <w:tc>
          <w:tcPr>
            <w:tcW w:w="3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37"/>
        </w:trPr>
        <w:tc>
          <w:tcPr>
            <w:tcW w:w="6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Carrying amount (a)</w:t>
            </w:r>
          </w:p>
        </w:tc>
        <w:tc>
          <w:tcPr>
            <w:tcW w:w="3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37"/>
        </w:trPr>
        <w:tc>
          <w:tcPr>
            <w:tcW w:w="6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Amount of future funding commitments included in carrying amount (b)</w:t>
            </w:r>
          </w:p>
        </w:tc>
        <w:tc>
          <w:tcPr>
            <w:tcW w:w="32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69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16" w:lineRule="exact"/>
        <w:rPr>
          <w:sz w:val="20"/>
          <w:szCs w:val="20"/>
          <w:color w:val="auto"/>
        </w:rPr>
      </w:pPr>
    </w:p>
    <w:p>
      <w:pPr>
        <w:ind w:left="440" w:hanging="432"/>
        <w:spacing w:after="0"/>
        <w:tabs>
          <w:tab w:leader="none" w:pos="440"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Accrued interest and other assets in the Company's Consolidated Balance Sheet.</w:t>
      </w:r>
    </w:p>
    <w:p>
      <w:pPr>
        <w:spacing w:after="0" w:line="13"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Accrued interest and other liabilities in the Company's Consolidated Balance Sheet.</w:t>
      </w:r>
    </w:p>
    <w:p>
      <w:pPr>
        <w:spacing w:after="0" w:line="200" w:lineRule="exact"/>
        <w:rPr>
          <w:rFonts w:ascii="Times New Roman" w:cs="Times New Roman" w:eastAsia="Times New Roman" w:hAnsi="Times New Roman"/>
          <w:sz w:val="14"/>
          <w:szCs w:val="14"/>
          <w:i w:val="1"/>
          <w:iCs w:val="1"/>
          <w:color w:val="auto"/>
        </w:rPr>
      </w:pPr>
    </w:p>
    <w:p>
      <w:pPr>
        <w:spacing w:after="0" w:line="200" w:lineRule="exact"/>
        <w:rPr>
          <w:rFonts w:ascii="Times New Roman" w:cs="Times New Roman" w:eastAsia="Times New Roman" w:hAnsi="Times New Roman"/>
          <w:sz w:val="14"/>
          <w:szCs w:val="14"/>
          <w:i w:val="1"/>
          <w:iCs w:val="1"/>
          <w:color w:val="auto"/>
        </w:rPr>
      </w:pPr>
    </w:p>
    <w:p>
      <w:pPr>
        <w:spacing w:after="0" w:line="281" w:lineRule="exact"/>
        <w:rPr>
          <w:rFonts w:ascii="Times New Roman" w:cs="Times New Roman" w:eastAsia="Times New Roman" w:hAnsi="Times New Roman"/>
          <w:sz w:val="14"/>
          <w:szCs w:val="14"/>
          <w:i w:val="1"/>
          <w:iCs w:val="1"/>
          <w:color w:val="auto"/>
        </w:rPr>
      </w:pPr>
    </w:p>
    <w:p>
      <w:pPr>
        <w:ind w:left="5540" w:hanging="111"/>
        <w:spacing w:after="0"/>
        <w:tabs>
          <w:tab w:leader="none" w:pos="5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1"/>
          <w:szCs w:val="21"/>
          <w:b w:val="1"/>
          <w:bCs w:val="1"/>
          <w:color w:val="auto"/>
        </w:rPr>
        <w:t>11. Variable interest entities and asset securitizations, continued</w:t>
      </w:r>
    </w:p>
    <w:p>
      <w:pPr>
        <w:spacing w:after="0" w:line="200" w:lineRule="exact"/>
        <w:rPr>
          <w:sz w:val="20"/>
          <w:szCs w:val="20"/>
          <w:color w:val="auto"/>
        </w:rPr>
      </w:pPr>
    </w:p>
    <w:p>
      <w:pPr>
        <w:spacing w:after="0" w:line="3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reduction to income tax expense recognized from the Company's investments in partnerships accounted for using the proportional amortization method was $16 million (net of $49 million of investment amortization) and $9 million (net of $44 million of investment amortization) for the three months ended March 31, 2026 and 2025, respectively. The net reduction to income tax expense has been reported in Net change in other accrued income and expense in the Consolidated Statement of Cash Flows. While the Company has elected to apply the proportional amortization method for renewable energy credit investments, at March 31, 2026 no such investments met the eligibility criteria for application of that method. The reduction to income tax expense recognized from renewable energy credit investments was $6 million for each of the three months ended March 31, 2026 and 2025.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 has not provided financial or other support to the partnerships that was not contractually required. Although the Company currently estimates that no material losses are probable, its maximum exposure to loss from its investments in such partnerships as of March 31, 2026 was $2.3 billion, including possible recapture of certain tax credits.</w:t>
      </w:r>
    </w:p>
    <w:p>
      <w:pPr>
        <w:spacing w:after="0" w:line="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Company serves as investment advisor for certain registered money-market funds. The Company has no explicit arrangement to provide support to those funds, but may waive portions of its allowable management fees as a result of market conditions.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w:t>
      </w:r>
    </w:p>
    <w:p>
      <w:pPr>
        <w:spacing w:after="0" w:line="1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GAAP permits an entity to choose to measure eligible financial instruments and other items at fair value. Effective January 1, 2026 the Company has elected to account for its residential mortgage loan servicing right assets at fair value. Further information about this election is included in note 1. The Company has not made any other fair value elections at March 31, 2026.</w:t>
      </w:r>
    </w:p>
    <w:p>
      <w:pPr>
        <w:spacing w:after="0" w:line="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60" w:lineRule="exact"/>
        <w:rPr>
          <w:sz w:val="20"/>
          <w:szCs w:val="20"/>
          <w:color w:val="auto"/>
        </w:rPr>
      </w:pPr>
    </w:p>
    <w:p>
      <w:pPr>
        <w:ind w:left="880" w:hanging="431"/>
        <w:spacing w:after="0"/>
        <w:tabs>
          <w:tab w:leader="none" w:pos="88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1 — Valuation is based on quoted prices in active markets for identical assets and liabilities.</w:t>
      </w:r>
    </w:p>
    <w:p>
      <w:pPr>
        <w:spacing w:after="0" w:line="123" w:lineRule="exact"/>
        <w:rPr>
          <w:rFonts w:ascii="Times New Roman" w:cs="Times New Roman" w:eastAsia="Times New Roman" w:hAnsi="Times New Roman"/>
          <w:sz w:val="21"/>
          <w:szCs w:val="21"/>
          <w:color w:val="auto"/>
        </w:rPr>
      </w:pPr>
    </w:p>
    <w:p>
      <w:pPr>
        <w:jc w:val="both"/>
        <w:ind w:left="880" w:hanging="431"/>
        <w:spacing w:after="0" w:line="255" w:lineRule="auto"/>
        <w:tabs>
          <w:tab w:leader="none" w:pos="876"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80" w:lineRule="exact"/>
        <w:rPr>
          <w:rFonts w:ascii="Times New Roman" w:cs="Times New Roman" w:eastAsia="Times New Roman" w:hAnsi="Times New Roman"/>
          <w:sz w:val="21"/>
          <w:szCs w:val="21"/>
          <w:color w:val="auto"/>
        </w:rPr>
      </w:pPr>
    </w:p>
    <w:p>
      <w:pPr>
        <w:jc w:val="both"/>
        <w:ind w:left="880" w:right="20" w:hanging="431"/>
        <w:spacing w:after="0" w:line="262" w:lineRule="auto"/>
        <w:tabs>
          <w:tab w:leader="none" w:pos="876"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A description of the valuation methodologies used for the Company's assets and liabilities that are measured at fair value on a recurring basis and on a nonrecurring basis is included in notes 1 and 19 of Notes to Financial Statements in M&amp;T's 2025 Annual Report.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Recurring fair value measurements</w:t>
      </w:r>
    </w:p>
    <w:p>
      <w:pPr>
        <w:spacing w:after="0" w:line="60"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1"/>
          <w:szCs w:val="21"/>
          <w:color w:val="auto"/>
        </w:rPr>
        <w:t>The following tables present assets and liabilities at March 31, 2026 and December 31, 2025 measured at fair value on a recurring basis.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Measurements</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0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account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securities available for sale:</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Treasury</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4,782</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17,205</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3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investment securities available for sale</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25,228</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25,228</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loans held for sale</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Residential mortgage loan servicing rights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27,046</w:t>
            </w:r>
          </w:p>
        </w:tc>
        <w:tc>
          <w:tcPr>
            <w:tcW w:w="80" w:type="dxa"/>
            <w:vAlign w:val="bottom"/>
          </w:tcPr>
          <w:p>
            <w:pPr>
              <w:spacing w:after="0"/>
              <w:rPr>
                <w:sz w:val="16"/>
                <w:szCs w:val="16"/>
                <w:color w:val="auto"/>
              </w:rPr>
            </w:pPr>
          </w:p>
        </w:tc>
        <w:tc>
          <w:tcPr>
            <w:tcW w:w="980" w:type="dxa"/>
            <w:vAlign w:val="bottom"/>
            <w:tcBorders>
              <w:top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26,209</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tcPr>
          <w:p>
            <w:pPr>
              <w:spacing w:after="0"/>
              <w:rPr>
                <w:sz w:val="16"/>
                <w:szCs w:val="16"/>
                <w:color w:val="auto"/>
              </w:rPr>
            </w:pPr>
          </w:p>
        </w:tc>
        <w:tc>
          <w:tcPr>
            <w:tcW w:w="980" w:type="dxa"/>
            <w:vAlign w:val="bottom"/>
            <w:tcBorders>
              <w:top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account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securities available for sale:</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Treasury</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6,343</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Government issued or guaranteed:</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12,042</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3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investment securities available for sale</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23,202</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23,202</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loans held for sale</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3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24,750</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24,454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5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5540" w:type="dxa"/>
            <w:vAlign w:val="bottom"/>
            <w:gridSpan w:val="3"/>
            <w:vMerge w:val="continue"/>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tcPr>
          <w:p>
            <w:pPr>
              <w:spacing w:after="0"/>
              <w:rPr>
                <w:sz w:val="14"/>
                <w:szCs w:val="14"/>
                <w:color w:val="auto"/>
              </w:rPr>
            </w:pPr>
          </w:p>
        </w:tc>
        <w:tc>
          <w:tcPr>
            <w:tcW w:w="98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3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The changes in fair value of residential mortgage loans servicing right assets for the three months ended March 31, 2026 are presented in the following table.</w:t>
      </w:r>
    </w:p>
    <w:p>
      <w:pPr>
        <w:sectPr>
          <w:pgSz w:w="11900" w:h="16838" w:orient="portrait"/>
          <w:cols w:equalWidth="0" w:num="1">
            <w:col w:w="11240"/>
          </w:cols>
          <w:pgMar w:left="320" w:top="928" w:right="339" w:bottom="1440" w:gutter="0" w:footer="0" w:header="0"/>
        </w:sect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December 31, 2025 — at amortized cost</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January 1, 2026 - fair value accounting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Additions</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Changes in fair value included in Mortgage banking revenues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March 31, 2026 — at fair value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54" w:lineRule="exact"/>
        <w:rPr>
          <w:sz w:val="20"/>
          <w:szCs w:val="20"/>
          <w:color w:val="auto"/>
        </w:rPr>
      </w:pPr>
    </w:p>
    <w:p>
      <w:pPr>
        <w:ind w:left="440" w:hanging="432"/>
        <w:spacing w:after="0"/>
        <w:tabs>
          <w:tab w:leader="none" w:pos="44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a $17 million reduction in fair value attributable to the realization of expected net servicing cash flows over time.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Residential Mortgage Loan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Servicing Rights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140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6"/>
        </w:trPr>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r>
      <w:tr>
        <w:trPr>
          <w:trHeight w:val="230"/>
        </w:trPr>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r>
      <w:tr>
        <w:trPr>
          <w:trHeight w:val="229"/>
        </w:trPr>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30"/>
        </w:trPr>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37"/>
        </w:trPr>
        <w:tc>
          <w:tcPr>
            <w:tcW w:w="3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186"/>
        </w:trPr>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r>
      <w:tr>
        <w:trPr>
          <w:trHeight w:val="37"/>
        </w:trPr>
        <w:tc>
          <w:tcPr>
            <w:tcW w:w="3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606" w:lineRule="exact"/>
        <w:rPr>
          <w:sz w:val="20"/>
          <w:szCs w:val="20"/>
          <w:color w:val="auto"/>
        </w:rPr>
      </w:pPr>
    </w:p>
    <w:p>
      <w:pPr>
        <w:sectPr>
          <w:pgSz w:w="11900" w:h="16838" w:orient="portrait"/>
          <w:cols w:equalWidth="0" w:num="2">
            <w:col w:w="8780" w:space="720"/>
            <w:col w:w="1740"/>
          </w:cols>
          <w:pgMar w:left="320" w:top="928" w:right="339" w:bottom="1440" w:gutter="0" w:footer="0" w:header="0"/>
          <w:type w:val="continuous"/>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200" w:lineRule="exact"/>
        <w:rPr>
          <w:sz w:val="20"/>
          <w:szCs w:val="20"/>
          <w:color w:val="auto"/>
        </w:rPr>
      </w:pPr>
    </w:p>
    <w:p>
      <w:pPr>
        <w:spacing w:after="0" w:line="3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Significant unobservable inputs used in the fair value measurement of residential mortgage loan servicing right assets vary by loan type and included prepayment assumptions and an OAS over market implied forward SOFR to determine an appropriate discount rate. An increase (decrease) in the prepayment speed and OAS each would generally result in a lower (higher) fair value measurement of residential mortgage loan servicing rights. The key economic assumptions used to determine the fair value of residential capitalized servicing rights at March 31, 2026 and the sensitivity of such value to changes in those assumptions are summarized in the table that follows. Those calculated sensitivities are hypothetical and actual changes in the fair value of capitalized servicing rights may differ significantly from the amounts presented herein. The effect of a variation in a particular assumption on the fair value of the servicing rights is calculated without changing any other assumption. In reality, changes in one factor may result in changes in another which may magnify or counteract the sensitivities. The changes in assumptions are presumed to be instantaneous.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7"/>
        </w:trPr>
        <w:tc>
          <w:tcPr>
            <w:tcW w:w="6720" w:type="dxa"/>
            <w:vAlign w:val="bottom"/>
          </w:tcPr>
          <w:p>
            <w:pPr>
              <w:spacing w:after="0"/>
              <w:rPr>
                <w:sz w:val="3"/>
                <w:szCs w:val="3"/>
                <w:color w:val="auto"/>
              </w:rPr>
            </w:pPr>
          </w:p>
        </w:tc>
        <w:tc>
          <w:tcPr>
            <w:tcW w:w="36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prepayment speeds (range 6% - 17%)</w:t>
            </w:r>
          </w:p>
        </w:tc>
        <w:tc>
          <w:tcPr>
            <w:tcW w:w="3600" w:type="dxa"/>
            <w:vAlign w:val="bottom"/>
            <w:shd w:val="clear" w:color="auto" w:fill="CCEEFF"/>
          </w:tcPr>
          <w:p>
            <w:pPr>
              <w:spacing w:after="0"/>
              <w:rPr>
                <w:sz w:val="21"/>
                <w:szCs w:val="21"/>
                <w:color w:val="auto"/>
              </w:rPr>
            </w:pPr>
          </w:p>
        </w:tc>
        <w:tc>
          <w:tcPr>
            <w:tcW w:w="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7.44%</w:t>
            </w:r>
          </w:p>
        </w:tc>
      </w:tr>
      <w:tr>
        <w:trPr>
          <w:trHeight w:val="233"/>
        </w:trPr>
        <w:tc>
          <w:tcPr>
            <w:tcW w:w="6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Impact on fair value of 10% adverse change</w:t>
            </w:r>
          </w:p>
        </w:tc>
        <w:tc>
          <w:tcPr>
            <w:tcW w:w="360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(16)</w:t>
            </w:r>
          </w:p>
        </w:tc>
      </w:tr>
      <w:tr>
        <w:trPr>
          <w:trHeight w:val="253"/>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Impact on fair value of 20% adverse change</w:t>
            </w:r>
          </w:p>
        </w:tc>
        <w:tc>
          <w:tcPr>
            <w:tcW w:w="3600" w:type="dxa"/>
            <w:vAlign w:val="bottom"/>
            <w:shd w:val="clear" w:color="auto" w:fill="CCEEFF"/>
          </w:tcPr>
          <w:p>
            <w:pPr>
              <w:spacing w:after="0"/>
              <w:rPr>
                <w:sz w:val="21"/>
                <w:szCs w:val="21"/>
                <w:color w:val="auto"/>
              </w:rPr>
            </w:pPr>
          </w:p>
        </w:tc>
        <w:tc>
          <w:tcPr>
            <w:tcW w:w="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(30)</w:t>
            </w:r>
          </w:p>
        </w:tc>
      </w:tr>
      <w:tr>
        <w:trPr>
          <w:trHeight w:val="23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OAS (range 5% - 20%)</w:t>
            </w:r>
          </w:p>
        </w:tc>
        <w:tc>
          <w:tcPr>
            <w:tcW w:w="360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7.22%</w:t>
            </w:r>
          </w:p>
        </w:tc>
      </w:tr>
      <w:tr>
        <w:trPr>
          <w:trHeight w:val="253"/>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Impact on fair value of 10% adverse change</w:t>
            </w:r>
          </w:p>
        </w:tc>
        <w:tc>
          <w:tcPr>
            <w:tcW w:w="360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(15)</w:t>
            </w:r>
          </w:p>
        </w:tc>
      </w:tr>
      <w:tr>
        <w:trPr>
          <w:trHeight w:val="223"/>
        </w:trPr>
        <w:tc>
          <w:tcPr>
            <w:tcW w:w="6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Impact on fair value of 20% adverse change</w:t>
            </w:r>
          </w:p>
        </w:tc>
        <w:tc>
          <w:tcPr>
            <w:tcW w:w="3600" w:type="dxa"/>
            <w:vAlign w:val="bottom"/>
          </w:tcPr>
          <w:p>
            <w:pPr>
              <w:spacing w:after="0"/>
              <w:rPr>
                <w:sz w:val="19"/>
                <w:szCs w:val="19"/>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(29)</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Nonrecurring fair value measurements</w:t>
      </w:r>
    </w:p>
    <w:p>
      <w:pPr>
        <w:spacing w:after="0" w:line="7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Loans</w:t>
      </w:r>
    </w:p>
    <w:p>
      <w:pPr>
        <w:spacing w:after="0" w:line="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Loans are generally not recorded at fair value on a recurring basis. Periodically, the Company records nonrecurring adjustments to the carrying value of certain loans based on fair value measurements for partial charge-offs of the uncollectable portions of those loans. The following table summarizes loans subject to such nonrecurring fair value measurements at March 31, 2026 and 2025.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60" w:type="dxa"/>
            <w:vAlign w:val="bottom"/>
          </w:tcPr>
          <w:p>
            <w:pPr>
              <w:spacing w:after="0"/>
              <w:rPr>
                <w:sz w:val="18"/>
                <w:szCs w:val="18"/>
                <w:color w:val="auto"/>
              </w:rPr>
            </w:pPr>
          </w:p>
        </w:tc>
      </w:tr>
      <w:tr>
        <w:trPr>
          <w:trHeight w:val="256"/>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1</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Level 2</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4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3</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36"/>
        </w:trPr>
        <w:tc>
          <w:tcPr>
            <w:tcW w:w="840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fair value recognized for the quarter ended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w w:val="97"/>
              </w:rPr>
              <w:t>(38)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Capitalized servicing rights</w:t>
      </w:r>
    </w:p>
    <w:p>
      <w:pPr>
        <w:spacing w:after="0" w:line="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Prior to January 1, 2026, the Company utilized the amortization method to subsequently measure its residential mortgage loan servicing right assets, subject to impairment charges on a non-recurring basis when the carrying value of certain strata exceeded their fair value. Capitalized servicing rights related to residential mortgage loans required no valuation allowance at each of December 31, 2025 and March 31, 2025. The Company has not made a fair value accounting election for its commercial mortgage loan servicing right assets. Such assets required no valuation allowance at each of March 31, 2026, December 31, 2025 and March 31, 2025.</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Disclosures of fair value of financial instruments</w:t>
      </w:r>
    </w:p>
    <w:p>
      <w:pPr>
        <w:spacing w:after="0" w:line="6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1"/>
          <w:szCs w:val="21"/>
          <w:color w:val="auto"/>
        </w:rPr>
        <w:t>The carrying amounts and estimated fair value for certain financial instruments that are not recorded at fair value in the Company's Consolidated Balance Sheet are presented in the following table.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9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200" w:type="dxa"/>
            <w:vAlign w:val="bottom"/>
            <w:gridSpan w:val="2"/>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4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Financial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and due from banks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Interest-bearing deposits at banks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14,445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Investment securities held to maturity</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11,314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Loans, net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137,778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137,229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4,786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132,443</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Time deposits (a)</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13,051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Short-term borrowings</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7,851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Long-term borrowings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11,327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Financial assets:</w:t>
            </w:r>
          </w:p>
        </w:tc>
        <w:tc>
          <w:tcPr>
            <w:tcW w:w="40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and due from banks</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Interest-bearing deposits at banks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17,068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Investment securities held to maturity</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11,671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Loans, net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136,586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136,269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7,427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128,842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Time deposits (a)</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13,208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Short-term borrowings</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Long-term borrowings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11,179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0" w:lineRule="exact"/>
        <w:rPr>
          <w:sz w:val="20"/>
          <w:szCs w:val="20"/>
          <w:color w:val="auto"/>
        </w:rPr>
      </w:pPr>
    </w:p>
    <w:p>
      <w:pPr>
        <w:ind w:left="440" w:hanging="432"/>
        <w:spacing w:after="0"/>
        <w:tabs>
          <w:tab w:leader="none" w:pos="440"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$2.7 billion and $2.8 billion of time deposits with balances greater than $250,000 at March 31, 2026 and December 31, 2025, respectively.</w:t>
      </w:r>
    </w:p>
    <w:p>
      <w:pPr>
        <w:spacing w:after="0" w:line="12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With the exception of investment securities and mortgage loans originated for sale, the Company’s financial instruments presented in the preceding tables are not readily marketable and market prices do not exist. The Company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Furthermore, because the disclosed fair value amounts were estimated as of the balance sheet date, the amounts actually realized or paid upon maturity or settlement of the various financial instruments could be significantly different.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1"/>
          <w:szCs w:val="21"/>
          <w:b w:val="1"/>
          <w:bCs w:val="1"/>
          <w:color w:val="auto"/>
        </w:rPr>
        <w:t>13. Commitments and contingencies</w:t>
      </w:r>
    </w:p>
    <w:p>
      <w:pPr>
        <w:spacing w:after="0" w:line="200" w:lineRule="exact"/>
        <w:rPr>
          <w:sz w:val="20"/>
          <w:szCs w:val="20"/>
          <w:color w:val="auto"/>
        </w:rPr>
      </w:pPr>
    </w:p>
    <w:p>
      <w:pPr>
        <w:spacing w:after="0" w:line="2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In the normal course of business, various commitments and contingent liabilities are outstanding. The following table presents the Company's significant credit-related commitments. Certain of these commitments are not included in the Company's Consolidated Balance Sheet.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6"/>
                <w:szCs w:val="16"/>
                <w:color w:val="auto"/>
              </w:rPr>
            </w:pPr>
          </w:p>
        </w:tc>
        <w:tc>
          <w:tcPr>
            <w:tcW w:w="11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Commitments to extend credit:</w:t>
            </w: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8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35,261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35,654</w:t>
            </w:r>
          </w:p>
        </w:tc>
        <w:tc>
          <w:tcPr>
            <w:tcW w:w="0" w:type="dxa"/>
            <w:vAlign w:val="bottom"/>
          </w:tcPr>
          <w:p>
            <w:pPr>
              <w:spacing w:after="0"/>
              <w:rPr>
                <w:sz w:val="1"/>
                <w:szCs w:val="1"/>
                <w:color w:val="auto"/>
              </w:rPr>
            </w:pPr>
          </w:p>
        </w:tc>
      </w:tr>
      <w:tr>
        <w:trPr>
          <w:trHeight w:val="193"/>
        </w:trPr>
        <w:tc>
          <w:tcPr>
            <w:tcW w:w="8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 loans to be sold</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commercial real estate</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w:t>
            </w:r>
          </w:p>
        </w:tc>
        <w:tc>
          <w:tcPr>
            <w:tcW w:w="0" w:type="dxa"/>
            <w:vAlign w:val="bottom"/>
          </w:tcPr>
          <w:p>
            <w:pPr>
              <w:spacing w:after="0"/>
              <w:rPr>
                <w:sz w:val="1"/>
                <w:szCs w:val="1"/>
                <w:color w:val="auto"/>
              </w:rPr>
            </w:pPr>
          </w:p>
        </w:tc>
      </w:tr>
      <w:tr>
        <w:trPr>
          <w:trHeight w:val="193"/>
        </w:trPr>
        <w:tc>
          <w:tcPr>
            <w:tcW w:w="8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Residential real estate loans to be sold</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residential real estate</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0" w:type="dxa"/>
            <w:vAlign w:val="bottom"/>
          </w:tcPr>
          <w:p>
            <w:pPr>
              <w:spacing w:after="0"/>
              <w:rPr>
                <w:sz w:val="1"/>
                <w:szCs w:val="1"/>
                <w:color w:val="auto"/>
              </w:rPr>
            </w:pPr>
          </w:p>
        </w:tc>
      </w:tr>
      <w:tr>
        <w:trPr>
          <w:trHeight w:val="193"/>
        </w:trPr>
        <w:tc>
          <w:tcPr>
            <w:tcW w:w="8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Home equity lines of credit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7,974</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Credit cards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6,601</w:t>
            </w:r>
          </w:p>
        </w:tc>
        <w:tc>
          <w:tcPr>
            <w:tcW w:w="0" w:type="dxa"/>
            <w:vAlign w:val="bottom"/>
          </w:tcPr>
          <w:p>
            <w:pPr>
              <w:spacing w:after="0"/>
              <w:rPr>
                <w:sz w:val="1"/>
                <w:szCs w:val="1"/>
                <w:color w:val="auto"/>
              </w:rPr>
            </w:pPr>
          </w:p>
        </w:tc>
      </w:tr>
      <w:tr>
        <w:trPr>
          <w:trHeight w:val="193"/>
        </w:trPr>
        <w:tc>
          <w:tcPr>
            <w:tcW w:w="8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Standby letters of credit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letters of credit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guarantees and indemnification contracts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4,751</w:t>
            </w:r>
          </w:p>
        </w:tc>
        <w:tc>
          <w:tcPr>
            <w:tcW w:w="0" w:type="dxa"/>
            <w:vAlign w:val="bottom"/>
          </w:tcPr>
          <w:p>
            <w:pPr>
              <w:spacing w:after="0"/>
              <w:rPr>
                <w:sz w:val="1"/>
                <w:szCs w:val="1"/>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to sell real estate loans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Commitments to extend credit are agreements to lend to customers and generally have fixed expiration dates or other termination clauses that may require payment of a fee. In addition to the amounts presented in the preceding table, the Company had discretionary funding commitments to commercial customers of $12.9 billion at each of March 31, 2026 and December 31, 2025 that the Company had the unconditional right to cancel prior to funding.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Financial guarantees and indemnification contracts are predominantly comprised of recourse obligations associated with sold loans and other guarantees and commitments. Included in financial guarantees and indemnification contracts are loan principal amounts sold with recourse in conjunction with the Company's involvement in the Fannie Mae DUS program. The Company's contractual credit risk for recourse associated with loans sold under this program totaled approximately $4.7 billion and $4.6 billion at March 31, 2026 and December 31, 2025, respectively.</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Since many loan commitments, standby letters of credit, and guarantees and indemnification contracts expire without being funded in whole or in part, the contract amounts are not necessarily indicative of future cash flows. As disclosed in note 3, the Company maintains a reserve for unfunded credit commitments, which is included in Accrued interest and other liabilities in its Consolidated Balance Sheet, for estimated credit losses related to such contracts.</w:t>
      </w:r>
    </w:p>
    <w:p>
      <w:pPr>
        <w:spacing w:after="0" w:line="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 Company utilizes commitments to sell real estate loans to hedge exposure to changes in the fair value of real estate loans held for sale. Such commitments are accounted for as derivatives and along with commitments to originate real estate loans to be held for sale are recorded in the Consolidated Balance Sheet at fair value.</w:t>
      </w:r>
    </w:p>
    <w:p>
      <w:pPr>
        <w:spacing w:after="0" w:line="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w:t>
      </w:r>
    </w:p>
    <w:p>
      <w:pPr>
        <w:sectPr>
          <w:pgSz w:w="11900" w:h="16838" w:orient="portrait"/>
          <w:cols w:equalWidth="0" w:num="1">
            <w:col w:w="11240"/>
          </w:cols>
          <w:pgMar w:left="320" w:top="1036" w:right="339" w:bottom="1440" w:gutter="0" w:footer="0" w:header="0"/>
        </w:sect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1"/>
          <w:szCs w:val="21"/>
          <w:b w:val="1"/>
          <w:bCs w:val="1"/>
          <w:color w:val="auto"/>
        </w:rPr>
        <w:t>13. Commitments and contingencies, continued</w:t>
      </w:r>
    </w:p>
    <w:p>
      <w:pPr>
        <w:spacing w:after="0" w:line="200" w:lineRule="exact"/>
        <w:rPr>
          <w:sz w:val="20"/>
          <w:szCs w:val="20"/>
          <w:color w:val="auto"/>
        </w:rPr>
      </w:pPr>
    </w:p>
    <w:p>
      <w:pPr>
        <w:spacing w:after="0" w:line="2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 amount of those charges is based on the volume of loans sold, the level of reimbursement requests received from loan purchasers and estimates of losses that may be associated with previously sold loans. At March 31, 2026, the Company believes that its obligation to loan purchasers was not material to the Company’s consolidated financial position.</w:t>
      </w:r>
    </w:p>
    <w:p>
      <w:pPr>
        <w:spacing w:after="0" w:line="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At March 31, 2026, the Company had no remaining liability related to the FDIC special assessment, compared with $22 million at December 31, 2025. Such amounts are classified as Accrued interest and other liabilities in the Consolidated Balance Sheet. The FDIC has indicated that the amount of the special assessment may be adjusted in the future should its loss estimate change.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Legal proceedings and other matters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It is reasonably possible that pending or threatened litigation could result in exposure in excess of that liability. Although not considered probable, the reasonably possible losses for such matters beyond the existing recorded liability is not likely to exceed $25 million in the aggregate at March 31, 2026. That estimate is subject to significant judgment based on currently available information and various assumptions about known and unknown uncertainties. That estimate does not represent the Company’s maximum loss exposure and actual losses may vary significantly from that amount.</w:t>
      </w:r>
    </w:p>
    <w:p>
      <w:pPr>
        <w:spacing w:after="0" w:line="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For the following matter the Company does not believe an estimate of loss can be made at the date of this filing and, therefore, has not included any amount related thereto in its consolidated financial statements or in the estimate of aggregate reasonably possible losses provided in the preceding paragraph.</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Wilmington Trust, N.A.</w:t>
      </w:r>
    </w:p>
    <w:p>
      <w:pPr>
        <w:spacing w:after="0" w:line="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On September 10, 2025, Tricolor Holdings, LLC, a subprime automobile lender and used vehicle retailer which packaged loans into asset-backed securitizations, filed for Chapter 7 bankruptcy seeking to liquidate its business. Certain financial institutions reported credit impairments in the third quarter of 2025 related to alleged fraudulent activity with respect to Tricolor Holdings, LLC asset-backed financing arrangements. On December 17, 2025 the DOJ unsealed criminal charges against certain executives of Tricolor Holdings, LLC, alleging, among other things, that the executives conspired to defraud and defrauded certain lenders and asset-backed securities investors of Tricolor Holdings, LLC and its affiliates. The Chapter 7 Bankruptcy Trustee for Tricolor Holdings, LLC has alleged that certain individuals at Tricolor Holdings, LLC caused Tricolor Holdings, LLC's records to contain approximately $683 million of fictitious loans and has initiated a legal action against those same executives who were criminally charged by the DOJ. Neither Wilmington Trust, N.A. nor M&amp;T Bank have any loans or loan commitments outstanding to Tricolor Holdings, LLC.</w:t>
      </w:r>
    </w:p>
    <w:p>
      <w:pPr>
        <w:spacing w:after="0" w:line="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Wilmington Trust, N.A. has served in certain corporate custodian and trust capacities for multiple Tricolor Holdings, LLC warehouse facilities and asset-backed securitization transactions since 2018. Such capacities varied from transaction to transaction and were generally service provider roles performed under the relevant transaction documents.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On January 12, 2026, certain note holders filed a civil complaint against Wilmington Trust, N.A. for an unspecified amount of damages arising from alleged breaches of contract and fiduciary duty related to certain Tricolor Holdings, LLC asset-backed securitization transactions. Wilmington Trust, N.A. intends to vigorously defend itself against this legal action. The facts and circumstances of the Tricolor Holdings, LLC bankruptcy and its alleged fraudulent activities as well as the extent of damages, if any, incurred by parties participating in the warehouse facilities and asset-backed securitization transactions are still being learned. The Company believes it may incur losses as a result of this litigation or other potential claims that may arise as a result of these events, but at the current time it is not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1"/>
          <w:szCs w:val="21"/>
          <w:b w:val="1"/>
          <w:bCs w:val="1"/>
          <w:color w:val="auto"/>
        </w:rPr>
        <w:t>13. Commitments and contingencies, continued</w:t>
      </w:r>
    </w:p>
    <w:p>
      <w:pPr>
        <w:spacing w:after="0" w:line="200" w:lineRule="exact"/>
        <w:rPr>
          <w:sz w:val="20"/>
          <w:szCs w:val="20"/>
          <w:color w:val="auto"/>
        </w:rPr>
      </w:pPr>
    </w:p>
    <w:p>
      <w:pPr>
        <w:spacing w:after="0" w:line="2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possible to estimate any potential legal or other liability of Wilmington Trust, N.A. as a result of its capacities in the warehouse facilities and asset-backed securitization transactions. Such losses, if any, are currently not expected to be material to the Company’s financial position at March 31, 2026.</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14. Segment information</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Reportable segments have been determined based upon the Company’s organizational structure which is primarily arranged around the delivery of products and services to similar customer types. The Company's internal profitability reporting system produces financial information, inclusive of net interest income and income before taxes, for each segment. Such information is reviewed by the Company's Chief Executive Officer, who has been identified as the chief operating decision maker, in evaluating operating decisions, business performance and the allocation of resources. The Company's reportable segments are Commercial Bank, Retail Bank and Institutional Services and Wealth Management.</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financial information of the Company's segments was compiled utilizing the accounting policies described in note 21 of Notes to Financial Statements in M&amp;T's 2025 Annual Report. The management accounting policies and processes utilized in compiling segment financial information are highly subjective and, unlike financial accounting, are not based on authoritative guidance similar to GAAP. As a result, reported segment results are not necessarily comparable with similar information reported by other financial institutions. Furthermore, changes in management structure or allocation methodologies and procedures may result in changes in reported segment financial data.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Information about the Company's segments is presented in the accompanying table.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Three Months Ended March 31,</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0"/>
        </w:trPr>
        <w:tc>
          <w:tcPr>
            <w:tcW w:w="2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49"/>
        </w:trPr>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5"/>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Institutional Services and</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66"/>
        </w:trPr>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Commercial Bank</w:t>
            </w:r>
          </w:p>
        </w:tc>
        <w:tc>
          <w:tcPr>
            <w:tcW w:w="18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Retail Bank</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Wealth Management</w:t>
            </w:r>
          </w:p>
        </w:tc>
        <w:tc>
          <w:tcPr>
            <w:tcW w:w="20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60" w:type="dxa"/>
            <w:vAlign w:val="bottom"/>
          </w:tcPr>
          <w:p>
            <w:pPr>
              <w:spacing w:after="0"/>
              <w:rPr>
                <w:sz w:val="14"/>
                <w:szCs w:val="14"/>
                <w:color w:val="auto"/>
              </w:rPr>
            </w:pPr>
          </w:p>
        </w:tc>
      </w:tr>
      <w:tr>
        <w:trPr>
          <w:trHeight w:val="30"/>
        </w:trPr>
        <w:tc>
          <w:tcPr>
            <w:tcW w:w="2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66"/>
        </w:trPr>
        <w:tc>
          <w:tcPr>
            <w:tcW w:w="2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80" w:type="dxa"/>
            <w:vAlign w:val="bottom"/>
          </w:tcPr>
          <w:p>
            <w:pPr>
              <w:spacing w:after="0"/>
              <w:rPr>
                <w:sz w:val="14"/>
                <w:szCs w:val="14"/>
                <w:color w:val="auto"/>
              </w:rPr>
            </w:pPr>
          </w:p>
        </w:tc>
        <w:tc>
          <w:tcPr>
            <w:tcW w:w="66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30"/>
        </w:trPr>
        <w:tc>
          <w:tcPr>
            <w:tcW w:w="2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76"/>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 (a)</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1,695</w:t>
            </w:r>
          </w:p>
        </w:tc>
      </w:tr>
      <w:tr>
        <w:trPr>
          <w:trHeight w:val="173"/>
        </w:trPr>
        <w:tc>
          <w:tcPr>
            <w:tcW w:w="2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 income</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w:t>
            </w:r>
          </w:p>
        </w:tc>
      </w:tr>
      <w:tr>
        <w:trPr>
          <w:trHeight w:val="30"/>
        </w:trPr>
        <w:tc>
          <w:tcPr>
            <w:tcW w:w="2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76"/>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2,306</w:t>
            </w:r>
          </w:p>
        </w:tc>
      </w:tr>
      <w:tr>
        <w:trPr>
          <w:trHeight w:val="173"/>
        </w:trPr>
        <w:tc>
          <w:tcPr>
            <w:tcW w:w="2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r>
      <w:tr>
        <w:trPr>
          <w:trHeight w:val="30"/>
        </w:trPr>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83"/>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887</w:t>
            </w:r>
          </w:p>
        </w:tc>
      </w:tr>
      <w:tr>
        <w:trPr>
          <w:trHeight w:val="173"/>
        </w:trPr>
        <w:tc>
          <w:tcPr>
            <w:tcW w:w="2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r>
      <w:tr>
        <w:trPr>
          <w:trHeight w:val="30"/>
        </w:trPr>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83"/>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direct expenses</w:t>
            </w: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w:t>
            </w:r>
          </w:p>
        </w:tc>
      </w:tr>
      <w:tr>
        <w:trPr>
          <w:trHeight w:val="173"/>
        </w:trPr>
        <w:tc>
          <w:tcPr>
            <w:tcW w:w="2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Indirect expense (b)</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2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76"/>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taxes</w:t>
            </w: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w:t>
            </w:r>
          </w:p>
        </w:tc>
      </w:tr>
      <w:tr>
        <w:trPr>
          <w:trHeight w:val="173"/>
        </w:trPr>
        <w:tc>
          <w:tcPr>
            <w:tcW w:w="2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r>
      <w:tr>
        <w:trPr>
          <w:trHeight w:val="30"/>
        </w:trPr>
        <w:tc>
          <w:tcPr>
            <w:tcW w:w="2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20"/>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2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Average total assets</w:t>
            </w: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78,804</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79,362</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58,821</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54,381</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4,744</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4,102</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71,459</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70,476</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213,828</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208,321</w:t>
            </w:r>
          </w:p>
        </w:tc>
      </w:tr>
      <w:tr>
        <w:trPr>
          <w:trHeight w:val="22"/>
        </w:trPr>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54" w:lineRule="exact"/>
        <w:rPr>
          <w:sz w:val="20"/>
          <w:szCs w:val="20"/>
          <w:color w:val="auto"/>
        </w:rPr>
      </w:pPr>
    </w:p>
    <w:p>
      <w:pPr>
        <w:jc w:val="both"/>
        <w:ind w:left="440" w:hanging="432"/>
        <w:spacing w:after="0" w:line="262" w:lineRule="auto"/>
        <w:tabs>
          <w:tab w:leader="none" w:pos="437"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Net interest income is the difference between actual taxable-equivalent interest earned on assets and interest paid on liabilities by a segment and a funding charge (credit) based on the Company's internal funds transfer pricing methodology. Segments are charged a cost to fund any assets (e.g. loans) and are paid a funding credit for any funds provided (e.g. deposits). The taxable-equivalent adjustment aggregated to $11 million and $12 million for the three-month periods ended March 31, 2026 and 2025, respectively, and is eliminated in "All Other" total revenues.</w:t>
      </w:r>
    </w:p>
    <w:p>
      <w:pPr>
        <w:ind w:left="440" w:hanging="432"/>
        <w:spacing w:after="0" w:line="283" w:lineRule="auto"/>
        <w:tabs>
          <w:tab w:leader="none" w:pos="437"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Indirect expense represents centrally-allocated costs associated with certain technology, operations, risk management, finance and human resources expenses provided by the "All Other" category to the Commercial Bank, Retail Bank and Institutional Services and Wealth Management segments.</w:t>
      </w:r>
    </w:p>
    <w:p>
      <w:pPr>
        <w:spacing w:after="0" w:line="287" w:lineRule="exact"/>
        <w:rPr>
          <w:rFonts w:ascii="Times New Roman" w:cs="Times New Roman" w:eastAsia="Times New Roman" w:hAnsi="Times New Roman"/>
          <w:sz w:val="14"/>
          <w:szCs w:val="14"/>
          <w:i w:val="1"/>
          <w:iCs w:val="1"/>
          <w:color w:val="auto"/>
        </w:rPr>
      </w:pPr>
    </w:p>
    <w:p>
      <w:pPr>
        <w:ind w:left="5540" w:hanging="111"/>
        <w:spacing w:after="0"/>
        <w:tabs>
          <w:tab w:leader="none" w:pos="5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1"/>
          <w:szCs w:val="21"/>
          <w:b w:val="1"/>
          <w:bCs w:val="1"/>
          <w:color w:val="auto"/>
        </w:rPr>
        <w:t>15. Relationship with BLG and Bayview Financial</w:t>
      </w:r>
    </w:p>
    <w:p>
      <w:pPr>
        <w:spacing w:after="0" w:line="200" w:lineRule="exact"/>
        <w:rPr>
          <w:sz w:val="20"/>
          <w:szCs w:val="20"/>
          <w:color w:val="auto"/>
        </w:rPr>
      </w:pPr>
    </w:p>
    <w:p>
      <w:pPr>
        <w:spacing w:after="0" w:line="23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1"/>
          <w:szCs w:val="21"/>
          <w:color w:val="auto"/>
        </w:rPr>
        <w:t>M&amp;T holds a 20% minority interest in BLG, a privately-held commercial mortgage company. That investment had no remaining carrying value at March 31, 2026 as a result of cumulative losses recognized and cash distributions received in prior years. Cash distributions now received from BLG are recognized as income by M&amp;T and included in Other revenues from operations in the Consolidated Statement of Income. That income totaled $33 million for the three months ended March 31, 2026. No distributions were received for the three months ended March 31, 2025.</w:t>
      </w:r>
    </w:p>
    <w:p>
      <w:pPr>
        <w:spacing w:after="0" w:line="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Bayview Financial, a privately-held specialty finance company, is BLG's majority investor. In addition to their common investment in BLG, the Company and Bayview Financial conduct other business activities with each other. The Company has loan servicing rights for mortgage loans securitized by Bayview Financial having outstanding principal balances of $847 million at March 31, 2026 and $875 million at December 31, 2025. The Company also sub-services residential mortgage loans for Bayview Financial having outstanding principal balances of $124.0 billion and $156.9 billion at March 31, 2026 and December 31, 2025, respectively. Revenues earned for servicing and sub-servicing such loans were $63 million and $41 million for the three months ended March 31, 2026 and 2025, respectively.</w:t>
      </w:r>
    </w:p>
    <w:p>
      <w:pPr>
        <w:spacing w:after="0" w:line="8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0"/>
          <w:szCs w:val="20"/>
          <w:color w:val="auto"/>
        </w:rPr>
        <w:t>The Company also held $30 million and $32 million of mortgage-backed securities in its held-to-maturity portfolio at March 31, 2026 and December 31, 2025, respectively, that were securitized by Bayview Financial. The Company had various lending commitments to Bayview Financial totaling $956 million at March 31, 2026, with $802 million and $635 million of outstanding balances at March 31, 2026 and December 31, 2025, respectively. Bayview Financial also maintained $3.6 billion and $3.5 billion of deposit balances with the Company at March 31, 2026 and December 31, 2025, respectively, inclusive of deposits related to loan servicing relationships.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1"/>
          <w:szCs w:val="21"/>
          <w:color w:val="auto"/>
        </w:rPr>
        <w:t>Item 2. Management’s Discussion and Analysis of Financial Condition and Results of Operations.</w:t>
      </w:r>
    </w:p>
    <w:p>
      <w:pPr>
        <w:spacing w:after="0" w:line="1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This Management's Discussion and Analysis of Financial Condition and Results of Operations should be read in conjunction with the consolidated financial statements and other information included in this Quarterly Report on Form 10-Q as well as with M&amp;T's 2025 Annual Report. Information regarding the Company's business, its supervision and regulation and potential risks and uncertainties that may affect the Company's business, financial condition, liquidity and results of operations are also included in the 2025 Annual Report.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Financial Overview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summary of financial results for the Company is provided below.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SUMMARY OF FINANCIAL RESULTS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6"/>
                <w:szCs w:val="16"/>
                <w:color w:val="auto"/>
              </w:rPr>
            </w:pPr>
          </w:p>
        </w:tc>
      </w:tr>
      <w:tr>
        <w:trPr>
          <w:trHeight w:val="37"/>
        </w:trPr>
        <w:tc>
          <w:tcPr>
            <w:tcW w:w="30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71"/>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9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w:t>
            </w:r>
          </w:p>
        </w:tc>
        <w:tc>
          <w:tcPr>
            <w:tcW w:w="180" w:type="dxa"/>
            <w:vAlign w:val="bottom"/>
          </w:tcPr>
          <w:p>
            <w:pPr>
              <w:spacing w:after="0"/>
              <w:rPr>
                <w:sz w:val="16"/>
                <w:szCs w:val="16"/>
                <w:color w:val="auto"/>
              </w:rPr>
            </w:pPr>
          </w:p>
        </w:tc>
        <w:tc>
          <w:tcPr>
            <w:tcW w:w="9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0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03"/>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1,752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1,779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-2 %  $</w:t>
            </w:r>
          </w:p>
        </w:tc>
        <w:tc>
          <w:tcPr>
            <w:tcW w:w="10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1,752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1,695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93"/>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Taxable-equivalent adjustment (a)</w:t>
            </w:r>
          </w:p>
        </w:tc>
        <w:tc>
          <w:tcPr>
            <w:tcW w:w="1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r>
      <w:tr>
        <w:trPr>
          <w:trHeight w:val="37"/>
        </w:trPr>
        <w:tc>
          <w:tcPr>
            <w:tcW w:w="3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0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 (taxable-equivalent basis) (a)</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1,763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1,790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1,763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1,707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r>
      <w:tr>
        <w:trPr>
          <w:trHeight w:val="193"/>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w:t>
            </w:r>
          </w:p>
        </w:tc>
      </w:tr>
      <w:tr>
        <w:trPr>
          <w:trHeight w:val="37"/>
        </w:trPr>
        <w:tc>
          <w:tcPr>
            <w:tcW w:w="3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0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689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696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689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r>
      <w:tr>
        <w:trPr>
          <w:trHeight w:val="193"/>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w:t>
            </w:r>
          </w:p>
        </w:tc>
        <w:tc>
          <w:tcPr>
            <w:tcW w:w="1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1,438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1,379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1,438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r>
      <w:tr>
        <w:trPr>
          <w:trHeight w:val="37"/>
        </w:trPr>
        <w:tc>
          <w:tcPr>
            <w:tcW w:w="3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1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664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759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664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w:t>
            </w:r>
          </w:p>
        </w:tc>
      </w:tr>
      <w:tr>
        <w:trPr>
          <w:trHeight w:val="193"/>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 common share data:</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37"/>
        </w:trPr>
        <w:tc>
          <w:tcPr>
            <w:tcW w:w="3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09"/>
        </w:trPr>
        <w:tc>
          <w:tcPr>
            <w:tcW w:w="3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Basic earnings</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r>
      <w:tr>
        <w:trPr>
          <w:trHeight w:val="193"/>
        </w:trPr>
        <w:tc>
          <w:tcPr>
            <w:tcW w:w="3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Diluted earnings</w:t>
            </w:r>
          </w:p>
        </w:tc>
        <w:tc>
          <w:tcPr>
            <w:tcW w:w="1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4.13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w:t>
            </w:r>
          </w:p>
        </w:tc>
      </w:tr>
      <w:tr>
        <w:trPr>
          <w:trHeight w:val="37"/>
        </w:trPr>
        <w:tc>
          <w:tcPr>
            <w:tcW w:w="3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0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ratios, annualized</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r>
      <w:tr>
        <w:trPr>
          <w:trHeight w:val="193"/>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37"/>
        </w:trPr>
        <w:tc>
          <w:tcPr>
            <w:tcW w:w="3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10"/>
        </w:trPr>
        <w:tc>
          <w:tcPr>
            <w:tcW w:w="3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Average assets</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1.26 %</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1.41 %</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1.26 %</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r>
      <w:tr>
        <w:trPr>
          <w:trHeight w:val="193"/>
        </w:trPr>
        <w:tc>
          <w:tcPr>
            <w:tcW w:w="3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Average common shareholders’ equity</w:t>
            </w:r>
          </w:p>
        </w:tc>
        <w:tc>
          <w:tcPr>
            <w:tcW w:w="1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10.87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9.67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8.36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37"/>
        </w:trPr>
        <w:tc>
          <w:tcPr>
            <w:tcW w:w="3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19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37"/>
        </w:trPr>
        <w:tc>
          <w:tcPr>
            <w:tcW w:w="30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 w:lineRule="exact"/>
        <w:rPr>
          <w:sz w:val="20"/>
          <w:szCs w:val="20"/>
          <w:color w:val="auto"/>
        </w:rPr>
      </w:pPr>
    </w:p>
    <w:p>
      <w:pPr>
        <w:jc w:val="both"/>
        <w:ind w:left="440" w:hanging="432"/>
        <w:spacing w:after="0" w:line="270" w:lineRule="auto"/>
        <w:tabs>
          <w:tab w:leader="none" w:pos="437"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Net interest income data are presented on a taxable-equivalent basis which is a non-GAAP measure. The taxable-equivalent adjustment represents additional income taxes that would be due if all interest income were subject to income taxes. This adjustment, which is related to interest received on qualified municipal securities, industrial revenue financings and preferred equity securities, is based on the statutory federal income tax rate.</w:t>
      </w:r>
    </w:p>
    <w:p>
      <w:pPr>
        <w:spacing w:after="0" w:line="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Effective January 1, 2026, the Company elected to prospectively measure its residential mortgage loan servicing right assets at fair value with changes in fair value reflected in mortgage banking revenues. As a result, amortization associated with residential mortgage loan servicing right assets previously recognized in other costs of operations is no longer recorded. Instead, beginning in 2026, fair value changes in the mortgage loan servicing right assets, inclusive of the realization of expected net servicing revenues over time, are included in mortgage banking revenues. On December 31, 2025, the Company began economically hedging the risk of fair value changes in these assets through the use of various interest rate derivative contracts, for which changes in fair value are also reflected in mortgage banking revenues. As a result of the Company's election on January 1, 2026 to prospectively measure residential mortgage loan servicing right assets at fair value, the Company recorded an increase in capitalized servicing assets included in accrued interest and other assets of $263 million and a corresponding after-tax increase to retained earnings of $197 million, representing an 8 basis-point increase to CET1 capital on the election date.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decrease in net income in the recent quarter as compared with the fourth quarter of 2025 resulted from the following:</w:t>
      </w:r>
    </w:p>
    <w:p>
      <w:pPr>
        <w:spacing w:after="0" w:line="110" w:lineRule="exact"/>
        <w:rPr>
          <w:sz w:val="20"/>
          <w:szCs w:val="20"/>
          <w:color w:val="auto"/>
        </w:rPr>
      </w:pPr>
    </w:p>
    <w:p>
      <w:pPr>
        <w:jc w:val="both"/>
        <w:ind w:left="880" w:hanging="431"/>
        <w:spacing w:after="0" w:line="255" w:lineRule="auto"/>
        <w:tabs>
          <w:tab w:leader="none" w:pos="876"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on a taxable-equivalent basis decreased $27 million reflective of two less calendar days in the recent quarter. The Company's net interest margin widened by 2 basis points as a reduction in rates paid on interest-bearing liabilities outpaced the decline in yields received on earning assets. The higher net interest spread was partially offset by a lower contribution of interest-free funds.</w:t>
      </w:r>
    </w:p>
    <w:p>
      <w:pPr>
        <w:spacing w:after="0" w:line="26" w:lineRule="exact"/>
        <w:rPr>
          <w:rFonts w:ascii="Times New Roman" w:cs="Times New Roman" w:eastAsia="Times New Roman" w:hAnsi="Times New Roman"/>
          <w:sz w:val="21"/>
          <w:szCs w:val="21"/>
          <w:color w:val="auto"/>
        </w:rPr>
      </w:pPr>
    </w:p>
    <w:p>
      <w:pPr>
        <w:jc w:val="both"/>
        <w:ind w:left="880" w:hanging="431"/>
        <w:spacing w:after="0" w:line="255" w:lineRule="auto"/>
        <w:tabs>
          <w:tab w:leader="none" w:pos="876"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 for credit losses increased $15 million reflecting the potential negative impact of global conflicts on economic forecasts and a higher provision for unfunded credit commitments, partially offset by a decrease in the level of criticized loans.</w:t>
      </w:r>
    </w:p>
    <w:p>
      <w:pPr>
        <w:spacing w:after="0" w:line="297"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2" w:name="page43"/>
    <w:bookmarkEnd w:id="42"/>
    <w:p>
      <w:pPr>
        <w:jc w:val="both"/>
        <w:ind w:left="880" w:hanging="431"/>
        <w:spacing w:after="0" w:line="255" w:lineRule="auto"/>
        <w:tabs>
          <w:tab w:leader="none" w:pos="87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decreased $7 million resulting from lower mortgage banking revenues, inclusive of the effects of the Company's accounting election discussed herein, and a decline in trading account and other non-hedging derivative gains, partially offset by higher other revenues from operations that included a $33 million distribution from M&amp;T's investment in BLG in the recent quarter.</w:t>
      </w:r>
    </w:p>
    <w:p>
      <w:pPr>
        <w:spacing w:after="0" w:line="26" w:lineRule="exact"/>
        <w:rPr>
          <w:rFonts w:ascii="Times New Roman" w:cs="Times New Roman" w:eastAsia="Times New Roman" w:hAnsi="Times New Roman"/>
          <w:sz w:val="21"/>
          <w:szCs w:val="21"/>
          <w:color w:val="auto"/>
        </w:rPr>
      </w:pPr>
    </w:p>
    <w:p>
      <w:pPr>
        <w:jc w:val="both"/>
        <w:ind w:left="880" w:hanging="431"/>
        <w:spacing w:after="0" w:line="252" w:lineRule="auto"/>
        <w:tabs>
          <w:tab w:leader="none" w:pos="87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rose $59 million reflecting higher salaries and employee benefits expense, including $115 million of seasonal salaries and employee benefits expense in the recent quarter, partially offset by declines in professional and other services expense and advertising and marketing costs. The impact of a reduction of FDIC special assessment expense and a contribution to The M&amp;T Charitable Foundation each in the fourth quarter of 2025 was largely offsetting. Other costs of operations in the fourth quarter of 2025 included amortization of residential mortgage loan servicing right assets.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increase in net income in the first quarter of 2026 as compared with 2025's initial quarter reflects the following:</w:t>
      </w:r>
    </w:p>
    <w:p>
      <w:pPr>
        <w:spacing w:after="0" w:line="56" w:lineRule="exact"/>
        <w:rPr>
          <w:sz w:val="20"/>
          <w:szCs w:val="20"/>
          <w:color w:val="auto"/>
        </w:rPr>
      </w:pPr>
    </w:p>
    <w:p>
      <w:pPr>
        <w:jc w:val="both"/>
        <w:ind w:left="880" w:hanging="431"/>
        <w:spacing w:after="0" w:line="255" w:lineRule="auto"/>
        <w:tabs>
          <w:tab w:leader="none" w:pos="876"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on a taxable-equivalent basis increased $56 million reflecting growth in average loans and investment securities and favorable earning asset and interest-bearing liability repricing, including an improved impact from interest rate swap agreements. The Company's net interest margin expanded 5 basis points as reductions in deposit and borrowing costs outpaced a decline in yields received on earning assets.</w:t>
      </w:r>
    </w:p>
    <w:p>
      <w:pPr>
        <w:spacing w:after="0" w:line="67" w:lineRule="exact"/>
        <w:rPr>
          <w:rFonts w:ascii="Times New Roman" w:cs="Times New Roman" w:eastAsia="Times New Roman" w:hAnsi="Times New Roman"/>
          <w:sz w:val="21"/>
          <w:szCs w:val="21"/>
          <w:color w:val="auto"/>
        </w:rPr>
      </w:pPr>
    </w:p>
    <w:p>
      <w:pPr>
        <w:ind w:left="880" w:hanging="431"/>
        <w:spacing w:after="0" w:line="275" w:lineRule="auto"/>
        <w:tabs>
          <w:tab w:leader="none" w:pos="876"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 for credit losses increased $10 million reflecting a higher provision for unfunded credit commitments in the recent quarter.</w:t>
      </w:r>
    </w:p>
    <w:p>
      <w:pPr>
        <w:jc w:val="both"/>
        <w:ind w:left="880" w:hanging="431"/>
        <w:spacing w:after="0" w:line="255" w:lineRule="auto"/>
        <w:tabs>
          <w:tab w:leader="none" w:pos="876"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increased $78 million reflecting a rise in other revenues from operations, including a distribution from M&amp;T's investment in BLG in the recent quarter and an increase in letter of credit and other credit-related fees, and higher mortgage banking revenues, service charges on deposit accounts and trust income. The Company's accounting election described herein partially offset the increase in mortgage banking revenues.</w:t>
      </w:r>
    </w:p>
    <w:p>
      <w:pPr>
        <w:spacing w:after="0" w:line="80" w:lineRule="exact"/>
        <w:rPr>
          <w:rFonts w:ascii="Times New Roman" w:cs="Times New Roman" w:eastAsia="Times New Roman" w:hAnsi="Times New Roman"/>
          <w:sz w:val="21"/>
          <w:szCs w:val="21"/>
          <w:color w:val="auto"/>
        </w:rPr>
      </w:pPr>
    </w:p>
    <w:p>
      <w:pPr>
        <w:jc w:val="both"/>
        <w:ind w:left="880" w:hanging="431"/>
        <w:spacing w:after="0" w:line="255" w:lineRule="auto"/>
        <w:tabs>
          <w:tab w:leader="none" w:pos="876"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increased $23 million reflecting higher levels of salaries and employee benefits expense, outside data processing and software costs and professional and other services expense, partially offset by lower other costs of operations. Other costs of operations in the first quarter of 2025 included amortization of residential mortgage loan servicing right assets.</w:t>
      </w:r>
    </w:p>
    <w:p>
      <w:pPr>
        <w:spacing w:after="0" w:line="6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1"/>
          <w:szCs w:val="21"/>
          <w:color w:val="auto"/>
        </w:rPr>
        <w:t>The Company's effective income tax rates were 23.0%, 21.8% and 23.2% for the quarters ended March 31, 2026, December 31, 2025 and March 31, 2025, respectively.</w:t>
      </w:r>
    </w:p>
    <w:p>
      <w:pPr>
        <w:spacing w:after="0" w:line="3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0"/>
          <w:szCs w:val="20"/>
          <w:color w:val="auto"/>
        </w:rPr>
        <w:t>Under programs authorized by the Board of Directors, M&amp;T repurchased 5.5 million shares of its common stock during the recent quarter at a total cost of $1.25 billion, compared with 2.7 million shares at a total cost of $507 million in the fourth quarter of 2025 and 3.4 million shares of its common stock at a total cost of $662 million during the first three months of 2025. On March 30, 2026, M&amp;T's Board of Directors authorized a program under which $5.0 billion of common shares may be repurchased. That authorization replaced and terminated the previous authorized share repurchase program effective as of the same date. On February 1, 2026, M&amp;T redeemed all 40,000 outstanding shares of its Perpetual Fixed Rate Reset Non-Cumulative Preferred Stock, Series G, for $400 million.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1"/>
          <w:szCs w:val="21"/>
          <w:b w:val="1"/>
          <w:bCs w:val="1"/>
          <w:color w:val="auto"/>
        </w:rPr>
        <w:t>Supplemental Reporting of Non-GAAP Results of Operations</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(when realized) and expenses (when incurred) associated with merging acquired or to be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SUPPLEMENTAL REPORTING OF NON-GAAP RESULTS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w:t>
            </w:r>
          </w:p>
        </w:tc>
        <w:tc>
          <w:tcPr>
            <w:tcW w:w="18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4"/>
                <w:szCs w:val="14"/>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8"/>
        </w:trPr>
        <w:tc>
          <w:tcPr>
            <w:tcW w:w="30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income</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671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767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671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193"/>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net operating earnings per share</w:t>
            </w:r>
          </w:p>
        </w:tc>
        <w:tc>
          <w:tcPr>
            <w:tcW w:w="1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4.72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Annualized return on:</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Average tangible assets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Average tangible common equity</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14.51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16.24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14.51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12.53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Efficiency ratio</w:t>
            </w:r>
          </w:p>
        </w:tc>
        <w:tc>
          <w:tcPr>
            <w:tcW w:w="1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58.3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58.3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60.5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Tangible equity per common share (a)</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115.96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117.45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115.96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111.13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37"/>
        </w:trPr>
        <w:tc>
          <w:tcPr>
            <w:tcW w:w="30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 w:lineRule="exact"/>
        <w:rPr>
          <w:sz w:val="20"/>
          <w:szCs w:val="20"/>
          <w:color w:val="auto"/>
        </w:rPr>
      </w:pPr>
    </w:p>
    <w:p>
      <w:pPr>
        <w:ind w:left="440" w:hanging="432"/>
        <w:spacing w:after="0"/>
        <w:tabs>
          <w:tab w:leader="none" w:pos="440"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At the period end.</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efficiency ratio measures the relationship of noninterest operating expenses, which exclude expenses M&amp;T considers to be "nonoperating" in nature consisting of amortization of core deposit and other intangible assets and merger-related expenses, to revenues. The calculations of the Company’s efficiency ratio, or noninterest operating expenses divided by the sum of taxable-equivalent net interest income and noninterest income (exclusive of gains and losses from bank investment securities), and reconciliations of GAAP amounts with corresponding non-GAAP amounts are presented in Table 2.</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1"/>
          <w:szCs w:val="21"/>
          <w:b w:val="1"/>
          <w:bCs w:val="1"/>
          <w:color w:val="auto"/>
        </w:rPr>
        <w:t>Taxable-equivalent Net Interest Income</w:t>
      </w:r>
    </w:p>
    <w:p>
      <w:pPr>
        <w:spacing w:after="0" w:line="1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Interest income earned on certain of the Company's assets is exempt from federal income tax. Taxable-equivalent net interest income is a non-GAAP measure that adjusts income earned on a tax-exempt asset to present it on an equivalent basis to interest income earned on a fully taxable asset.</w:t>
      </w:r>
    </w:p>
    <w:p>
      <w:pPr>
        <w:spacing w:after="0" w:line="7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The Company's average balance sheets accompanied by the taxable-equivalent interest income and expense and the annualized average rate on the Company's earning assets and interest-bearing liabilities are presented as follows.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BALANCE SHEETS AND ANNUALIZED TAXABLE-EQUIVALENT RATES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gridSpan w:val="6"/>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5"/>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March 31, 2026</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w w:val="94"/>
              </w:rPr>
              <w:t>March 31, 2025</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7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Rate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60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Rate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7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Rate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28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Earning assets:</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Loans (a):</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63,804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6.00 %</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62,257</w:t>
            </w: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6.22 %</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61,056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6.36 %</w:t>
            </w:r>
          </w:p>
        </w:tc>
        <w:tc>
          <w:tcPr>
            <w:tcW w:w="0" w:type="dxa"/>
            <w:vAlign w:val="bottom"/>
          </w:tcPr>
          <w:p>
            <w:pPr>
              <w:spacing w:after="0"/>
              <w:rPr>
                <w:sz w:val="1"/>
                <w:szCs w:val="1"/>
                <w:color w:val="auto"/>
              </w:rPr>
            </w:pPr>
          </w:p>
        </w:tc>
      </w:tr>
      <w:tr>
        <w:trPr>
          <w:trHeight w:val="173"/>
        </w:trPr>
        <w:tc>
          <w:tcPr>
            <w:tcW w:w="28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Real estate - commercial</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24,101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Real estate - residential</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24,817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24,765</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23,176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Consumer</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26,477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loans</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138,423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137,600</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134,844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Interest-bearing deposits at banks</w:t>
            </w: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16,231</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1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17,964</w:t>
            </w: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1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19,695</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8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Trading account</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securities (b):</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U.S. Treasury</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6,997</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Mortgage-backed securities (c)</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26,539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State and political subdivisions</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2,148</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investment securities</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37,845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36,705</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34,480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earning assets</w:t>
            </w: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192,594</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2,547</w:t>
            </w:r>
          </w:p>
        </w:tc>
        <w:tc>
          <w:tcPr>
            <w:tcW w:w="10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5.36</w:t>
            </w:r>
          </w:p>
        </w:tc>
        <w:tc>
          <w:tcPr>
            <w:tcW w:w="1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192,366</w:t>
            </w: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2,648</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189,116</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2,572</w:t>
            </w:r>
          </w:p>
        </w:tc>
        <w:tc>
          <w:tcPr>
            <w:tcW w:w="8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8,465</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12,710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11,991</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213,828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212,891</w:t>
            </w: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208,321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20" w:type="dxa"/>
            <w:vAlign w:val="bottom"/>
            <w:tcBorders>
              <w:bottom w:val="single" w:sz="8" w:color="CCEEFF"/>
            </w:tcBorders>
            <w:shd w:val="clear" w:color="auto" w:fill="CCEEFF"/>
          </w:tcPr>
          <w:p>
            <w:pPr>
              <w:ind w:left="20"/>
              <w:spacing w:after="0" w:line="140" w:lineRule="exact"/>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Interest-bearing liabilities: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Interest-bearing deposits:</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Savings and interest-checking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106,593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107,287</w:t>
            </w: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2.04 %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101,564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8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2.20 %</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Time deposits</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13,128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13,586</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14,220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interest-bearing deposits</w:t>
            </w: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119,721</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10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120,873</w:t>
            </w: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115,784</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8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Short-term borrowings</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2,064</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borrowings</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interest-bearing 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136,480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135,492</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129,938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Noninterest-bearing deposits</w:t>
            </w: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44,547</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44,184</w:t>
            </w: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45,436</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4,245</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liabilities</w:t>
            </w: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185,180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183,921</w:t>
            </w: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179,323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Shareholders’ equity</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28,648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28,970</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28,998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liabilities and shareholders’ equity</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213,828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212,891</w:t>
            </w: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208,321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20" w:type="dxa"/>
            <w:vAlign w:val="bottom"/>
            <w:tcBorders>
              <w:bottom w:val="single" w:sz="8" w:color="CCEEFF"/>
            </w:tcBorders>
            <w:shd w:val="clear" w:color="auto" w:fill="CCEEFF"/>
          </w:tcPr>
          <w:p>
            <w:pPr>
              <w:ind w:left="20"/>
              <w:spacing w:after="0" w:line="140" w:lineRule="exact"/>
              <w:rPr>
                <w:sz w:val="20"/>
                <w:szCs w:val="20"/>
                <w:color w:val="auto"/>
              </w:rPr>
            </w:pPr>
            <w:r>
              <w:rPr>
                <w:rFonts w:ascii="Times New Roman" w:cs="Times New Roman" w:eastAsia="Times New Roman" w:hAnsi="Times New Roman"/>
                <w:sz w:val="13"/>
                <w:szCs w:val="13"/>
                <w:color w:val="auto"/>
              </w:rPr>
              <w:t>Net interest spread</w:t>
            </w: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3.03</w:t>
            </w:r>
          </w:p>
        </w:tc>
        <w:tc>
          <w:tcPr>
            <w:tcW w:w="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2.95</w:t>
            </w:r>
          </w:p>
        </w:tc>
        <w:tc>
          <w:tcPr>
            <w:tcW w:w="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2.82</w:t>
            </w:r>
          </w:p>
        </w:tc>
        <w:tc>
          <w:tcPr>
            <w:tcW w:w="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Contribution of interest-free funds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income/margin on earning assets</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1,763</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deposits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164,268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165,057</w:t>
            </w: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161,220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1.70 %</w:t>
            </w:r>
          </w:p>
        </w:tc>
        <w:tc>
          <w:tcPr>
            <w:tcW w:w="0" w:type="dxa"/>
            <w:vAlign w:val="bottom"/>
          </w:tcPr>
          <w:p>
            <w:pPr>
              <w:spacing w:after="0"/>
              <w:rPr>
                <w:sz w:val="1"/>
                <w:szCs w:val="1"/>
                <w:color w:val="auto"/>
              </w:rPr>
            </w:pPr>
          </w:p>
        </w:tc>
      </w:tr>
      <w:tr>
        <w:trPr>
          <w:trHeight w:val="30"/>
        </w:trPr>
        <w:tc>
          <w:tcPr>
            <w:tcW w:w="2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16" w:lineRule="exact"/>
        <w:rPr>
          <w:sz w:val="20"/>
          <w:szCs w:val="20"/>
          <w:color w:val="auto"/>
        </w:rPr>
      </w:pPr>
    </w:p>
    <w:p>
      <w:pPr>
        <w:ind w:left="440" w:hanging="432"/>
        <w:spacing w:after="0"/>
        <w:tabs>
          <w:tab w:leader="none" w:pos="440" w:val="left"/>
        </w:tabs>
        <w:numPr>
          <w:ilvl w:val="0"/>
          <w:numId w:val="2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nonaccrual loans.</w:t>
      </w:r>
    </w:p>
    <w:p>
      <w:pPr>
        <w:spacing w:after="0" w:line="13"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2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available-for-sale securities at amortized cost.</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2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Primarily government issued or guaranteed.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45" w:name="page46"/>
    <w:bookmarkEnd w:id="45"/>
    <w:p>
      <w:pPr>
        <w:jc w:val="both"/>
        <w:spacing w:after="0" w:line="255" w:lineRule="auto"/>
        <w:rPr>
          <w:sz w:val="20"/>
          <w:szCs w:val="20"/>
          <w:color w:val="auto"/>
        </w:rPr>
      </w:pPr>
      <w:r>
        <w:rPr>
          <w:rFonts w:ascii="Times New Roman" w:cs="Times New Roman" w:eastAsia="Times New Roman" w:hAnsi="Times New Roman"/>
          <w:sz w:val="21"/>
          <w:szCs w:val="21"/>
          <w:color w:val="auto"/>
        </w:rPr>
        <w:t>Taxable-equivalent net interest income can be impacted by changes in the composition of the Company's earning assets and interest-bearing liabilities, as discussed herein, as well as changes in interest rates and spreads. The FOMC lowered its federal funds target interest rate by a total of 100 basis points in the last four months of 2024 and by a total of 75 basis points in the last four months of 2025.</w:t>
      </w:r>
    </w:p>
    <w:p>
      <w:pPr>
        <w:spacing w:after="0" w:line="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Taxable-equivalent net interest income decreased $27 million in the recent quarter as compared with the fourth quarter of 2025 reflective of two less calendar days in the recent quarter. The net interest margin increased 2 basis points over that same time period reflecting an 18 basis-point decline in rates paid on interest-bearing liabilities that outpaced a 10 basis-point decline in yields received on earning assets. The decline in the yields received on earning assets and rates paid on interest-bearing liabilities reflects the impact of two 25 basis-point reductions in the FOMC's federal funds target interest rate in the fourth quarter of 2025. The 8 basis-point increase in net interest spread was partially offset by a 6 basis-point reduction in the contribution of interest-free funds reflecting a lower interest rate environment.</w:t>
      </w:r>
    </w:p>
    <w:p>
      <w:pPr>
        <w:spacing w:after="0" w:line="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Taxable-equivalent net interest income for the first three months of 2026 increased $56 million as compared with the same 2025 period. That increase reflects a 5 basis-point widening of the net interest margin driven by a 37 basis-point decrease in the cost of interest-bearing liabilities, partially offset by a 16 basis-point decline in yields received on earning assets. Contributing to those changes was the aforementioned FOMC interest rate reductions in 2025. The yields received on earning assets in the recent quarter reflect a comparatively favorable impact from interest rate swap agreements entered into for interest rate risk purposes on yields received on commercial and industrial and commercial real estate loans. Partially offsetting the overall decline in yields received on earning assets was an increase in the yields received on investment securities from the deployment of liquidity into fixed rate investment securities throughout 2025 and the first three months of 2026 that yielded higher rates than investment securities that matured or were sold. The 21 basis-point increase in net interest spread was partially offset by a 16 basis-point reduction in the contribution of interest-free funds, reflecting lower average balances of noninterest-bearing deposits and a lower rate environment.</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Future changes in market interest rates or spreads, as well as changes in the composition of the Company’s portfolios of earning assets and interest-bearing liabilities that result in changes to spreads, could impact the Company’s net interest income and net interest margin. Future changes in the levels of net interest-free funds and the interest rates used to value such funds could also impact the Company's net interest margin.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Interest rate swap agreements</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 assets and interest-bearing liabilities. Under the terms of those interest rate swap agreements, the Company generally received payments based on the outstanding notional amount at fixed rates and made payments at variable rates. Periodic settlement amounts arising from these agreements are reflected in either the yields received on earning assets or the rates paid on interest-bearing liabilities. The Company enters into forward-starting interest rate swap agreements predominantly to hedge interest rate exposures expected in future periods. The following table summarizes information about interest rate swap agreements entered into for interest rate risk management purposes at March 31, 2026 and December 31, 2025.</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1"/>
          <w:szCs w:val="21"/>
          <w:color w:val="auto"/>
        </w:rPr>
        <w:t>INTEREST RATE SWAP AGREEMENTS - DESIGNATED AS HEDGES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80" w:type="dxa"/>
            <w:vAlign w:val="bottom"/>
          </w:tcPr>
          <w:p>
            <w:pPr>
              <w:spacing w:after="0"/>
              <w:rPr>
                <w:sz w:val="15"/>
                <w:szCs w:val="15"/>
                <w:color w:val="auto"/>
              </w:rPr>
            </w:pPr>
          </w:p>
        </w:tc>
        <w:tc>
          <w:tcPr>
            <w:tcW w:w="1880" w:type="dxa"/>
            <w:vAlign w:val="bottom"/>
            <w:gridSpan w:val="3"/>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880" w:type="dxa"/>
            <w:vAlign w:val="bottom"/>
            <w:gridSpan w:val="3"/>
            <w:vMerge w:val="restart"/>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8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80" w:type="dxa"/>
            <w:vAlign w:val="bottom"/>
          </w:tcPr>
          <w:p>
            <w:pPr>
              <w:spacing w:after="0"/>
              <w:rPr>
                <w:sz w:val="17"/>
                <w:szCs w:val="17"/>
                <w:color w:val="auto"/>
              </w:rPr>
            </w:pPr>
          </w:p>
        </w:tc>
        <w:tc>
          <w:tcPr>
            <w:tcW w:w="18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680" w:type="dxa"/>
            <w:vAlign w:val="bottom"/>
            <w:gridSpan w:val="2"/>
            <w:vMerge w:val="restart"/>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4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Fair value hedges:</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6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rate long-term borrowings — active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48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fair value hedges</w:t>
            </w:r>
          </w:p>
        </w:tc>
        <w:tc>
          <w:tcPr>
            <w:tcW w:w="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8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4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5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 hedges:</w:t>
            </w: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Variable rate commercial real estate and commercial and industrial loans:</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64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Active</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48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3.80</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Forward-starting</w:t>
            </w: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10,525</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4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cash flow hedges</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25,525</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31,625</w:t>
            </w:r>
          </w:p>
        </w:tc>
        <w:tc>
          <w:tcPr>
            <w:tcW w:w="8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5640" w:type="dxa"/>
            <w:vAlign w:val="bottom"/>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Fair value hedges:</w:t>
            </w:r>
          </w:p>
        </w:tc>
        <w:tc>
          <w:tcPr>
            <w:tcW w:w="44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6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rate long-term borrowings — active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48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Fixed rate long-term borrowings — forward-starting</w:t>
            </w: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4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fair value hedges</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flow hedges:</w:t>
            </w:r>
          </w:p>
        </w:tc>
        <w:tc>
          <w:tcPr>
            <w:tcW w:w="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64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Variable rate commercial real estate and commercial and industrial loans:</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Active</w:t>
            </w: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15,200</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56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Forward-starting</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9,700</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48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cash flow hedges</w:t>
            </w:r>
          </w:p>
        </w:tc>
        <w:tc>
          <w:tcPr>
            <w:tcW w:w="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24,900</w:t>
            </w:r>
          </w:p>
        </w:tc>
        <w:tc>
          <w:tcPr>
            <w:tcW w:w="8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4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31,000</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-33655</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-33655</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-187960</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-488315</wp:posOffset>
            </wp:positionV>
            <wp:extent cx="51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-1079500</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-1653540</wp:posOffset>
            </wp:positionV>
            <wp:extent cx="514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-1653540</wp:posOffset>
            </wp:positionV>
            <wp:extent cx="514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-1988185</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-2279650</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-2279650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Information regarding the fair value of interest rate swap agreements designated as fair value hedges and cash flow hedges is presented in note 10 of Notes to Financial Statements. The average notional amounts of interest rate swap agreements entered into for interest rate risk management purposes (excluding forward-starting interest rate swap agreements not in effect during the quarter), the related effect on net interest income and margin, and the weighted-average interest rates paid or received on those swap agreements are presented in the table that follows.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INTEREST RATE SWAP AGREEMENTS - EFFECT ON NET INTEREST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3"/>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gridSpan w:val="3"/>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3"/>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3"/>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37"/>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Rate (a)</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9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Rate (a)</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4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Rate (a)</w:t>
            </w:r>
          </w:p>
        </w:tc>
        <w:tc>
          <w:tcPr>
            <w:tcW w:w="0" w:type="dxa"/>
            <w:vAlign w:val="bottom"/>
          </w:tcPr>
          <w:p>
            <w:pPr>
              <w:spacing w:after="0"/>
              <w:rPr>
                <w:sz w:val="1"/>
                <w:szCs w:val="1"/>
                <w:color w:val="auto"/>
              </w:rPr>
            </w:pPr>
          </w:p>
        </w:tc>
      </w:tr>
      <w:tr>
        <w:trPr>
          <w:trHeight w:val="37"/>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Increase (decrease) in:</w:t>
            </w: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6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93"/>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5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37"/>
        </w:trPr>
        <w:tc>
          <w:tcPr>
            <w:tcW w:w="26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income/margin</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Average notional amount (b)</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620" w:type="dxa"/>
            <w:vAlign w:val="bottom"/>
            <w:vMerge w:val="continue"/>
          </w:tcPr>
          <w:p>
            <w:pPr>
              <w:spacing w:after="0"/>
              <w:rPr>
                <w:sz w:val="14"/>
                <w:szCs w:val="14"/>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20,926</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19,636</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23,816</w:t>
            </w: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6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62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Rate received (c)</w:t>
            </w: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3.76 %</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3.54 %</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3.34 %</w:t>
            </w:r>
          </w:p>
        </w:tc>
        <w:tc>
          <w:tcPr>
            <w:tcW w:w="0" w:type="dxa"/>
            <w:vAlign w:val="bottom"/>
          </w:tcPr>
          <w:p>
            <w:pPr>
              <w:spacing w:after="0"/>
              <w:rPr>
                <w:sz w:val="1"/>
                <w:szCs w:val="1"/>
                <w:color w:val="auto"/>
              </w:rPr>
            </w:pPr>
          </w:p>
        </w:tc>
      </w:tr>
      <w:tr>
        <w:trPr>
          <w:trHeight w:val="19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Rate paid (c)</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54" w:lineRule="exact"/>
        <w:rPr>
          <w:sz w:val="20"/>
          <w:szCs w:val="20"/>
          <w:color w:val="auto"/>
        </w:rPr>
      </w:pPr>
    </w:p>
    <w:p>
      <w:pPr>
        <w:ind w:left="440" w:hanging="432"/>
        <w:spacing w:after="0"/>
        <w:tabs>
          <w:tab w:leader="none" w:pos="440"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Computed as an annualized percentage of average earning assets or interest-bearing liabilities.</w:t>
      </w:r>
    </w:p>
    <w:p>
      <w:pPr>
        <w:spacing w:after="0" w:line="19"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forward-starting interest rate swap agreements not in effect during the period.</w:t>
      </w:r>
    </w:p>
    <w:p>
      <w:pPr>
        <w:spacing w:after="0" w:line="11"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Weighted-average rate paid or received on interest rate swap agreements in effect during the period.</w:t>
      </w:r>
    </w:p>
    <w:p>
      <w:pPr>
        <w:spacing w:after="0" w:line="330" w:lineRule="exact"/>
        <w:rPr>
          <w:rFonts w:ascii="Times New Roman" w:cs="Times New Roman" w:eastAsia="Times New Roman" w:hAnsi="Times New Roman"/>
          <w:sz w:val="14"/>
          <w:szCs w:val="14"/>
          <w:i w:val="1"/>
          <w:iCs w:val="1"/>
          <w:color w:val="auto"/>
        </w:rPr>
      </w:pPr>
    </w:p>
    <w:p>
      <w:pPr>
        <w:ind w:left="5540" w:hanging="111"/>
        <w:spacing w:after="0"/>
        <w:tabs>
          <w:tab w:leader="none" w:pos="5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1"/>
          <w:szCs w:val="21"/>
          <w:b w:val="1"/>
          <w:bCs w:val="1"/>
          <w:i w:val="1"/>
          <w:iCs w:val="1"/>
          <w:color w:val="auto"/>
        </w:rPr>
        <w:t>Lending activities</w:t>
      </w:r>
    </w:p>
    <w:p>
      <w:pPr>
        <w:spacing w:after="0" w:line="11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1"/>
          <w:szCs w:val="21"/>
          <w:color w:val="auto"/>
        </w:rPr>
        <w:t>The following table summarizes changes in the components of average loans and reflects the Company's efforts to reduce its exposure to commercial real estate loans designated as criticized.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LOANS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58"/>
        </w:trPr>
        <w:tc>
          <w:tcPr>
            <w:tcW w:w="4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7"/>
                <w:szCs w:val="17"/>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7"/>
        </w:trPr>
        <w:tc>
          <w:tcPr>
            <w:tcW w:w="42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63,804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62,257</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63,804</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61,056</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 commercial</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23,496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24,101</w:t>
            </w:r>
          </w:p>
        </w:tc>
        <w:tc>
          <w:tcPr>
            <w:tcW w:w="8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23,496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26,259</w:t>
            </w:r>
          </w:p>
        </w:tc>
        <w:tc>
          <w:tcPr>
            <w:tcW w:w="8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 residential</w:t>
            </w: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24,765</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23,176</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4,771</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4,565</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3"/>
        </w:trPr>
        <w:tc>
          <w:tcPr>
            <w:tcW w:w="4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Recreational finance</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14,167</w:t>
            </w:r>
          </w:p>
        </w:tc>
        <w:tc>
          <w:tcPr>
            <w:tcW w:w="8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12,684</w:t>
            </w:r>
          </w:p>
        </w:tc>
        <w:tc>
          <w:tcPr>
            <w:tcW w:w="8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Automobile</w:t>
            </w: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5,209</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4,896</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3"/>
        </w:trPr>
        <w:tc>
          <w:tcPr>
            <w:tcW w:w="4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8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8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37"/>
        </w:trPr>
        <w:tc>
          <w:tcPr>
            <w:tcW w:w="42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26,477</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24,353</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138,423</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137,600</w:t>
            </w:r>
          </w:p>
        </w:tc>
        <w:tc>
          <w:tcPr>
            <w:tcW w:w="80" w:type="dxa"/>
            <w:vAlign w:val="bottom"/>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Pr>
          <w:p>
            <w:pPr>
              <w:spacing w:after="0"/>
              <w:rPr>
                <w:sz w:val="16"/>
                <w:szCs w:val="16"/>
                <w:color w:val="auto"/>
              </w:rPr>
            </w:pP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138,423</w:t>
            </w:r>
          </w:p>
        </w:tc>
        <w:tc>
          <w:tcPr>
            <w:tcW w:w="80" w:type="dxa"/>
            <w:vAlign w:val="bottom"/>
          </w:tcPr>
          <w:p>
            <w:pPr>
              <w:spacing w:after="0"/>
              <w:rPr>
                <w:sz w:val="16"/>
                <w:szCs w:val="16"/>
                <w:color w:val="auto"/>
              </w:rPr>
            </w:pP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134,844</w:t>
            </w:r>
          </w:p>
        </w:tc>
        <w:tc>
          <w:tcPr>
            <w:tcW w:w="80" w:type="dxa"/>
            <w:vAlign w:val="bottom"/>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37"/>
        </w:trPr>
        <w:tc>
          <w:tcPr>
            <w:tcW w:w="42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loans totaled $138.4 billion in the first quarter of 2026, up $823 million from the fourth quarter of 2025.</w:t>
      </w:r>
    </w:p>
    <w:p>
      <w:pPr>
        <w:spacing w:after="0" w:line="123" w:lineRule="exact"/>
        <w:rPr>
          <w:sz w:val="20"/>
          <w:szCs w:val="20"/>
          <w:color w:val="auto"/>
        </w:rPr>
      </w:pPr>
    </w:p>
    <w:p>
      <w:pPr>
        <w:ind w:left="880" w:hanging="431"/>
        <w:spacing w:after="0"/>
        <w:tabs>
          <w:tab w:leader="none" w:pos="8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Average commercial and industrial loans grew $1.5 billion reflecting growth in loans to the financial and insurance industry.</w:t>
      </w:r>
    </w:p>
    <w:p>
      <w:pPr>
        <w:spacing w:after="0" w:line="121" w:lineRule="exact"/>
        <w:rPr>
          <w:rFonts w:ascii="Times New Roman" w:cs="Times New Roman" w:eastAsia="Times New Roman" w:hAnsi="Times New Roman"/>
          <w:sz w:val="20"/>
          <w:szCs w:val="20"/>
          <w:color w:val="auto"/>
        </w:rPr>
      </w:pPr>
    </w:p>
    <w:p>
      <w:pPr>
        <w:ind w:left="880" w:hanging="431"/>
        <w:spacing w:after="0" w:line="270" w:lineRule="auto"/>
        <w:tabs>
          <w:tab w:leader="none" w:pos="87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Commercial real estate loans decreased $605 million, reflecting reductions of $293 million and $312 million of average construction and average permanent commercial real estate loans, respectively.</w:t>
      </w:r>
    </w:p>
    <w:p>
      <w:pPr>
        <w:spacing w:after="0" w:line="64"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consumer loans decreased $171 million reflecting lower average balances of automobile loans of $125 million and recreational finance loans of $92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the first three months of 2026, average loans increased $3.6 billion from the corresponding 2025 period.</w:t>
      </w:r>
    </w:p>
    <w:p>
      <w:pPr>
        <w:spacing w:after="0" w:line="110" w:lineRule="exact"/>
        <w:rPr>
          <w:sz w:val="20"/>
          <w:szCs w:val="20"/>
          <w:color w:val="auto"/>
        </w:rPr>
      </w:pPr>
    </w:p>
    <w:p>
      <w:pPr>
        <w:ind w:left="880" w:hanging="431"/>
        <w:spacing w:after="0"/>
        <w:tabs>
          <w:tab w:leader="none" w:pos="88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commercial and industrial loans increased $2.7 billion reflecting growth that spanned most industry types.</w:t>
      </w:r>
    </w:p>
    <w:p>
      <w:pPr>
        <w:spacing w:after="0" w:line="109" w:lineRule="exact"/>
        <w:rPr>
          <w:rFonts w:ascii="Times New Roman" w:cs="Times New Roman" w:eastAsia="Times New Roman" w:hAnsi="Times New Roman"/>
          <w:sz w:val="21"/>
          <w:szCs w:val="21"/>
          <w:color w:val="auto"/>
        </w:rPr>
      </w:pPr>
    </w:p>
    <w:p>
      <w:pPr>
        <w:jc w:val="both"/>
        <w:ind w:left="880" w:hanging="431"/>
        <w:spacing w:after="0" w:line="260" w:lineRule="auto"/>
        <w:tabs>
          <w:tab w:leader="none" w:pos="876"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commercial real estate loans declined $2.8 billion as the Company executed various strategies to reduce its relative concentration of such loans designated as criticized. Average permanent and construction commercial real estate loans decreased by $381 million and $2.4 billion, respectively. The decline in average commercial real estate construction loans reflects the sale of $661 million of out-of-footprint residential builder and developer loans in June 2025.</w:t>
      </w:r>
    </w:p>
    <w:p>
      <w:pPr>
        <w:spacing w:after="0" w:line="60"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residential real estate loans increased $1.6 billion reflecting the retention of originated residential mortgage loans and purchases.</w:t>
      </w:r>
    </w:p>
    <w:p>
      <w:pPr>
        <w:spacing w:after="0" w:line="64"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consumer loans increased $2.0 billion reflecting growth in average recreational finance loans of $1.4 billion, home equity loans and lines of credit of $227 million and automobile loans of $188 million.</w:t>
      </w:r>
    </w:p>
    <w:p>
      <w:pPr>
        <w:spacing w:after="0" w:line="267"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8" w:name="page49"/>
    <w:bookmarkEnd w:id="48"/>
    <w:p>
      <w:pPr>
        <w:jc w:val="both"/>
        <w:spacing w:after="0" w:line="255" w:lineRule="auto"/>
        <w:rPr>
          <w:sz w:val="20"/>
          <w:szCs w:val="20"/>
          <w:color w:val="auto"/>
        </w:rPr>
      </w:pPr>
      <w:r>
        <w:rPr>
          <w:rFonts w:ascii="Times New Roman" w:cs="Times New Roman" w:eastAsia="Times New Roman" w:hAnsi="Times New Roman"/>
          <w:sz w:val="21"/>
          <w:szCs w:val="21"/>
          <w:color w:val="auto"/>
        </w:rPr>
        <w:t>Borrowers in the financial and insurance industry include real estate investment trusts and other specialty lending businesses including fund banking companies and mortgage warehouse lending businesses. Approximately 89% of loans to the financial and insurance industry and 7% of loans to the services industry were designated as loans to NDFIs as prescribed in regulatory guidance applicable to the Company at March 31, 2026. The following table presents commercial and industrial commitments and outstanding balances of loans to NDFIs at March 31, 2026.</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COMMERCIAL AND INDUSTRIAL COMMITMENTS AND LOANS TO NDFIs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7"/>
                <w:szCs w:val="17"/>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 Amount</w:t>
            </w:r>
          </w:p>
        </w:tc>
        <w:tc>
          <w:tcPr>
            <w:tcW w:w="120" w:type="dxa"/>
            <w:vAlign w:val="bottom"/>
          </w:tcPr>
          <w:p>
            <w:pPr>
              <w:spacing w:after="0"/>
              <w:rPr>
                <w:sz w:val="17"/>
                <w:szCs w:val="17"/>
                <w:color w:val="auto"/>
              </w:rPr>
            </w:pPr>
          </w:p>
        </w:tc>
        <w:tc>
          <w:tcPr>
            <w:tcW w:w="14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Outstanding Balance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7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 credit intermediaries (a)</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Private equity funds (b)</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3,469</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 credit intermediaries (c)</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Consumer credit intermediaries (d)</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7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24,693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13,333</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16" w:lineRule="exact"/>
        <w:rPr>
          <w:sz w:val="20"/>
          <w:szCs w:val="20"/>
          <w:color w:val="auto"/>
        </w:rPr>
      </w:pPr>
    </w:p>
    <w:p>
      <w:pPr>
        <w:ind w:left="440" w:hanging="432"/>
        <w:spacing w:after="0"/>
        <w:tabs>
          <w:tab w:leader="none" w:pos="44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real estate investment trust credit facilities, residential mortgage warehouse lines of credit and mortgage loan servicing rights secured financing.</w:t>
      </w:r>
    </w:p>
    <w:p>
      <w:pPr>
        <w:spacing w:after="0" w:line="2"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Primarily subscription credit facilities.</w:t>
      </w:r>
    </w:p>
    <w:p>
      <w:pPr>
        <w:spacing w:after="0" w:line="11"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credit facilities to wholesale lender finance and leasing companies and business development companies.</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credit facilities to consumer lender finance and leasing companies.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Investing activities</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Company's investment securities portfolio is primarily comprised of government-issued or guaranteed residential and commercial mortgage-backed securities and U.S. Treasury securities, but also includes municipal and other securities. When purchasing investment securities, the Company considers its liquidity position and its overall interest rate risk profile as well as the adequacy of expected returns relative to risks assumed, including prepayments. The Company may occasionally sell investment securities as a result of movements in interest rates and spreads, changes in liquidity needs, actual or anticipated prepayments, credit risk associated with a particular security, or as a result of restructuring its investment securities portfolio. The amounts of investment securities held by the Company are influenced by such factors as available yield in comparison with alternative investments, demand for loans, which generally yield more than investment securities, ongoing repayments, the levels of deposits, and management of liquidity and balance sheet size and resulting capital ratios. Information about the Company's average investment securities portfolio is presented in the following table.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INVESTMENT SECURITIES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0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7"/>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 available for sale:</w:t>
            </w: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41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4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U.S. Treasury</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5,391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6,552</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7,995</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0" w:type="dxa"/>
            <w:vAlign w:val="bottom"/>
          </w:tcPr>
          <w:p>
            <w:pPr>
              <w:spacing w:after="0"/>
              <w:rPr>
                <w:sz w:val="1"/>
                <w:szCs w:val="1"/>
                <w:color w:val="auto"/>
              </w:rPr>
            </w:pPr>
          </w:p>
        </w:tc>
      </w:tr>
      <w:tr>
        <w:trPr>
          <w:trHeight w:val="193"/>
        </w:trPr>
        <w:tc>
          <w:tcPr>
            <w:tcW w:w="4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Mortgage-backed securities (a)</w:t>
            </w:r>
          </w:p>
        </w:tc>
        <w:tc>
          <w:tcPr>
            <w:tcW w:w="1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18,995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16,547</w:t>
            </w:r>
          </w:p>
        </w:tc>
        <w:tc>
          <w:tcPr>
            <w:tcW w:w="8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11,704</w:t>
            </w:r>
          </w:p>
        </w:tc>
        <w:tc>
          <w:tcPr>
            <w:tcW w:w="8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37"/>
        </w:trPr>
        <w:tc>
          <w:tcPr>
            <w:tcW w:w="4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available for sale</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24,387</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23,100</w:t>
            </w:r>
          </w:p>
        </w:tc>
        <w:tc>
          <w:tcPr>
            <w:tcW w:w="80" w:type="dxa"/>
            <w:vAlign w:val="bottom"/>
          </w:tcPr>
          <w:p>
            <w:pPr>
              <w:spacing w:after="0"/>
              <w:rPr>
                <w:sz w:val="16"/>
                <w:szCs w:val="16"/>
                <w:color w:val="auto"/>
              </w:rPr>
            </w:pPr>
          </w:p>
        </w:tc>
        <w:tc>
          <w:tcPr>
            <w:tcW w:w="104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24,387</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19,702</w:t>
            </w:r>
          </w:p>
        </w:tc>
        <w:tc>
          <w:tcPr>
            <w:tcW w:w="80" w:type="dxa"/>
            <w:vAlign w:val="bottom"/>
          </w:tcPr>
          <w:p>
            <w:pPr>
              <w:spacing w:after="0"/>
              <w:rPr>
                <w:sz w:val="16"/>
                <w:szCs w:val="16"/>
                <w:color w:val="auto"/>
              </w:rPr>
            </w:pPr>
          </w:p>
        </w:tc>
        <w:tc>
          <w:tcPr>
            <w:tcW w:w="10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37"/>
        </w:trPr>
        <w:tc>
          <w:tcPr>
            <w:tcW w:w="4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 held to maturity:</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U.S. Treasury</w:t>
            </w:r>
          </w:p>
        </w:tc>
        <w:tc>
          <w:tcPr>
            <w:tcW w:w="1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8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8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37"/>
        </w:trPr>
        <w:tc>
          <w:tcPr>
            <w:tcW w:w="4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Mortgage-backed securities (a)</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9,761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9,992</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10,749</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2"/>
        </w:trPr>
        <w:tc>
          <w:tcPr>
            <w:tcW w:w="4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1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2,104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2,148</w:t>
            </w:r>
          </w:p>
        </w:tc>
        <w:tc>
          <w:tcPr>
            <w:tcW w:w="8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2,313</w:t>
            </w:r>
          </w:p>
        </w:tc>
        <w:tc>
          <w:tcPr>
            <w:tcW w:w="8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37"/>
        </w:trPr>
        <w:tc>
          <w:tcPr>
            <w:tcW w:w="4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held to maturity</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12,270</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12,586</w:t>
            </w:r>
          </w:p>
        </w:tc>
        <w:tc>
          <w:tcPr>
            <w:tcW w:w="80" w:type="dxa"/>
            <w:vAlign w:val="bottom"/>
          </w:tcPr>
          <w:p>
            <w:pPr>
              <w:spacing w:after="0"/>
              <w:rPr>
                <w:sz w:val="16"/>
                <w:szCs w:val="16"/>
                <w:color w:val="auto"/>
              </w:rPr>
            </w:pPr>
          </w:p>
        </w:tc>
        <w:tc>
          <w:tcPr>
            <w:tcW w:w="104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12,270</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13,702</w:t>
            </w:r>
          </w:p>
        </w:tc>
        <w:tc>
          <w:tcPr>
            <w:tcW w:w="80" w:type="dxa"/>
            <w:vAlign w:val="bottom"/>
          </w:tcPr>
          <w:p>
            <w:pPr>
              <w:spacing w:after="0"/>
              <w:rPr>
                <w:sz w:val="16"/>
                <w:szCs w:val="16"/>
                <w:color w:val="auto"/>
              </w:rPr>
            </w:pPr>
          </w:p>
        </w:tc>
        <w:tc>
          <w:tcPr>
            <w:tcW w:w="10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37"/>
        </w:trPr>
        <w:tc>
          <w:tcPr>
            <w:tcW w:w="4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and other securities</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8"/>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37,845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36,705</w:t>
            </w:r>
          </w:p>
        </w:tc>
        <w:tc>
          <w:tcPr>
            <w:tcW w:w="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37,845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34,480</w:t>
            </w:r>
          </w:p>
        </w:tc>
        <w:tc>
          <w:tcPr>
            <w:tcW w:w="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16" w:lineRule="exact"/>
        <w:rPr>
          <w:sz w:val="20"/>
          <w:szCs w:val="20"/>
          <w:color w:val="auto"/>
        </w:rPr>
      </w:pPr>
    </w:p>
    <w:p>
      <w:pPr>
        <w:ind w:left="440" w:hanging="432"/>
        <w:spacing w:after="0"/>
        <w:tabs>
          <w:tab w:leader="none" w:pos="440"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Primarily government issued or guaranteed.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9" w:name="page50"/>
    <w:bookmarkEnd w:id="49"/>
    <w:p>
      <w:pPr>
        <w:jc w:val="both"/>
        <w:spacing w:after="0" w:line="249" w:lineRule="auto"/>
        <w:rPr>
          <w:sz w:val="20"/>
          <w:szCs w:val="20"/>
          <w:color w:val="auto"/>
        </w:rPr>
      </w:pPr>
      <w:r>
        <w:rPr>
          <w:rFonts w:ascii="Times New Roman" w:cs="Times New Roman" w:eastAsia="Times New Roman" w:hAnsi="Times New Roman"/>
          <w:sz w:val="21"/>
          <w:szCs w:val="21"/>
          <w:color w:val="auto"/>
        </w:rPr>
        <w:t>The investment securities portfolio averaged $37.8 billion in the first quarter of 2026, up $1.1 billion and $3.4 billion from the fourth and first quarters of 2025, respectively. Those increases reflect the Company's deployment of liquidity into primarily fixed-rate mortgage-backed investment securities classified as available-for-sale. In the recent quarter the Company sold $2.5 billion of U.S. Treasury securities, all of which had maturity dates in 2026. As a result of the purchases of higher-yielding securities and sales, paydowns and maturities of lower-yielding securities, the weighted-average current yield for total investment securities available for sale increased to 4.71% at March 31, 2026 and 4.64% at December 31, 2025 from 4.42% at March 31, 2025. The weighted-average duration of that portfolio was 3.1 years at March 31, 2026 as compared with 2.4 years and 2.5 years at December 31, 2025 and March 31, 2025, respectively. The increase in the weighted-average duration in the recent quarter reflects the sale of U.S. Treasury securities near maturity and purchase of fixed rate mortgage-backed investment securities with longer maturity dates. The Company routinely adjusts its holdings of capital stock of the FHLB of New York and the FRB of New York based on amounts of outstanding borrowings and available lines of credit with those entities.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 regularly reviews its debt investment securities for declines in value below amortized cost that might be indicative of credit-related losses. There were no credit-related losses on debt investment securities recognized in each of the three months ended March 31, 2026, December 31, 2025 and March 31, 2025. Additional information about the investment securities portfolio is included in notes 2 and 12 of Notes to Financial Statements.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Other earning assets include interest-bearing deposits at banks and trading account assets. Those other earning assets in the aggregate averaged $16.3 billion in the recent quarter, compared with $18.1 billion and $19.8 billion during the three months ended December 31, 2025 and March 31, 2025, respectively, and were primarily comprised of deposits held at the FRB of New York. The Company considers such deposits to be an immediate source of funds in its liquidity management processes. In general, the levels of those deposits often fluctuate due to changes in deposits of retail and commercial customers, trust-related deposits and brokered deposits, lending activities and additions to or maturities of investment securities or borrowings.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Funding activities - deposits</w:t>
      </w:r>
    </w:p>
    <w:p>
      <w:pPr>
        <w:spacing w:after="0" w:line="1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The most significant source of funding for the Company is core deposits from its customer base. The Company considers noninterest-bearing deposits, savings and interest-checking deposits and time deposits of $250,000 or less as core deposits. The Company’s domestic banking network is its principal source of core deposits, which generally carry lower interest rates than wholesale funds of comparable maturities. Average core deposits represented 79% of average earning assets at each of the quarters ended March 31, 2026 and December 31, 2025, compared with 78% for the quarter ended March 31, 2025. The Company also utilizes brokered deposits as a component of its wholesale funding strategy. Depending on market conditions, including demand by customers and other investors, and the cost of funds available from alternative sources, the Company may change the amount or composition of brokered deposits in the future. The following table provides an analysis of changes in the components of average deposits.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DEPOSITS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10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44,547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44,184</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44,547</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45,436</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93"/>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Savings and interest-checking deposits</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96,731</w:t>
            </w:r>
          </w:p>
        </w:tc>
        <w:tc>
          <w:tcPr>
            <w:tcW w:w="8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97,085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91,573</w:t>
            </w:r>
          </w:p>
        </w:tc>
        <w:tc>
          <w:tcPr>
            <w:tcW w:w="8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 deposits of $250,000 or less</w:t>
            </w: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10,206</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10,020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10,489</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core deposits</w:t>
            </w: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151,652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151,121</w:t>
            </w:r>
          </w:p>
        </w:tc>
        <w:tc>
          <w:tcPr>
            <w:tcW w:w="80" w:type="dxa"/>
            <w:vAlign w:val="bottom"/>
          </w:tcPr>
          <w:p>
            <w:pPr>
              <w:spacing w:after="0"/>
              <w:rPr>
                <w:sz w:val="16"/>
                <w:szCs w:val="16"/>
                <w:color w:val="auto"/>
              </w:rPr>
            </w:pPr>
          </w:p>
        </w:tc>
        <w:tc>
          <w:tcPr>
            <w:tcW w:w="10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151,652</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147,498</w:t>
            </w:r>
          </w:p>
        </w:tc>
        <w:tc>
          <w:tcPr>
            <w:tcW w:w="80" w:type="dxa"/>
            <w:vAlign w:val="bottom"/>
          </w:tcPr>
          <w:p>
            <w:pPr>
              <w:spacing w:after="0"/>
              <w:rPr>
                <w:sz w:val="16"/>
                <w:szCs w:val="16"/>
                <w:color w:val="auto"/>
              </w:rPr>
            </w:pPr>
          </w:p>
        </w:tc>
        <w:tc>
          <w:tcPr>
            <w:tcW w:w="10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Time deposits greater than $250,000</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8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2,814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2,954</w:t>
            </w:r>
          </w:p>
        </w:tc>
        <w:tc>
          <w:tcPr>
            <w:tcW w:w="8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Brokered savings and interest-checking deposits</w:t>
            </w: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10,556</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9,508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9,991</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Brokered time deposits</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8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164,268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165,057</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164,268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161,220</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1"/>
          <w:szCs w:val="21"/>
          <w:color w:val="auto"/>
        </w:rPr>
        <w:t>Total deposits averaged $164.3 billion in the recent quarter, down $789 million from the fourth quarter of 2025.</w:t>
      </w:r>
    </w:p>
    <w:p>
      <w:pPr>
        <w:spacing w:after="0" w:line="110" w:lineRule="exact"/>
        <w:rPr>
          <w:sz w:val="20"/>
          <w:szCs w:val="20"/>
          <w:color w:val="auto"/>
        </w:rPr>
      </w:pPr>
    </w:p>
    <w:p>
      <w:pPr>
        <w:jc w:val="both"/>
        <w:ind w:left="880" w:hanging="431"/>
        <w:spacing w:after="0" w:line="262" w:lineRule="auto"/>
        <w:tabs>
          <w:tab w:leader="none" w:pos="87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core deposits increased $531 million reflecting higher noninterest-bearing deposits and a rise in average savings and interest-checking deposits largely driven by growth in commercial customer deposits, partially offset by lower average time deposits of retail customers.</w:t>
      </w:r>
    </w:p>
    <w:p>
      <w:pPr>
        <w:spacing w:after="0" w:line="73" w:lineRule="exact"/>
        <w:rPr>
          <w:rFonts w:ascii="Times New Roman" w:cs="Times New Roman" w:eastAsia="Times New Roman" w:hAnsi="Times New Roman"/>
          <w:sz w:val="21"/>
          <w:szCs w:val="21"/>
          <w:color w:val="auto"/>
        </w:rPr>
      </w:pPr>
    </w:p>
    <w:p>
      <w:pPr>
        <w:ind w:left="880" w:hanging="431"/>
        <w:spacing w:after="0"/>
        <w:tabs>
          <w:tab w:leader="none" w:pos="88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brokered deposits decreased $1.2 billion reflecting changes in the Company's wholesale funding composition.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Total average deposits increased $3.0 billion from the year-earlier quarter.</w:t>
      </w:r>
    </w:p>
    <w:p>
      <w:pPr>
        <w:spacing w:after="0" w:line="110" w:lineRule="exact"/>
        <w:rPr>
          <w:sz w:val="20"/>
          <w:szCs w:val="20"/>
          <w:color w:val="auto"/>
        </w:rPr>
      </w:pPr>
    </w:p>
    <w:p>
      <w:pPr>
        <w:jc w:val="both"/>
        <w:ind w:left="880" w:hanging="431"/>
        <w:spacing w:after="0" w:line="260" w:lineRule="auto"/>
        <w:tabs>
          <w:tab w:leader="none" w:pos="876"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core deposits grew $4.2 billion predominantly reflecting growth in average savings and interest-checking deposit balances from commercial customers. Partially offsetting that growth was lower average noninterest-bearing deposit balances of those commercial customers and a decline in average balances of retail customer time deposits reflecting maturities.</w:t>
      </w:r>
    </w:p>
    <w:p>
      <w:pPr>
        <w:spacing w:after="0" w:line="60" w:lineRule="exact"/>
        <w:rPr>
          <w:rFonts w:ascii="Times New Roman" w:cs="Times New Roman" w:eastAsia="Times New Roman" w:hAnsi="Times New Roman"/>
          <w:sz w:val="21"/>
          <w:szCs w:val="21"/>
          <w:color w:val="auto"/>
        </w:rPr>
      </w:pPr>
    </w:p>
    <w:p>
      <w:pPr>
        <w:ind w:left="880" w:hanging="431"/>
        <w:spacing w:after="0"/>
        <w:tabs>
          <w:tab w:leader="none" w:pos="8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brokered deposits declined $966 million reflecting changes in the Company's wholesale funding composition.</w:t>
      </w:r>
    </w:p>
    <w:p>
      <w:pPr>
        <w:spacing w:after="0" w:line="11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1"/>
          <w:szCs w:val="21"/>
          <w:color w:val="auto"/>
        </w:rPr>
        <w:t>The accompanying table summarizes the components of average total deposits by reportable segment for the three months ended March 31, 2026, December 31, 2025 and March 31, 2025.</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DEPOSITS BY REPORTABLE SEGMENT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Services and</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Commercial Bank</w:t>
            </w:r>
          </w:p>
        </w:tc>
        <w:tc>
          <w:tcPr>
            <w:tcW w:w="180" w:type="dxa"/>
            <w:vAlign w:val="bottom"/>
          </w:tcPr>
          <w:p>
            <w:pPr>
              <w:spacing w:after="0"/>
              <w:rPr>
                <w:sz w:val="15"/>
                <w:szCs w:val="15"/>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Retail Bank</w:t>
            </w:r>
          </w:p>
        </w:tc>
        <w:tc>
          <w:tcPr>
            <w:tcW w:w="16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Wealth</w:t>
            </w:r>
          </w:p>
        </w:tc>
        <w:tc>
          <w:tcPr>
            <w:tcW w:w="220" w:type="dxa"/>
            <w:vAlign w:val="bottom"/>
          </w:tcPr>
          <w:p>
            <w:pPr>
              <w:spacing w:after="0"/>
              <w:rPr>
                <w:sz w:val="15"/>
                <w:szCs w:val="15"/>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80" w:type="dxa"/>
            <w:vAlign w:val="bottom"/>
          </w:tcPr>
          <w:p>
            <w:pPr>
              <w:spacing w:after="0"/>
              <w:rPr>
                <w:sz w:val="15"/>
                <w:szCs w:val="15"/>
                <w:color w:val="auto"/>
              </w:rPr>
            </w:pPr>
          </w:p>
        </w:tc>
        <w:tc>
          <w:tcPr>
            <w:tcW w:w="98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40" w:type="dxa"/>
            <w:vAlign w:val="bottom"/>
            <w:gridSpan w:val="3"/>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44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44,547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Savings and interest-checking deposits</w:t>
            </w: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52,189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106,593</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4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49,470</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88,907</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19,674</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6,217</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164,268</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44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44,184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Savings and interest-checking deposits</w:t>
            </w: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38,076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53,160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107,287</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4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48,733</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90,412</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18,274</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7,638</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165,057</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44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45,436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Savings and interest-checking deposits</w:t>
            </w: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33,808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51,685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101,564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4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45,477</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88,940</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18,567</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8,236</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161,220</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1"/>
          <w:szCs w:val="21"/>
          <w:b w:val="1"/>
          <w:bCs w:val="1"/>
          <w:i w:val="1"/>
          <w:iCs w:val="1"/>
          <w:color w:val="auto"/>
        </w:rPr>
        <w:t>Funding activities - borrowings</w:t>
      </w:r>
    </w:p>
    <w:p>
      <w:pPr>
        <w:spacing w:after="0" w:line="11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1"/>
          <w:szCs w:val="21"/>
          <w:color w:val="auto"/>
        </w:rPr>
        <w:t>The following table summarizes the average balances utilized from the Company's short-term and long-term borrowing facilities and note programs.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BORROWINGS</w:t>
      </w:r>
    </w:p>
    <w:p>
      <w:pPr>
        <w:sectPr>
          <w:pgSz w:w="11900" w:h="16838" w:orient="portrait"/>
          <w:cols w:equalWidth="0" w:num="1">
            <w:col w:w="11240"/>
          </w:cols>
          <w:pgMar w:left="320" w:top="1088"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Short-term borrowings:</w:t>
      </w:r>
    </w:p>
    <w:p>
      <w:pPr>
        <w:spacing w:after="0" w:line="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Federal funds purchased and repurchase agreements</w:t>
      </w:r>
    </w:p>
    <w:p>
      <w:pPr>
        <w:spacing w:after="0" w:line="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FHLB advances</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short-term borrowings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30600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4"/>
                <w:szCs w:val="14"/>
                <w:color w:val="auto"/>
              </w:rPr>
            </w:pPr>
          </w:p>
        </w:tc>
        <w:tc>
          <w:tcPr>
            <w:tcW w:w="12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0"/>
        </w:trPr>
        <w:tc>
          <w:tcPr>
            <w:tcW w:w="280" w:type="dxa"/>
            <w:vAlign w:val="bottom"/>
          </w:tcPr>
          <w:p>
            <w:pPr>
              <w:spacing w:after="0"/>
              <w:rPr>
                <w:sz w:val="16"/>
                <w:szCs w:val="16"/>
                <w:color w:val="auto"/>
              </w:rPr>
            </w:pPr>
          </w:p>
        </w:tc>
        <w:tc>
          <w:tcPr>
            <w:tcW w:w="128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50"/>
        </w:trPr>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402"/>
        </w:trPr>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229"/>
        </w:trPr>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w:t>
            </w:r>
          </w:p>
        </w:tc>
      </w:tr>
      <w:tr>
        <w:trPr>
          <w:trHeight w:val="37"/>
        </w:trPr>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6"/>
        </w:trPr>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2,869</w:t>
            </w:r>
          </w:p>
        </w:tc>
      </w:tr>
      <w:tr>
        <w:trPr>
          <w:trHeight w:val="37"/>
        </w:trPr>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-453390</wp:posOffset>
            </wp:positionV>
            <wp:extent cx="7132320" cy="145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-162560</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720"/>
            <w:col w:w="4820"/>
          </w:cols>
          <w:pgMar w:left="320" w:top="1088" w:right="339" w:bottom="1440" w:gutter="0" w:footer="0" w:header="0"/>
          <w:type w:val="continuous"/>
        </w:sectPr>
      </w:pP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borrowings:</w:t>
            </w: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193"/>
        </w:trPr>
        <w:tc>
          <w:tcPr>
            <w:tcW w:w="6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Senior notes</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7,534</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9,068</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8,135</w:t>
            </w:r>
          </w:p>
        </w:tc>
      </w:tr>
      <w:tr>
        <w:trPr>
          <w:trHeight w:val="37"/>
        </w:trPr>
        <w:tc>
          <w:tcPr>
            <w:tcW w:w="6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9"/>
        </w:trPr>
        <w:tc>
          <w:tcPr>
            <w:tcW w:w="6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FHLB advances</w:t>
            </w: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r>
      <w:tr>
        <w:trPr>
          <w:trHeight w:val="193"/>
        </w:trPr>
        <w:tc>
          <w:tcPr>
            <w:tcW w:w="6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Subordinated notes</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37"/>
        </w:trPr>
        <w:tc>
          <w:tcPr>
            <w:tcW w:w="6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10"/>
        </w:trPr>
        <w:tc>
          <w:tcPr>
            <w:tcW w:w="6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Junior subordinated debentures</w:t>
            </w: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r>
      <w:tr>
        <w:trPr>
          <w:trHeight w:val="193"/>
        </w:trPr>
        <w:tc>
          <w:tcPr>
            <w:tcW w:w="6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Asset-backed notes</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w:t>
            </w:r>
          </w:p>
        </w:tc>
      </w:tr>
      <w:tr>
        <w:trPr>
          <w:trHeight w:val="37"/>
        </w:trPr>
        <w:tc>
          <w:tcPr>
            <w:tcW w:w="6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0"/>
        </w:trPr>
        <w:tc>
          <w:tcPr>
            <w:tcW w:w="6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6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6"/>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long-term borrowings</w:t>
            </w: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11,064</w:t>
            </w:r>
          </w:p>
        </w:tc>
        <w:tc>
          <w:tcPr>
            <w:tcW w:w="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12,555</w:t>
            </w: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11,285</w:t>
            </w:r>
          </w:p>
        </w:tc>
      </w:tr>
      <w:tr>
        <w:trPr>
          <w:trHeight w:val="37"/>
        </w:trPr>
        <w:tc>
          <w:tcPr>
            <w:tcW w:w="642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8"/>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borrowings</w:t>
            </w:r>
          </w:p>
        </w:tc>
        <w:tc>
          <w:tcPr>
            <w:tcW w:w="600" w:type="dxa"/>
            <w:vAlign w:val="bottom"/>
            <w:tcBorders>
              <w:bottom w:val="single" w:sz="8" w:color="CCEEFF"/>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16,759</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14,619</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 uses borrowing capacity from banks, the FHLBs, the FRB of New York and others as sources of funding. Short-term borrowings represent arrangements that at the time they were entered into had a contractual maturity of one year or less. The higher levels of short-term borrowings in the first quarter of 2026 as compared with the fourth and first quarters of 2025 reflect the Company's management of liquidity.</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 levels of long-term borrowings reflect the Company's strategies to diversify its wholesale funding sources to provide long-term funding stabilization. The following table provides a summary of the Company's issuances, maturities and redemptions of long-term borrowings in the recent quarter.</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LONG-TERM BORROWING ISSUANCES, MATURITIES AND REDEMPTIONS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16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37"/>
        </w:trPr>
        <w:tc>
          <w:tcPr>
            <w:tcW w:w="9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Issuances (a):</w:t>
            </w:r>
          </w:p>
        </w:tc>
        <w:tc>
          <w:tcPr>
            <w:tcW w:w="1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94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9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9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Asset-backed notes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0" w:type="dxa"/>
            <w:vAlign w:val="bottom"/>
          </w:tcPr>
          <w:p>
            <w:pPr>
              <w:spacing w:after="0"/>
              <w:rPr>
                <w:sz w:val="1"/>
                <w:szCs w:val="1"/>
                <w:color w:val="auto"/>
              </w:rPr>
            </w:pPr>
          </w:p>
        </w:tc>
      </w:tr>
      <w:tr>
        <w:trPr>
          <w:trHeight w:val="193"/>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Maturities/Redemptions (b)</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94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440" w:hanging="432"/>
        <w:spacing w:after="0"/>
        <w:tabs>
          <w:tab w:leader="none" w:pos="44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At par value.</w:t>
      </w:r>
    </w:p>
    <w:p>
      <w:pPr>
        <w:spacing w:after="0" w:line="2"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paydowns of asset-backed notes. There were no maturities or redemptions of long-term borrowings in the first quarter of 2026.</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Additional information regarding borrowings is provided in notes 4 and 11 of Notes to Financial Statements.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1"/>
          <w:szCs w:val="21"/>
          <w:b w:val="1"/>
          <w:bCs w:val="1"/>
          <w:color w:val="auto"/>
        </w:rPr>
        <w:t>Provision for Credit Losses</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A provision for credit losses is recorded to adjust the level of the allowance to reflect expected credit losses that are based on economic forecasts as of each reporting date. A provision for credit losses of $140 million was recorded in the first quarter of 2026, compared with $125 million and $130 million in the fourth and first quarters of 2025, respectively. The provision for credit losses included $15 million of provision for unfunded credit commitments in the first quarter of 2026, compared with a reduction of provision for unfunded credit commitments of $15 million in the fourth quarter of 2025. No provision for unfunded credit commitments was recorded in the first quarter of 2025.</w:t>
      </w:r>
    </w:p>
    <w:p>
      <w:pPr>
        <w:spacing w:after="0" w:line="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A summary of the Company's net charge-offs by loan type and as an annualized percent of such average loans is presented in the table that follows.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NET CHARGE-OFF (RECOVERY) INFORMATION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7"/>
        </w:trPr>
        <w:tc>
          <w:tcPr>
            <w:tcW w:w="28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r>
      <w:tr>
        <w:trPr>
          <w:trHeight w:val="186"/>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6"/>
                <w:szCs w:val="16"/>
                <w:color w:val="auto"/>
              </w:rPr>
            </w:pPr>
          </w:p>
        </w:tc>
        <w:tc>
          <w:tcPr>
            <w:tcW w:w="27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2640" w:type="dxa"/>
            <w:vAlign w:val="bottom"/>
            <w:gridSpan w:val="3"/>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37"/>
        </w:trPr>
        <w:tc>
          <w:tcPr>
            <w:tcW w:w="28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171"/>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Charge-Offs</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Annualized Percent</w:t>
            </w:r>
          </w:p>
        </w:tc>
        <w:tc>
          <w:tcPr>
            <w:tcW w:w="10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Charge-Offs</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Annualized Percent</w:t>
            </w:r>
          </w:p>
        </w:tc>
        <w:tc>
          <w:tcPr>
            <w:tcW w:w="10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Charge-Offs</w:t>
            </w: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Annualized Percent</w:t>
            </w:r>
          </w:p>
        </w:tc>
      </w:tr>
      <w:tr>
        <w:trPr>
          <w:trHeight w:val="190"/>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6"/>
                <w:szCs w:val="16"/>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Average Loans</w:t>
            </w:r>
          </w:p>
        </w:tc>
        <w:tc>
          <w:tcPr>
            <w:tcW w:w="100" w:type="dxa"/>
            <w:vAlign w:val="bottom"/>
          </w:tcPr>
          <w:p>
            <w:pPr>
              <w:spacing w:after="0"/>
              <w:rPr>
                <w:sz w:val="16"/>
                <w:szCs w:val="16"/>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Average Loans</w:t>
            </w:r>
          </w:p>
        </w:tc>
        <w:tc>
          <w:tcPr>
            <w:tcW w:w="100" w:type="dxa"/>
            <w:vAlign w:val="bottom"/>
          </w:tcPr>
          <w:p>
            <w:pPr>
              <w:spacing w:after="0"/>
              <w:rPr>
                <w:sz w:val="16"/>
                <w:szCs w:val="16"/>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4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of Average Loans</w:t>
            </w:r>
          </w:p>
        </w:tc>
      </w:tr>
      <w:tr>
        <w:trPr>
          <w:trHeight w:val="37"/>
        </w:trPr>
        <w:tc>
          <w:tcPr>
            <w:tcW w:w="28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0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7"/>
        </w:trPr>
        <w:tc>
          <w:tcPr>
            <w:tcW w:w="2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1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w:t>
            </w:r>
          </w:p>
        </w:tc>
      </w:tr>
      <w:tr>
        <w:trPr>
          <w:trHeight w:val="193"/>
        </w:trPr>
        <w:tc>
          <w:tcPr>
            <w:tcW w:w="2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Residential builder and developer</w:t>
            </w:r>
          </w:p>
        </w:tc>
        <w:tc>
          <w:tcPr>
            <w:tcW w:w="10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09"/>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r>
      <w:tr>
        <w:trPr>
          <w:trHeight w:val="193"/>
        </w:trPr>
        <w:tc>
          <w:tcPr>
            <w:tcW w:w="2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Residential</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r>
      <w:tr>
        <w:trPr>
          <w:trHeight w:val="37"/>
        </w:trPr>
        <w:tc>
          <w:tcPr>
            <w:tcW w:w="2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09"/>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r>
      <w:tr>
        <w:trPr>
          <w:trHeight w:val="193"/>
        </w:trPr>
        <w:tc>
          <w:tcPr>
            <w:tcW w:w="2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10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.03</w:t>
            </w:r>
          </w:p>
        </w:tc>
      </w:tr>
      <w:tr>
        <w:trPr>
          <w:trHeight w:val="37"/>
        </w:trPr>
        <w:tc>
          <w:tcPr>
            <w:tcW w:w="2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1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Recreational finance</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1.00</w:t>
            </w:r>
          </w:p>
        </w:tc>
      </w:tr>
      <w:tr>
        <w:trPr>
          <w:trHeight w:val="193"/>
        </w:trPr>
        <w:tc>
          <w:tcPr>
            <w:tcW w:w="2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Automobile</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.54</w:t>
            </w:r>
          </w:p>
        </w:tc>
      </w:tr>
      <w:tr>
        <w:trPr>
          <w:trHeight w:val="37"/>
        </w:trPr>
        <w:tc>
          <w:tcPr>
            <w:tcW w:w="2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29"/>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5.19</w:t>
            </w:r>
          </w:p>
        </w:tc>
      </w:tr>
      <w:tr>
        <w:trPr>
          <w:trHeight w:val="218"/>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.34 %</w:t>
            </w:r>
          </w:p>
        </w:tc>
      </w:tr>
      <w:tr>
        <w:trPr>
          <w:trHeight w:val="25"/>
        </w:trPr>
        <w:tc>
          <w:tcPr>
            <w:tcW w:w="2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Asset quality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summary of nonperforming assets and certain past due loan data and credit quality ratios is presented in the accompanying table.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NONPERFORMING ASSET AND PAST DUE LOAN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15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Nonaccrual loans</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1,240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1,252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1,540</w:t>
            </w:r>
          </w:p>
        </w:tc>
        <w:tc>
          <w:tcPr>
            <w:tcW w:w="0" w:type="dxa"/>
            <w:vAlign w:val="bottom"/>
          </w:tcPr>
          <w:p>
            <w:pPr>
              <w:spacing w:after="0"/>
              <w:rPr>
                <w:sz w:val="1"/>
                <w:szCs w:val="1"/>
                <w:color w:val="auto"/>
              </w:rPr>
            </w:pPr>
          </w:p>
        </w:tc>
      </w:tr>
      <w:tr>
        <w:trPr>
          <w:trHeight w:val="193"/>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and other foreclosed assets</w:t>
            </w:r>
          </w:p>
        </w:tc>
        <w:tc>
          <w:tcPr>
            <w:tcW w:w="260" w:type="dxa"/>
            <w:vAlign w:val="bottom"/>
          </w:tcPr>
          <w:p>
            <w:pPr>
              <w:spacing w:after="0"/>
              <w:rPr>
                <w:sz w:val="16"/>
                <w:szCs w:val="16"/>
                <w:color w:val="auto"/>
              </w:rPr>
            </w:pPr>
          </w:p>
        </w:tc>
        <w:tc>
          <w:tcPr>
            <w:tcW w:w="15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nonperforming assets</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1,287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1,574</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Accruing loans past due 90 days or more (a)</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520" w:type="dxa"/>
            <w:vAlign w:val="bottom"/>
            <w:vMerge w:val="continue"/>
          </w:tcPr>
          <w:p>
            <w:pPr>
              <w:spacing w:after="0"/>
              <w:rPr>
                <w:sz w:val="14"/>
                <w:szCs w:val="14"/>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561</w:t>
            </w:r>
          </w:p>
        </w:tc>
        <w:tc>
          <w:tcPr>
            <w:tcW w:w="8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2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Government-guaranteed loans included in totals above:</w:t>
            </w:r>
          </w:p>
        </w:tc>
        <w:tc>
          <w:tcPr>
            <w:tcW w:w="2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Nonaccrual loans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Accruing loans past due 90 days or more (a)</w:t>
            </w:r>
          </w:p>
        </w:tc>
        <w:tc>
          <w:tcPr>
            <w:tcW w:w="2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543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93"/>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30-89 days past due</w:t>
            </w:r>
          </w:p>
        </w:tc>
        <w:tc>
          <w:tcPr>
            <w:tcW w:w="260" w:type="dxa"/>
            <w:vAlign w:val="bottom"/>
          </w:tcPr>
          <w:p>
            <w:pPr>
              <w:spacing w:after="0"/>
              <w:rPr>
                <w:sz w:val="16"/>
                <w:szCs w:val="16"/>
                <w:color w:val="auto"/>
              </w:rPr>
            </w:pPr>
          </w:p>
        </w:tc>
        <w:tc>
          <w:tcPr>
            <w:tcW w:w="15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1,753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1,447</w:t>
            </w: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Nonaccrual loans as a percent of total loans</w:t>
            </w:r>
          </w:p>
        </w:tc>
        <w:tc>
          <w:tcPr>
            <w:tcW w:w="260" w:type="dxa"/>
            <w:vAlign w:val="bottom"/>
          </w:tcPr>
          <w:p>
            <w:pPr>
              <w:spacing w:after="0"/>
              <w:rPr>
                <w:sz w:val="16"/>
                <w:szCs w:val="16"/>
                <w:color w:val="auto"/>
              </w:rPr>
            </w:pPr>
          </w:p>
        </w:tc>
        <w:tc>
          <w:tcPr>
            <w:tcW w:w="150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Nonperforming assets as a percent of total loans and</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 and other foreclosed assets</w:t>
            </w:r>
          </w:p>
        </w:tc>
        <w:tc>
          <w:tcPr>
            <w:tcW w:w="2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92"/>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Accruing loans past due 90 days or more as a percent of total loans</w:t>
            </w:r>
          </w:p>
        </w:tc>
        <w:tc>
          <w:tcPr>
            <w:tcW w:w="260" w:type="dxa"/>
            <w:vAlign w:val="bottom"/>
          </w:tcPr>
          <w:p>
            <w:pPr>
              <w:spacing w:after="0"/>
              <w:rPr>
                <w:sz w:val="16"/>
                <w:szCs w:val="16"/>
                <w:color w:val="auto"/>
              </w:rPr>
            </w:pPr>
          </w:p>
        </w:tc>
        <w:tc>
          <w:tcPr>
            <w:tcW w:w="150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30-89 days past due as a percent of total loans</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37"/>
        </w:trPr>
        <w:tc>
          <w:tcPr>
            <w:tcW w:w="55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16" w:lineRule="exact"/>
        <w:rPr>
          <w:sz w:val="20"/>
          <w:szCs w:val="20"/>
          <w:color w:val="auto"/>
        </w:rPr>
      </w:pPr>
    </w:p>
    <w:p>
      <w:pPr>
        <w:ind w:left="440" w:hanging="432"/>
        <w:spacing w:after="0"/>
        <w:tabs>
          <w:tab w:leader="none" w:pos="440" w:val="left"/>
        </w:tabs>
        <w:numPr>
          <w:ilvl w:val="0"/>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Primarily government-guaranteed residential real estate loans.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53" w:name="page54"/>
    <w:bookmarkEnd w:id="53"/>
    <w:p>
      <w:pPr>
        <w:jc w:val="both"/>
        <w:spacing w:after="0" w:line="255" w:lineRule="auto"/>
        <w:rPr>
          <w:sz w:val="20"/>
          <w:szCs w:val="20"/>
          <w:color w:val="auto"/>
        </w:rPr>
      </w:pPr>
      <w:r>
        <w:rPr>
          <w:rFonts w:ascii="Times New Roman" w:cs="Times New Roman" w:eastAsia="Times New Roman" w:hAnsi="Times New Roman"/>
          <w:sz w:val="21"/>
          <w:szCs w:val="21"/>
          <w:color w:val="auto"/>
        </w:rPr>
        <w:t>Nonaccrual loans at March 31, 2026 decreased $12 million from December 31, 2025, reflecting lower commercial real estate nonaccrual loans, and $300 million from March 31, 2025, predominantly driven by a $127 million reduction in commercial and industrial nonaccrual loans and a $119 million reduction in commercial real estate nonaccrual loans. Approximately 45% of nonaccrual commercial and industrial and commercial real estate loans were considered current with respect to their payment status at March 31, 2026.</w:t>
      </w:r>
    </w:p>
    <w:p>
      <w:pPr>
        <w:spacing w:after="0" w:line="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Government-guaranteed loans designated as accruing loans past due 90 days or more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guaranteed by government-related entities included in accruing loans past due 90 days or more totaled $537 million at March 31, 2026, $459 million at December 31, 2025 and $240 million at March 31, 2025. Accruing loans past due 90 days or more not guaranteed by government-related entities were loans considered to be with creditworthy borrowers that were in the process of collection or renewal. Additional information about past due and nonaccrual loans is included in note 3 of Notes to Financial Statements.</w:t>
      </w:r>
    </w:p>
    <w:p>
      <w:pPr>
        <w:spacing w:after="0" w:line="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Company utilizes a loan grading system to differentiate risk amongst its commercial and industrial loans and commercial real estate loans. Loans with a lower expectation of default are assigned one of ten possible "pass" loan grades while specific loans determined to have an elevated level of credit risk are designated as "criticized." A criticized loan may be designated as "nonaccrual" if the Company no longer expects to collect all amounts owed under the terms of the loan agreement or the loan is delinquent 90 days or more. Targeted reviews are periodically performed over segments of loan portfolios that may be experiencing heightened credit risk due to current or anticipated economic conditions. The intention of such reviews is to identify trends across such portfolios and inform portfolio risk limits and loss mitigation strategies. In the recent quarter the Company reviewed certain loans to borrowers in the energy sector as recent increases in energy and transportation costs have compressed operating margins and may do so in the future for these borrowers. The Company continues to monitor commercial borrowers in certain industry sectors that may be affected by international trade policy changes, such as tariffs, including retail and wholesale trade, manufacturing, packaging and construction companies. The Company has considered the information gathered in such reviews in the assignment of loan grades.</w:t>
      </w:r>
    </w:p>
    <w:p>
      <w:pPr>
        <w:spacing w:after="0" w:line="9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Company continues to monitor its commercial real estate loan portfolio. The primary source of repayment of these loans is typically tenant lease payments to the investor/borrower. Elevated vacancies impacting some property types have contributed to lower current and anticipated future debt service coverage ratios, which have and may continue to influence the ability of borrowers to make existing loan payments. Lower debt service coverage ratios and reduced commercial real estate values also impact the ability of borrowers to refinance their obligations at loan maturity. Despite these challenges, the ability of borrowers to service loans secured by investor-owned real estate has generally improved in recent quarters. The LTV ratio is one of many factors considered in assessing overall portfolio risks and loss mitigation strategies for the investor-owned commercial real estate portfolio. In determining the LTV ratio, the Company considers cross-collateralization of all exposures secured by the supporting collateral and the estimated value of such collateral. Subsequent to the origination of commercial real estate loans, updated appraisals are obtained in the normal course of business for renewals, extensions and modifications to commitment levels. As the quality of a loan deteriorates to the point of designating the loan as "criticized nonaccrual," the process of obtaining updated collateral valuation information is usually initiated, unless it is not considered warranted given factors such as the relative size of the loan or the age of the last valuation. In those cases where current appraisals may not yet be available, prior appraisals are utilized with adjustments, as deemed necessary, for estimates of subsequent declines in values as determined by line of business and/or loan workout personnel. Those adjustments are reviewed and assessed for reasonableness by the Company’s credit risk personnel. Accordingly, for real estate collateral securing larger nonaccrual commercial and industrial loans and commercial real estate loans, estimated collateral values are generally based on current estimates of value.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4" w:name="page55"/>
    <w:bookmarkEnd w:id="54"/>
    <w:p>
      <w:pPr>
        <w:jc w:val="both"/>
        <w:spacing w:after="0" w:line="250" w:lineRule="auto"/>
        <w:rPr>
          <w:sz w:val="20"/>
          <w:szCs w:val="20"/>
          <w:color w:val="auto"/>
        </w:rPr>
      </w:pPr>
      <w:r>
        <w:rPr>
          <w:rFonts w:ascii="Times New Roman" w:cs="Times New Roman" w:eastAsia="Times New Roman" w:hAnsi="Times New Roman"/>
          <w:sz w:val="21"/>
          <w:szCs w:val="21"/>
          <w:color w:val="auto"/>
        </w:rPr>
        <w:t>The Company monitors its concentration of commercial real estate lending as a percent of its Tier 1 capital plus its allowable allowance for credit losses, consistent with a metric utilized to differentiate such concentrations amongst regulated financial institutions. This metric, as prescribed in supervisory guidance, excludes loans secured by commercial real estate considered to be owner-occupied, but includes certain other loans, such as loans to real estate investment trusts, that are classified as commercial and industrial loans. The Company's commercial real estate loan concentration approximated 129% of Tier 1 capital plus its allowable allowance for credit losses at March 31, 2026, compared with 124% at December 31, 2025 and 133% at March 31, 2025. The Company executed various strategies to reduce the amount of criticized loans in this category throughout 2025.</w:t>
      </w:r>
    </w:p>
    <w:p>
      <w:pPr>
        <w:spacing w:after="0" w:line="8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accompanying tables summarize the outstanding balances, and associated criticized balances, of commercial and industrial loans by industry and commercial real estate loans by property type, respectively, at March 31, 2026 and December 31,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CRITICIZED COMMERCIAL AND INDUSTRIAL LOANS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10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Total Criticized</w:t>
            </w: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1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 Criticized</w:t>
            </w:r>
          </w:p>
        </w:tc>
        <w:tc>
          <w:tcPr>
            <w:tcW w:w="0" w:type="dxa"/>
            <w:vAlign w:val="bottom"/>
          </w:tcPr>
          <w:p>
            <w:pPr>
              <w:spacing w:after="0"/>
              <w:rPr>
                <w:sz w:val="1"/>
                <w:szCs w:val="1"/>
                <w:color w:val="auto"/>
              </w:rPr>
            </w:pPr>
          </w:p>
        </w:tc>
      </w:tr>
      <w:tr>
        <w:trPr>
          <w:trHeight w:val="37"/>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Commercial and industrial excluding</w:t>
            </w: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owner-occupied real estate by industry:</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Financial and insurance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Services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Motor vehicle and recreational</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finance dealers</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Manufacturing</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Wholesale</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Transportation, communications,</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utilities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Retail</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Construction</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Health services</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Real estate investors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Total commercial and industrial</w:t>
            </w: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excluding owner-occupied real estate</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Owner-occupied real estate by industry:</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Services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Motor vehicle and recreational</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finance dealers</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Retail</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Health services</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Wholesale</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Manufacturing</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Real estate investors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owner-occupied real estate</w:t>
            </w: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11,321</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11,198</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65,391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w:t>
            </w:r>
          </w:p>
        </w:tc>
        <w:tc>
          <w:tcPr>
            <w:tcW w:w="1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63,548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3,804</w:t>
            </w:r>
          </w:p>
        </w:tc>
        <w:tc>
          <w:tcPr>
            <w:tcW w:w="1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gridSpan w:val="3"/>
          </w:tcPr>
          <w:p>
            <w:pPr>
              <w:spacing w:after="0" w:line="20" w:lineRule="exact"/>
              <w:rPr>
                <w:sz w:val="1"/>
                <w:szCs w:val="1"/>
                <w:color w:val="auto"/>
              </w:rPr>
            </w:pPr>
          </w:p>
        </w:tc>
        <w:tc>
          <w:tcPr>
            <w:tcW w:w="104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6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8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Criticized loans as a percent of total commercial and industrial loans</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6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1"/>
          <w:szCs w:val="21"/>
          <w:color w:val="auto"/>
        </w:rPr>
        <w:t>CRITICIZED COMMERCIAL REAL ESTATE LOANS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10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240" w:type="dxa"/>
            <w:vAlign w:val="bottom"/>
            <w:gridSpan w:val="5"/>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 Criticized</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1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 Criticized</w:t>
            </w:r>
          </w:p>
        </w:tc>
        <w:tc>
          <w:tcPr>
            <w:tcW w:w="0" w:type="dxa"/>
            <w:vAlign w:val="bottom"/>
          </w:tcPr>
          <w:p>
            <w:pPr>
              <w:spacing w:after="0"/>
              <w:rPr>
                <w:sz w:val="1"/>
                <w:szCs w:val="1"/>
                <w:color w:val="auto"/>
              </w:rPr>
            </w:pPr>
          </w:p>
        </w:tc>
      </w:tr>
      <w:tr>
        <w:trPr>
          <w:trHeight w:val="37"/>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Permanent finance by property type:</w:t>
            </w: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Apartments/Multifamily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Retail/Service</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Office</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Industrial/Warehouse</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Hotel</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Health services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permanent</w:t>
            </w: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20,030</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2,221</w:t>
            </w:r>
          </w:p>
        </w:tc>
        <w:tc>
          <w:tcPr>
            <w:tcW w:w="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20,192</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2,361</w:t>
            </w:r>
          </w:p>
        </w:tc>
        <w:tc>
          <w:tcPr>
            <w:tcW w:w="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Construction/Development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23,345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3,054</w:t>
            </w:r>
          </w:p>
        </w:tc>
        <w:tc>
          <w:tcPr>
            <w:tcW w:w="1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23,819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3,454</w:t>
            </w:r>
          </w:p>
        </w:tc>
        <w:tc>
          <w:tcPr>
            <w:tcW w:w="1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Criticized loans as a percent of total commercial real estate loans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74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real estate loans weighted-average LTV ratio</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96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Commercial real estate criticized loans weighted-average LTV ratio</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$306 million reduction in commercial and industrial criticized loans from December 31, 2025 to March 31, 2026 spanned most industry types. The $400 million decline in commercial real estate criticized loans from December 31, 2025 to March 31, 2026 predominantly reflected a decline in criticized construction and development loans and permanent loans secured by multifamily properties. At March 31, 2026, approximately 96% of criticized accrual loans and 45% of criticized nonaccrual loans were considered current with respect to their payment status.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For loans secured by residential real estate the Company’s loss identification and estimation techniques make reference to loan performance and house price data in specific areas of the country where collateral securing those loans is located. For loans secured by residential real estate, including home equity loans and lines of credit, the excess of the loan balance over the net realizable value of the property collateralizing the loan is charged-off when the loan becomes 150 days delinquent. Information about the location of nonaccrual loans secured by residential real estate at March 31, 2026 and December 31, 2025 is presented in the following table.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1"/>
          <w:szCs w:val="21"/>
          <w:color w:val="auto"/>
        </w:rPr>
        <w:t>NONACCRUAL LOANS SECURED BY RESIDENTIAL REAL ESTATE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gridSpan w:val="3"/>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3"/>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0" w:type="dxa"/>
            <w:vAlign w:val="bottom"/>
          </w:tcPr>
          <w:p>
            <w:pPr>
              <w:spacing w:after="0"/>
              <w:rPr>
                <w:sz w:val="1"/>
                <w:szCs w:val="1"/>
                <w:color w:val="auto"/>
              </w:rPr>
            </w:pPr>
          </w:p>
        </w:tc>
      </w:tr>
      <w:tr>
        <w:trPr>
          <w:trHeight w:val="37"/>
        </w:trPr>
        <w:tc>
          <w:tcPr>
            <w:tcW w:w="3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6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4"/>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14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16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20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0" w:type="dxa"/>
            <w:vAlign w:val="bottom"/>
          </w:tcPr>
          <w:p>
            <w:pPr>
              <w:spacing w:after="0"/>
              <w:rPr>
                <w:sz w:val="1"/>
                <w:szCs w:val="1"/>
                <w:color w:val="auto"/>
              </w:rPr>
            </w:pPr>
          </w:p>
        </w:tc>
      </w:tr>
      <w:tr>
        <w:trPr>
          <w:trHeight w:val="23"/>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Residential mortgage loans (a):</w:t>
            </w: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New York</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1.60 %</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1.59 %</w:t>
            </w:r>
          </w:p>
        </w:tc>
        <w:tc>
          <w:tcPr>
            <w:tcW w:w="0" w:type="dxa"/>
            <w:vAlign w:val="bottom"/>
          </w:tcPr>
          <w:p>
            <w:pPr>
              <w:spacing w:after="0"/>
              <w:rPr>
                <w:sz w:val="1"/>
                <w:szCs w:val="1"/>
                <w:color w:val="auto"/>
              </w:rPr>
            </w:pPr>
          </w:p>
        </w:tc>
      </w:tr>
      <w:tr>
        <w:trPr>
          <w:trHeight w:val="193"/>
        </w:trPr>
        <w:tc>
          <w:tcPr>
            <w:tcW w:w="3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Mid-Atlantic</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6"/>
                <w:szCs w:val="16"/>
                <w:color w:val="auto"/>
              </w:rPr>
            </w:pPr>
          </w:p>
        </w:tc>
        <w:tc>
          <w:tcPr>
            <w:tcW w:w="1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37"/>
        </w:trPr>
        <w:tc>
          <w:tcPr>
            <w:tcW w:w="3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New England</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3"/>
        </w:trPr>
        <w:tc>
          <w:tcPr>
            <w:tcW w:w="3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1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37"/>
        </w:trPr>
        <w:tc>
          <w:tcPr>
            <w:tcW w:w="32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24,857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First lien home equity loans and lines of credit: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3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New York</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1.97 %</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1.96 %</w:t>
            </w:r>
          </w:p>
        </w:tc>
        <w:tc>
          <w:tcPr>
            <w:tcW w:w="0" w:type="dxa"/>
            <w:vAlign w:val="bottom"/>
          </w:tcPr>
          <w:p>
            <w:pPr>
              <w:spacing w:after="0"/>
              <w:rPr>
                <w:sz w:val="1"/>
                <w:szCs w:val="1"/>
                <w:color w:val="auto"/>
              </w:rPr>
            </w:pPr>
          </w:p>
        </w:tc>
      </w:tr>
      <w:tr>
        <w:trPr>
          <w:trHeight w:val="193"/>
        </w:trPr>
        <w:tc>
          <w:tcPr>
            <w:tcW w:w="3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Mid-Atlantic</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37"/>
        </w:trPr>
        <w:tc>
          <w:tcPr>
            <w:tcW w:w="3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New England</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93"/>
        </w:trPr>
        <w:tc>
          <w:tcPr>
            <w:tcW w:w="3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13.94</w:t>
            </w:r>
          </w:p>
        </w:tc>
        <w:tc>
          <w:tcPr>
            <w:tcW w:w="0" w:type="dxa"/>
            <w:vAlign w:val="bottom"/>
          </w:tcPr>
          <w:p>
            <w:pPr>
              <w:spacing w:after="0"/>
              <w:rPr>
                <w:sz w:val="1"/>
                <w:szCs w:val="1"/>
                <w:color w:val="auto"/>
              </w:rPr>
            </w:pPr>
          </w:p>
        </w:tc>
      </w:tr>
      <w:tr>
        <w:trPr>
          <w:trHeight w:val="37"/>
        </w:trPr>
        <w:tc>
          <w:tcPr>
            <w:tcW w:w="32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Junior lien home equity loans and lines of credit: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3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New York</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2.13 %</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2.03 %</w:t>
            </w:r>
          </w:p>
        </w:tc>
        <w:tc>
          <w:tcPr>
            <w:tcW w:w="0" w:type="dxa"/>
            <w:vAlign w:val="bottom"/>
          </w:tcPr>
          <w:p>
            <w:pPr>
              <w:spacing w:after="0"/>
              <w:rPr>
                <w:sz w:val="1"/>
                <w:szCs w:val="1"/>
                <w:color w:val="auto"/>
              </w:rPr>
            </w:pPr>
          </w:p>
        </w:tc>
      </w:tr>
      <w:tr>
        <w:trPr>
          <w:trHeight w:val="193"/>
        </w:trPr>
        <w:tc>
          <w:tcPr>
            <w:tcW w:w="3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Mid-Atlantic</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37"/>
        </w:trPr>
        <w:tc>
          <w:tcPr>
            <w:tcW w:w="3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New England</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3"/>
        </w:trPr>
        <w:tc>
          <w:tcPr>
            <w:tcW w:w="3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37"/>
        </w:trPr>
        <w:tc>
          <w:tcPr>
            <w:tcW w:w="32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16" w:lineRule="exact"/>
        <w:rPr>
          <w:sz w:val="20"/>
          <w:szCs w:val="20"/>
          <w:color w:val="auto"/>
        </w:rPr>
      </w:pPr>
    </w:p>
    <w:p>
      <w:pPr>
        <w:ind w:left="440" w:hanging="432"/>
        <w:spacing w:after="0" w:line="260" w:lineRule="auto"/>
        <w:tabs>
          <w:tab w:leader="none" w:pos="437"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$650 million and $673 million of limited documentation first lien mortgage loans with nonaccrual loan balances totaling $48 million and $50 million at March 31, 2026 and December 31, 2025, respectively.</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Consumer loans not secured by residential real estate are generally charged-off when the loans are 91 to 180 days past due, depending on whether the loan is collateralized and the status of repossession activities with respect to such collateral. The Company primarily originates recreational finance loans and automobile loans indirectly through dealerships across the U.S. At March 31, 2026, the percent of recreational finance loans and automobile loans with FICO scores of 700 or greater at origination date was 99% and 83%, respectively. A comparative summary of nonaccrual consumer loan balances and the respective percent of outstanding balances of each consumer loan product at March 31, 2026 and December 31, 2025 is presented in the following table.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NONACCRUAL CONSUMER LOANS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6"/>
                <w:szCs w:val="16"/>
                <w:color w:val="auto"/>
              </w:rPr>
            </w:pPr>
          </w:p>
        </w:tc>
        <w:tc>
          <w:tcPr>
            <w:tcW w:w="2800" w:type="dxa"/>
            <w:vAlign w:val="bottom"/>
            <w:gridSpan w:val="3"/>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53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7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 of Outstanding</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of Outstanding</w:t>
            </w:r>
          </w:p>
        </w:tc>
      </w:tr>
      <w:tr>
        <w:trPr>
          <w:trHeight w:val="190"/>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Nonaccrual Loans</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10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Nonaccrual Loans</w:t>
            </w:r>
          </w:p>
        </w:tc>
        <w:tc>
          <w:tcPr>
            <w:tcW w:w="14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Balances</w:t>
            </w:r>
          </w:p>
        </w:tc>
      </w:tr>
      <w:tr>
        <w:trPr>
          <w:trHeight w:val="37"/>
        </w:trPr>
        <w:tc>
          <w:tcPr>
            <w:tcW w:w="53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03"/>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1.71 %</w:t>
            </w:r>
          </w:p>
        </w:tc>
      </w:tr>
      <w:tr>
        <w:trPr>
          <w:trHeight w:val="193"/>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Recreational finance</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r>
      <w:tr>
        <w:trPr>
          <w:trHeight w:val="37"/>
        </w:trPr>
        <w:tc>
          <w:tcPr>
            <w:tcW w:w="5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09"/>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Automobile</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r>
      <w:tr>
        <w:trPr>
          <w:trHeight w:val="193"/>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w:t>
            </w:r>
          </w:p>
        </w:tc>
      </w:tr>
      <w:tr>
        <w:trPr>
          <w:trHeight w:val="37"/>
        </w:trPr>
        <w:tc>
          <w:tcPr>
            <w:tcW w:w="53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1"/>
          <w:szCs w:val="21"/>
          <w:b w:val="1"/>
          <w:bCs w:val="1"/>
          <w:i w:val="1"/>
          <w:iCs w:val="1"/>
          <w:color w:val="auto"/>
        </w:rPr>
        <w:t>Allowance for loan losses</w:t>
      </w:r>
    </w:p>
    <w:p>
      <w:pPr>
        <w:spacing w:after="0" w:line="1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Management determines the allowance for loan losses under accounting guidance that requires estimating the amount of current expected credit losses over the remaining contractual term of the loan portfolio. A description of the methodologies used by the Company to estimate its allowance for loan losses can be found in note 3 of Notes to Financial Statements.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At the time of the Company’s analysis regarding the determination of the allowance for loan losses as of March 31, 2026 uncertainties existed about the impact of inflationary pressures and potential increases in unemployment on the discretionary income and purchasing power of consumers, which could impact their ability to service existing debt obligations; the volatile nature of global markets and international economic conditions that could impact the U.S. economy, including the effect of international trade policies and recent military conflicts on domestic businesses and consumers; uncertainty related to Federal Reserve positioning of monetary policy and the potential impacts on future economic growth; shifts in immigration policies and enforcement; changes to government funding and reductions in the federal workforce; downward pressures on commercial real estate values, including office properties, and the impacts on the ability of commercial borrowers to refinance maturing debt obligations; and the extent to which borrowers may be negatively affected by general economic conditions.</w:t>
      </w:r>
    </w:p>
    <w:p>
      <w:pPr>
        <w:spacing w:after="0" w:line="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In establishing the allowance for loan losses, the Company estimates losses attributable to specific troubled credits identified through both normal and targeted credit review processes and also estimates losses for other loans with similar risk characteristics on a collective basis, generally through the use of statistically developed credit models, which are required to achieve a satisfactory independent validation by the Company's Model Risk Management Department, or other quantitative methodologies. In determining the allowance for loan losses, the Company may adjust forecasted loss estimates for inherent limitations or biases in the models as well as for other factors that may not be adequately considered in its quantitative methodologies including the impact of portfolio concentrations, imprecision in economic forecasts, geopolitical conditions and other risk factors that influence the loss estimation process. At each of March 31, 2026 and December 31, 2025, the Company qualitatively adjusted credit loss estimates for inherent limitations in the ability to assess real-time changes in commercial borrower performance and for environmental influences affecting certain loan portfolios. Qualitative adjustments at March 31, 2026 as compared with December 31, 2025, were generally higher reflecting the potential negative impact of global conflicts on economic forecasts.</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Forward-looking estimates of certain macroeconomic variables are determined by the M&amp;T Scenario Review Committee, which is comprised of senior management business leaders and economists. The weighted-average of macroeconomic assumptions utilized as of March 31, 2026 and December 31, 2025 are presented in the following table and were based on information available at or near the time the Company was preparing its estimate of expected credit losses as of those dates.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ALLOWANCE FOR LOAN LOSSES MACROECONOMIC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40" w:type="dxa"/>
            <w:vAlign w:val="bottom"/>
          </w:tcPr>
          <w:p>
            <w:pPr>
              <w:spacing w:after="0"/>
              <w:rPr>
                <w:sz w:val="16"/>
                <w:szCs w:val="16"/>
                <w:color w:val="auto"/>
              </w:rPr>
            </w:pPr>
          </w:p>
        </w:tc>
      </w:tr>
      <w:tr>
        <w:trPr>
          <w:trHeight w:val="37"/>
        </w:trPr>
        <w:tc>
          <w:tcPr>
            <w:tcW w:w="416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4160" w:type="dxa"/>
            <w:vAlign w:val="bottom"/>
          </w:tcPr>
          <w:p>
            <w:pPr>
              <w:spacing w:after="0"/>
              <w:rPr>
                <w:sz w:val="16"/>
                <w:szCs w:val="16"/>
                <w:color w:val="auto"/>
              </w:rPr>
            </w:pPr>
          </w:p>
        </w:tc>
        <w:tc>
          <w:tcPr>
            <w:tcW w:w="11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Year 1</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Year 2</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1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Year 1</w:t>
            </w:r>
          </w:p>
        </w:tc>
        <w:tc>
          <w:tcPr>
            <w:tcW w:w="80" w:type="dxa"/>
            <w:vAlign w:val="bottom"/>
          </w:tcPr>
          <w:p>
            <w:pPr>
              <w:spacing w:after="0"/>
              <w:rPr>
                <w:sz w:val="16"/>
                <w:szCs w:val="16"/>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Year 2</w:t>
            </w: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Cumulative</w:t>
            </w:r>
          </w:p>
        </w:tc>
      </w:tr>
      <w:tr>
        <w:trPr>
          <w:trHeight w:val="37"/>
        </w:trPr>
        <w:tc>
          <w:tcPr>
            <w:tcW w:w="416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National unemployment rate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5.2 %</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GDP growth rate</w:t>
            </w: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8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w:t>
            </w: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r>
      <w:tr>
        <w:trPr>
          <w:trHeight w:val="37"/>
        </w:trPr>
        <w:tc>
          <w:tcPr>
            <w:tcW w:w="4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real estate price index growth/decline rate</w:t>
            </w:r>
          </w:p>
        </w:tc>
        <w:tc>
          <w:tcPr>
            <w:tcW w:w="11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w:t>
            </w: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w:t>
            </w:r>
          </w:p>
        </w:tc>
      </w:tr>
      <w:tr>
        <w:trPr>
          <w:trHeight w:val="19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Home price index growth rate</w:t>
            </w: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w:t>
            </w: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58" w:name="page59"/>
    <w:bookmarkEnd w:id="58"/>
    <w:p>
      <w:pPr>
        <w:jc w:val="both"/>
        <w:spacing w:after="0" w:line="252" w:lineRule="auto"/>
        <w:rPr>
          <w:sz w:val="20"/>
          <w:szCs w:val="20"/>
          <w:color w:val="auto"/>
        </w:rPr>
      </w:pPr>
      <w:r>
        <w:rPr>
          <w:rFonts w:ascii="Times New Roman" w:cs="Times New Roman" w:eastAsia="Times New Roman" w:hAnsi="Times New Roman"/>
          <w:sz w:val="21"/>
          <w:szCs w:val="21"/>
          <w:color w:val="auto"/>
        </w:rPr>
        <w:t>With respect to economic forecasts, the Company assessed the likelihood of alternative economic scenarios during the two-year reasonable and supportable forecast period. Generally, an increase in unemployment rate or a decrease in any of the rate of change in GDP, commercial real estate prices or home prices could have an adverse impact on expected credit losses and may result in an increase to the allowance for loan losses. Forward-looking economic forecasts are subject to inherent imprecision and future outcomes may differ materially from forecasted events. In consideration of such uncertainty, the alternative economic scenarios shown in the following table were considered to estimate the possible impact on modeled credit losses.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ALLOWANCE FOR LOAN LOSSES SENSITIVITIES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860" w:type="dxa"/>
            <w:vAlign w:val="bottom"/>
          </w:tcPr>
          <w:p>
            <w:pPr>
              <w:spacing w:after="0"/>
              <w:rPr>
                <w:sz w:val="13"/>
                <w:szCs w:val="13"/>
                <w:color w:val="auto"/>
              </w:rPr>
            </w:pPr>
          </w:p>
        </w:tc>
        <w:tc>
          <w:tcPr>
            <w:tcW w:w="182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Year 1</w:t>
            </w:r>
          </w:p>
        </w:tc>
        <w:tc>
          <w:tcPr>
            <w:tcW w:w="182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Year 2</w:t>
            </w:r>
          </w:p>
        </w:tc>
        <w:tc>
          <w:tcPr>
            <w:tcW w:w="17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Potential downside economic scenario:</w:t>
            </w:r>
          </w:p>
        </w:tc>
        <w:tc>
          <w:tcPr>
            <w:tcW w:w="1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20" w:type="dxa"/>
            <w:vAlign w:val="bottom"/>
            <w:gridSpan w:val="2"/>
            <w:vMerge w:val="continue"/>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8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National unemployment rate</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Real GDP growth/decline rate</w:t>
            </w:r>
          </w:p>
        </w:tc>
        <w:tc>
          <w:tcPr>
            <w:tcW w:w="1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1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8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real estate price index decline rate</w:t>
            </w:r>
          </w:p>
        </w:tc>
        <w:tc>
          <w:tcPr>
            <w:tcW w:w="17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Home price index growth/decline rate</w:t>
            </w:r>
          </w:p>
        </w:tc>
        <w:tc>
          <w:tcPr>
            <w:tcW w:w="1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6"/>
                <w:szCs w:val="16"/>
                <w:color w:val="auto"/>
              </w:rPr>
            </w:pPr>
          </w:p>
        </w:tc>
        <w:tc>
          <w:tcPr>
            <w:tcW w:w="1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Potential upside economic scenario:</w:t>
            </w:r>
          </w:p>
        </w:tc>
        <w:tc>
          <w:tcPr>
            <w:tcW w:w="1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National unemployment rate</w:t>
            </w:r>
          </w:p>
        </w:tc>
        <w:tc>
          <w:tcPr>
            <w:tcW w:w="1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1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8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Real GDP growth rate</w:t>
            </w:r>
          </w:p>
        </w:tc>
        <w:tc>
          <w:tcPr>
            <w:tcW w:w="17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Commercial real estate price index growth rate</w:t>
            </w:r>
          </w:p>
        </w:tc>
        <w:tc>
          <w:tcPr>
            <w:tcW w:w="1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1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1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5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Home price index growth rate</w:t>
            </w:r>
          </w:p>
        </w:tc>
        <w:tc>
          <w:tcPr>
            <w:tcW w:w="1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37"/>
        </w:trPr>
        <w:tc>
          <w:tcPr>
            <w:tcW w:w="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486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Impact to Modeled Credit</w:t>
            </w:r>
          </w:p>
        </w:tc>
        <w:tc>
          <w:tcPr>
            <w:tcW w:w="0" w:type="dxa"/>
            <w:vAlign w:val="bottom"/>
          </w:tcPr>
          <w:p>
            <w:pPr>
              <w:spacing w:after="0"/>
              <w:rPr>
                <w:sz w:val="1"/>
                <w:szCs w:val="1"/>
                <w:color w:val="auto"/>
              </w:rPr>
            </w:pPr>
          </w:p>
        </w:tc>
      </w:tr>
      <w:tr>
        <w:trPr>
          <w:trHeight w:val="176"/>
        </w:trPr>
        <w:tc>
          <w:tcPr>
            <w:tcW w:w="9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5"/>
                <w:szCs w:val="15"/>
                <w:color w:val="auto"/>
              </w:rPr>
            </w:pPr>
          </w:p>
        </w:tc>
        <w:tc>
          <w:tcPr>
            <w:tcW w:w="17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0"/>
        </w:trPr>
        <w:tc>
          <w:tcPr>
            <w:tcW w:w="9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3"/>
        </w:trPr>
        <w:tc>
          <w:tcPr>
            <w:tcW w:w="9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9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Potential downside economic scenario</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93"/>
        </w:trPr>
        <w:tc>
          <w:tcPr>
            <w:tcW w:w="9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Potential upside economic scenario</w:t>
            </w:r>
          </w:p>
        </w:tc>
        <w:tc>
          <w:tcPr>
            <w:tcW w:w="1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These examples are only a few of the numerous possible economic scenarios that could be utilized in assessing the sensitivity of expected credit losses. The estimated impacts on credit losses in such scenarios pertain only to modeled credit losses and do not include consideration of other factors the Company may evaluate when determining its allowance for loan losses. As a result, it is possible that the Company may, at another point in time, reach different conclusions regarding credit loss estimates. The Company’s process for determining the allowance for loan losses undergoes quarterly and periodic evaluations by independent risk management personnel, which among many other considerations, evaluate the reasonableness of management’s methodology and significant assumptions.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9" w:name="page60"/>
    <w:bookmarkEnd w:id="59"/>
    <w:p>
      <w:pPr>
        <w:spacing w:after="0" w:line="270" w:lineRule="auto"/>
        <w:rPr>
          <w:sz w:val="20"/>
          <w:szCs w:val="20"/>
          <w:color w:val="auto"/>
        </w:rPr>
      </w:pPr>
      <w:r>
        <w:rPr>
          <w:rFonts w:ascii="Times New Roman" w:cs="Times New Roman" w:eastAsia="Times New Roman" w:hAnsi="Times New Roman"/>
          <w:sz w:val="21"/>
          <w:szCs w:val="21"/>
          <w:color w:val="auto"/>
        </w:rPr>
        <w:t>A comparative summary of the Company's allowance for loan losses by loan type and the reserve for unfunded credit commitments is presented in the following table.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ALLOWANCE FOR LOAN LOSSES AND RESERVE FOR UNFUNDED CREDIT COMMITMENTS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16"/>
                <w:szCs w:val="16"/>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Pr>
          <w:p>
            <w:pPr>
              <w:spacing w:after="0"/>
              <w:rPr>
                <w:sz w:val="16"/>
                <w:szCs w:val="16"/>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16"/>
                <w:szCs w:val="16"/>
                <w:color w:val="auto"/>
              </w:rPr>
            </w:pPr>
          </w:p>
        </w:tc>
        <w:tc>
          <w:tcPr>
            <w:tcW w:w="16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37"/>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Allowance for loan losses:</w:t>
            </w:r>
          </w:p>
        </w:tc>
        <w:tc>
          <w:tcPr>
            <w:tcW w:w="3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1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5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817</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771</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762</w:t>
            </w:r>
          </w:p>
        </w:tc>
        <w:tc>
          <w:tcPr>
            <w:tcW w:w="0" w:type="dxa"/>
            <w:vAlign w:val="bottom"/>
          </w:tcPr>
          <w:p>
            <w:pPr>
              <w:spacing w:after="0"/>
              <w:rPr>
                <w:sz w:val="1"/>
                <w:szCs w:val="1"/>
                <w:color w:val="auto"/>
              </w:rPr>
            </w:pPr>
          </w:p>
        </w:tc>
      </w:tr>
      <w:tr>
        <w:trPr>
          <w:trHeight w:val="193"/>
        </w:trPr>
        <w:tc>
          <w:tcPr>
            <w:tcW w:w="51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Real estate - commercial (a)</w:t>
            </w:r>
          </w:p>
        </w:tc>
        <w:tc>
          <w:tcPr>
            <w:tcW w:w="300" w:type="dxa"/>
            <w:vAlign w:val="bottom"/>
          </w:tcPr>
          <w:p>
            <w:pPr>
              <w:spacing w:after="0"/>
              <w:rPr>
                <w:sz w:val="16"/>
                <w:szCs w:val="16"/>
                <w:color w:val="auto"/>
              </w:rPr>
            </w:pPr>
          </w:p>
        </w:tc>
        <w:tc>
          <w:tcPr>
            <w:tcW w:w="1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610</w:t>
            </w:r>
          </w:p>
        </w:tc>
        <w:tc>
          <w:tcPr>
            <w:tcW w:w="0" w:type="dxa"/>
            <w:vAlign w:val="bottom"/>
          </w:tcPr>
          <w:p>
            <w:pPr>
              <w:spacing w:after="0"/>
              <w:rPr>
                <w:sz w:val="1"/>
                <w:szCs w:val="1"/>
                <w:color w:val="auto"/>
              </w:rPr>
            </w:pPr>
          </w:p>
        </w:tc>
      </w:tr>
      <w:tr>
        <w:trPr>
          <w:trHeight w:val="37"/>
        </w:trPr>
        <w:tc>
          <w:tcPr>
            <w:tcW w:w="5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Real estate - residential</w:t>
            </w:r>
          </w:p>
        </w:tc>
        <w:tc>
          <w:tcPr>
            <w:tcW w:w="3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93"/>
        </w:trPr>
        <w:tc>
          <w:tcPr>
            <w:tcW w:w="51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Consumer</w:t>
            </w:r>
          </w:p>
        </w:tc>
        <w:tc>
          <w:tcPr>
            <w:tcW w:w="300" w:type="dxa"/>
            <w:vAlign w:val="bottom"/>
          </w:tcPr>
          <w:p>
            <w:pPr>
              <w:spacing w:after="0"/>
              <w:rPr>
                <w:sz w:val="16"/>
                <w:szCs w:val="16"/>
                <w:color w:val="auto"/>
              </w:rPr>
            </w:pPr>
          </w:p>
        </w:tc>
        <w:tc>
          <w:tcPr>
            <w:tcW w:w="1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799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773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723</w:t>
            </w:r>
          </w:p>
        </w:tc>
        <w:tc>
          <w:tcPr>
            <w:tcW w:w="0" w:type="dxa"/>
            <w:vAlign w:val="bottom"/>
          </w:tcPr>
          <w:p>
            <w:pPr>
              <w:spacing w:after="0"/>
              <w:rPr>
                <w:sz w:val="1"/>
                <w:szCs w:val="1"/>
                <w:color w:val="auto"/>
              </w:rPr>
            </w:pPr>
          </w:p>
        </w:tc>
      </w:tr>
      <w:tr>
        <w:trPr>
          <w:trHeight w:val="37"/>
        </w:trPr>
        <w:tc>
          <w:tcPr>
            <w:tcW w:w="5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2,136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2,116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2,200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Allowance for loan losses as a percent of loans: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5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1.26 %</w:t>
            </w:r>
          </w:p>
        </w:tc>
        <w:tc>
          <w:tcPr>
            <w:tcW w:w="0" w:type="dxa"/>
            <w:vAlign w:val="bottom"/>
          </w:tcPr>
          <w:p>
            <w:pPr>
              <w:spacing w:after="0"/>
              <w:rPr>
                <w:sz w:val="1"/>
                <w:szCs w:val="1"/>
                <w:color w:val="auto"/>
              </w:rPr>
            </w:pPr>
          </w:p>
        </w:tc>
      </w:tr>
      <w:tr>
        <w:trPr>
          <w:trHeight w:val="193"/>
        </w:trPr>
        <w:tc>
          <w:tcPr>
            <w:tcW w:w="51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Real estate - commercial (a)</w:t>
            </w:r>
          </w:p>
        </w:tc>
        <w:tc>
          <w:tcPr>
            <w:tcW w:w="300" w:type="dxa"/>
            <w:vAlign w:val="bottom"/>
          </w:tcPr>
          <w:p>
            <w:pPr>
              <w:spacing w:after="0"/>
              <w:rPr>
                <w:sz w:val="16"/>
                <w:szCs w:val="16"/>
                <w:color w:val="auto"/>
              </w:rPr>
            </w:pPr>
          </w:p>
        </w:tc>
        <w:tc>
          <w:tcPr>
            <w:tcW w:w="1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37"/>
        </w:trPr>
        <w:tc>
          <w:tcPr>
            <w:tcW w:w="5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Real estate - residential</w:t>
            </w:r>
          </w:p>
        </w:tc>
        <w:tc>
          <w:tcPr>
            <w:tcW w:w="3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3"/>
        </w:trPr>
        <w:tc>
          <w:tcPr>
            <w:tcW w:w="51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Consumer</w:t>
            </w:r>
          </w:p>
        </w:tc>
        <w:tc>
          <w:tcPr>
            <w:tcW w:w="300" w:type="dxa"/>
            <w:vAlign w:val="bottom"/>
          </w:tcPr>
          <w:p>
            <w:pPr>
              <w:spacing w:after="0"/>
              <w:rPr>
                <w:sz w:val="16"/>
                <w:szCs w:val="16"/>
                <w:color w:val="auto"/>
              </w:rPr>
            </w:pPr>
          </w:p>
        </w:tc>
        <w:tc>
          <w:tcPr>
            <w:tcW w:w="1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r>
        <w:trPr>
          <w:trHeight w:val="37"/>
        </w:trPr>
        <w:tc>
          <w:tcPr>
            <w:tcW w:w="5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57"/>
        </w:trPr>
        <w:tc>
          <w:tcPr>
            <w:tcW w:w="5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loan losses as a percent of total nonaccrual loans (b)</w:t>
            </w:r>
          </w:p>
        </w:tc>
        <w:tc>
          <w:tcPr>
            <w:tcW w:w="3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Reserve for unfunded credit commitments (c)</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40" w:hanging="432"/>
        <w:spacing w:after="0" w:line="259" w:lineRule="auto"/>
        <w:tabs>
          <w:tab w:leader="none" w:pos="437"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the allowance for loan losses were reserves allocated as a percent of commercial real estate loans secured by office properties of 4.54% at March 31, 2026, 4.65% at December 31, 2025 and 4.37% at March 31, 2025.</w:t>
      </w:r>
    </w:p>
    <w:p>
      <w:pPr>
        <w:jc w:val="both"/>
        <w:ind w:left="440" w:hanging="432"/>
        <w:spacing w:after="0" w:line="256" w:lineRule="auto"/>
        <w:tabs>
          <w:tab w:leader="none" w:pos="437"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Given the Company’s general position as a secured lender and its practice of charging off loan balances when collection is deemed doubtful, this ratio and changes in the ratio are generally not an indicative measure of the adequacy of the Company’s allowance for loan losses, nor does management rely upon this ratio in assessing the adequacy of the Company’s allowance for loan losses.</w:t>
      </w:r>
    </w:p>
    <w:p>
      <w:pPr>
        <w:spacing w:after="0" w:line="1"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Accrued interest and other liabilities in the Consolidated Balance Sheet.</w:t>
      </w:r>
    </w:p>
    <w:p>
      <w:pPr>
        <w:spacing w:after="0" w:line="1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Management has assessed that the allowance for loan losses at March 31, 2026 appropriately reflected expected credit losses in the portfolio as of that date. The lower ratio of the allowance for loan losses as a percent of loans outstanding at March 31, 2026 and December 31, 2025 as compared with March 31, 2025, reflects lower levels of criticized commercial and industrial loans and commercial real estate loans. The level of the allowance reflects management’s evaluation of the loan portfolio as of each respective date using the methodology and considering the factors as described herein. Should the various economic forecasts and credit factors considered by management in establishing the allowance for loan losses change and should management’s assessment of losses in the loan portfolio also change, the level of the allowance as a percent of loans could increase or decrease in future periods.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Income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components of other income are presented in the accompanying table.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r>
      <w:tr>
        <w:trPr>
          <w:trHeight w:val="37"/>
        </w:trPr>
        <w:tc>
          <w:tcPr>
            <w:tcW w:w="32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71"/>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90"/>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03"/>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banking revenues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r>
      <w:tr>
        <w:trPr>
          <w:trHeight w:val="37"/>
        </w:trPr>
        <w:tc>
          <w:tcPr>
            <w:tcW w:w="3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1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Trust income</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Brokerage services income</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w:t>
            </w:r>
          </w:p>
        </w:tc>
      </w:tr>
      <w:tr>
        <w:trPr>
          <w:trHeight w:val="37"/>
        </w:trPr>
        <w:tc>
          <w:tcPr>
            <w:tcW w:w="3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18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account and other non-hedging</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205"/>
        </w:trPr>
        <w:tc>
          <w:tcPr>
            <w:tcW w:w="3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 gains</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w:t>
            </w:r>
          </w:p>
        </w:tc>
      </w:tr>
      <w:tr>
        <w:trPr>
          <w:trHeight w:val="192"/>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 on bank investment securities</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3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3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revenues from operations</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w:t>
            </w:r>
          </w:p>
        </w:tc>
      </w:tr>
      <w:tr>
        <w:trPr>
          <w:trHeight w:val="186"/>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income</w:t>
            </w: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37"/>
        </w:trPr>
        <w:tc>
          <w:tcPr>
            <w:tcW w:w="32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1"/>
          <w:szCs w:val="21"/>
          <w:b w:val="1"/>
          <w:bCs w:val="1"/>
          <w:i w:val="1"/>
          <w:iCs w:val="1"/>
          <w:color w:val="auto"/>
        </w:rPr>
        <w:t>Mortgage banking revenues</w:t>
      </w:r>
    </w:p>
    <w:p>
      <w:pPr>
        <w:spacing w:after="0" w:line="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Mortgage banking revenues are comprised of both residential and commercial mortgage banking activities, which consist of realized gains and losses from sales of real estate loans and loan servicing rights, unrealized gains and losses on real estate loans held for sale and related commitments, real estate loan servicing fees, and other real estate loan related fees and income. The Company's involvement in commercial mortgage banking activities includes the origination, sales and servicing of loans under the multifamily loan programs of Fannie Mae, Freddie Mac and the U.S. Department of Housing and Urban Development.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RESIDENTIAL MORTGAGE BANKING ACTIVITIES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9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8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9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mortgage banking revenues</w:t>
            </w: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Gains on loans originated for sale</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0" w:type="dxa"/>
            <w:vAlign w:val="bottom"/>
          </w:tcPr>
          <w:p>
            <w:pPr>
              <w:spacing w:after="0"/>
              <w:rPr>
                <w:sz w:val="1"/>
                <w:szCs w:val="1"/>
                <w:color w:val="auto"/>
              </w:rPr>
            </w:pPr>
          </w:p>
        </w:tc>
      </w:tr>
      <w:tr>
        <w:trPr>
          <w:trHeight w:val="19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servicing:</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 servicing fees</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0"/>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fair value of mortgage loan</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servicing right assets, net of hedging activities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 sub-servicing and other fees</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loan servicing</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37"/>
        </w:trPr>
        <w:tc>
          <w:tcPr>
            <w:tcW w:w="32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residential mortgage banking revenues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New commitments to originate loans for sale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240" w:type="dxa"/>
            <w:vAlign w:val="bottom"/>
            <w:vMerge w:val="continue"/>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bl>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0"/>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period end</w:t>
            </w: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72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93"/>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to originate loans for sale</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37"/>
        </w:trPr>
        <w:tc>
          <w:tcPr>
            <w:tcW w:w="7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to sell loans</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193"/>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mortgage loan servicing assets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37"/>
        </w:trPr>
        <w:tc>
          <w:tcPr>
            <w:tcW w:w="7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serviced for others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35,586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35,873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37,572</w:t>
            </w:r>
          </w:p>
        </w:tc>
        <w:tc>
          <w:tcPr>
            <w:tcW w:w="0" w:type="dxa"/>
            <w:vAlign w:val="bottom"/>
          </w:tcPr>
          <w:p>
            <w:pPr>
              <w:spacing w:after="0"/>
              <w:rPr>
                <w:sz w:val="1"/>
                <w:szCs w:val="1"/>
                <w:color w:val="auto"/>
              </w:rPr>
            </w:pPr>
          </w:p>
        </w:tc>
      </w:tr>
      <w:tr>
        <w:trPr>
          <w:trHeight w:val="37"/>
        </w:trPr>
        <w:tc>
          <w:tcPr>
            <w:tcW w:w="7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sub-serviced for others (a)</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123,968</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156,938</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160,966</w:t>
            </w:r>
          </w:p>
        </w:tc>
        <w:tc>
          <w:tcPr>
            <w:tcW w:w="0" w:type="dxa"/>
            <w:vAlign w:val="bottom"/>
          </w:tcPr>
          <w:p>
            <w:pPr>
              <w:spacing w:after="0"/>
              <w:rPr>
                <w:sz w:val="1"/>
                <w:szCs w:val="1"/>
                <w:color w:val="auto"/>
              </w:rPr>
            </w:pPr>
          </w:p>
        </w:tc>
      </w:tr>
      <w:tr>
        <w:trPr>
          <w:trHeight w:val="186"/>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loans serviced for others</w:t>
            </w: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159,554</w:t>
            </w:r>
          </w:p>
        </w:tc>
        <w:tc>
          <w:tcPr>
            <w:tcW w:w="1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192,811</w:t>
            </w:r>
          </w:p>
        </w:tc>
        <w:tc>
          <w:tcPr>
            <w:tcW w:w="14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198,538</w:t>
            </w:r>
          </w:p>
        </w:tc>
        <w:tc>
          <w:tcPr>
            <w:tcW w:w="0" w:type="dxa"/>
            <w:vAlign w:val="bottom"/>
          </w:tcPr>
          <w:p>
            <w:pPr>
              <w:spacing w:after="0"/>
              <w:rPr>
                <w:sz w:val="1"/>
                <w:szCs w:val="1"/>
                <w:color w:val="auto"/>
              </w:rPr>
            </w:pPr>
          </w:p>
        </w:tc>
      </w:tr>
      <w:tr>
        <w:trPr>
          <w:trHeight w:val="37"/>
        </w:trPr>
        <w:tc>
          <w:tcPr>
            <w:tcW w:w="72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16" w:lineRule="exact"/>
        <w:rPr>
          <w:sz w:val="20"/>
          <w:szCs w:val="20"/>
          <w:color w:val="auto"/>
        </w:rPr>
      </w:pPr>
    </w:p>
    <w:p>
      <w:pPr>
        <w:ind w:left="440" w:hanging="432"/>
        <w:spacing w:after="0" w:line="260" w:lineRule="auto"/>
        <w:tabs>
          <w:tab w:leader="none" w:pos="437" w:val="left"/>
        </w:tabs>
        <w:numPr>
          <w:ilvl w:val="0"/>
          <w:numId w:val="3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contractual servicing rights associated with residential mortgage loans sub-serviced by the Company were primarily held by affiliates of BLG. Information about the Company’s relationship with BLG and its affiliates is included in note 15 of Notes to Financial Statements.</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Effective January 1, 2026, the Company elected to prospectively measure its residential mortgage loan servicing right assets at fair value with changes in fair value reflected in mortgage banking revenues. As a result, fair value changes in the mortgage loan servicing right assets, inclusive of the realization of expected net servicing revenues over time, are included in mortgage banking revenues. On December 31, 2025, the Company began economically hedging the risk of fair value changes in these assets through the use of various interest rate derivative contracts, for which changes in fair value are also reflected in mortgage banking revenues.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lower residential mortgage banking revenues for the first quarter of 2026 as compared with the fourth quarter of 2025 predominantly reflect the impact of the Company's accounting election described herein. The decline in the balance of loans sub-serviced for others reflects the return of servicing functions for $30.1 billion of residential mortgage loan balances back to Bayview Financial as the contractual holder of those servicing rights in March 2026.</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increase in residential mortgage banking revenues in the first three months of 2026 as compared with the corresponding 2025 period reflects higher sub-servicing revenues due to an arrangement effective February 2025 whereby the Company began sub-servicing $51.7 billion of additional residential mortgage loans with contractual servicing rights held by Bayview Financial, partially offset by the Company's accounting election described herein.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1"/>
          <w:szCs w:val="21"/>
          <w:color w:val="auto"/>
        </w:rPr>
        <w:t>COMMERCIAL MORTGAGE BANKING ACTIVITIES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8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mortgage banking revenues</w:t>
            </w: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2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Gains on loans originated for sale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19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servicing fees and other</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
        </w:trPr>
        <w:tc>
          <w:tcPr>
            <w:tcW w:w="32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 mortgage banking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Loans originated for sale to other investors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260" w:type="dxa"/>
            <w:vAlign w:val="bottom"/>
            <w:vMerge w:val="continue"/>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1,135</w:t>
            </w:r>
          </w:p>
        </w:tc>
        <w:tc>
          <w:tcPr>
            <w:tcW w:w="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-156210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-156210</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-156210</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-310515</wp:posOffset>
            </wp:positionV>
            <wp:extent cx="514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-310515</wp:posOffset>
            </wp:positionV>
            <wp:extent cx="514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-310515</wp:posOffset>
            </wp:positionV>
            <wp:extent cx="514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0"/>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period end</w:t>
            </w: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72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93"/>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to originate loans for sale</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0" w:type="dxa"/>
            <w:vAlign w:val="bottom"/>
          </w:tcPr>
          <w:p>
            <w:pPr>
              <w:spacing w:after="0"/>
              <w:rPr>
                <w:sz w:val="1"/>
                <w:szCs w:val="1"/>
                <w:color w:val="auto"/>
              </w:rPr>
            </w:pPr>
          </w:p>
        </w:tc>
      </w:tr>
      <w:tr>
        <w:trPr>
          <w:trHeight w:val="37"/>
        </w:trPr>
        <w:tc>
          <w:tcPr>
            <w:tcW w:w="7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to sell loans</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0" w:type="dxa"/>
            <w:vAlign w:val="bottom"/>
          </w:tcPr>
          <w:p>
            <w:pPr>
              <w:spacing w:after="0"/>
              <w:rPr>
                <w:sz w:val="1"/>
                <w:szCs w:val="1"/>
                <w:color w:val="auto"/>
              </w:rPr>
            </w:pPr>
          </w:p>
        </w:tc>
      </w:tr>
      <w:tr>
        <w:trPr>
          <w:trHeight w:val="193"/>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mortgage loan servicing assets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37"/>
        </w:trPr>
        <w:tc>
          <w:tcPr>
            <w:tcW w:w="7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serviced for others (a)</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30,934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30,309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27,963</w:t>
            </w:r>
          </w:p>
        </w:tc>
        <w:tc>
          <w:tcPr>
            <w:tcW w:w="0" w:type="dxa"/>
            <w:vAlign w:val="bottom"/>
          </w:tcPr>
          <w:p>
            <w:pPr>
              <w:spacing w:after="0"/>
              <w:rPr>
                <w:sz w:val="1"/>
                <w:szCs w:val="1"/>
                <w:color w:val="auto"/>
              </w:rPr>
            </w:pPr>
          </w:p>
        </w:tc>
      </w:tr>
      <w:tr>
        <w:trPr>
          <w:trHeight w:val="37"/>
        </w:trPr>
        <w:tc>
          <w:tcPr>
            <w:tcW w:w="7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sub-serviced for others</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4,194</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4,205</w:t>
            </w:r>
          </w:p>
        </w:tc>
        <w:tc>
          <w:tcPr>
            <w:tcW w:w="0" w:type="dxa"/>
            <w:vAlign w:val="bottom"/>
          </w:tcPr>
          <w:p>
            <w:pPr>
              <w:spacing w:after="0"/>
              <w:rPr>
                <w:sz w:val="1"/>
                <w:szCs w:val="1"/>
                <w:color w:val="auto"/>
              </w:rPr>
            </w:pPr>
          </w:p>
        </w:tc>
      </w:tr>
      <w:tr>
        <w:trPr>
          <w:trHeight w:val="186"/>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loans serviced for others</w:t>
            </w: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35,128</w:t>
            </w:r>
          </w:p>
        </w:tc>
        <w:tc>
          <w:tcPr>
            <w:tcW w:w="1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34,540</w:t>
            </w:r>
          </w:p>
        </w:tc>
        <w:tc>
          <w:tcPr>
            <w:tcW w:w="14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32,168</w:t>
            </w:r>
          </w:p>
        </w:tc>
        <w:tc>
          <w:tcPr>
            <w:tcW w:w="0" w:type="dxa"/>
            <w:vAlign w:val="bottom"/>
          </w:tcPr>
          <w:p>
            <w:pPr>
              <w:spacing w:after="0"/>
              <w:rPr>
                <w:sz w:val="1"/>
                <w:szCs w:val="1"/>
                <w:color w:val="auto"/>
              </w:rPr>
            </w:pPr>
          </w:p>
        </w:tc>
      </w:tr>
      <w:tr>
        <w:trPr>
          <w:trHeight w:val="37"/>
        </w:trPr>
        <w:tc>
          <w:tcPr>
            <w:tcW w:w="72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 w:lineRule="exact"/>
        <w:rPr>
          <w:sz w:val="20"/>
          <w:szCs w:val="20"/>
          <w:color w:val="auto"/>
        </w:rPr>
      </w:pPr>
    </w:p>
    <w:p>
      <w:pPr>
        <w:ind w:left="440" w:hanging="432"/>
        <w:spacing w:after="0" w:line="278" w:lineRule="auto"/>
        <w:tabs>
          <w:tab w:leader="none" w:pos="437" w:val="left"/>
        </w:tabs>
        <w:numPr>
          <w:ilvl w:val="0"/>
          <w:numId w:val="4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$4.7 billion, $4.6 billion and $4.3 billion of loan balances at March 31, 2026, December 31, 2025 and March 31, 2025, respectively, for which investors had recourse to the Company if such balances are ultimately uncollectable.</w:t>
      </w:r>
    </w:p>
    <w:p>
      <w:pPr>
        <w:spacing w:after="0" w:line="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lower gains on commercial mortgage loans originated for sale in the recent quarter as compared with the fourth quarter of 2025 reflect decreased volume on new commitments to originate commercial real estate loans for sale.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Trust income</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Trust income primarily includes revenues from two significant businesses managed within the Company's Institutional Services and Wealth Management segment. The Institutional Services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assets; and (iii) need investment and cash management services. The Wealth Management business offers personal trust, planning and advisory, fiduciary, asset management, family office and other services designed to help high net worth individuals and families grow, preserve and transfer wealth.</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TRUST INCOME AND ASSETS UNDER MANAGEMENT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2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2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Trust income</w:t>
            </w: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4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Institutional Services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93"/>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Wealth Management</w:t>
            </w: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37"/>
        </w:trPr>
        <w:tc>
          <w:tcPr>
            <w:tcW w:w="3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6"/>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trust income</w:t>
            </w: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37"/>
        </w:trPr>
        <w:tc>
          <w:tcPr>
            <w:tcW w:w="34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-770890</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-770890</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0"/>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 under management at period end</w:t>
            </w: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72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Trust assets under management (excluding proprietary funds)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68,298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68,104</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64,554</w:t>
            </w:r>
          </w:p>
        </w:tc>
        <w:tc>
          <w:tcPr>
            <w:tcW w:w="0" w:type="dxa"/>
            <w:vAlign w:val="bottom"/>
          </w:tcPr>
          <w:p>
            <w:pPr>
              <w:spacing w:after="0"/>
              <w:rPr>
                <w:sz w:val="1"/>
                <w:szCs w:val="1"/>
                <w:color w:val="auto"/>
              </w:rPr>
            </w:pPr>
          </w:p>
        </w:tc>
      </w:tr>
      <w:tr>
        <w:trPr>
          <w:trHeight w:val="193"/>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mutual funds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15,938</w:t>
            </w:r>
          </w:p>
        </w:tc>
        <w:tc>
          <w:tcPr>
            <w:tcW w:w="0" w:type="dxa"/>
            <w:vAlign w:val="bottom"/>
          </w:tcPr>
          <w:p>
            <w:pPr>
              <w:spacing w:after="0"/>
              <w:rPr>
                <w:sz w:val="1"/>
                <w:szCs w:val="1"/>
                <w:color w:val="auto"/>
              </w:rPr>
            </w:pPr>
          </w:p>
        </w:tc>
      </w:tr>
      <w:tr>
        <w:trPr>
          <w:trHeight w:val="37"/>
        </w:trPr>
        <w:tc>
          <w:tcPr>
            <w:tcW w:w="72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 under management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84,467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84,179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80,492</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increase in Wealth Management trust income in the first three months of 2026 as compared with the first quarter of 2025 reflects higher assets under management in the recent quarter.</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1"/>
          <w:szCs w:val="21"/>
          <w:b w:val="1"/>
          <w:bCs w:val="1"/>
          <w:i w:val="1"/>
          <w:iCs w:val="1"/>
          <w:color w:val="auto"/>
        </w:rPr>
        <w:t>Other revenues from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components of other revenues from operations are presented in the accompanying table.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REVENUES FROM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8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8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r>
      <w:tr>
        <w:trPr>
          <w:trHeight w:val="37"/>
        </w:trPr>
        <w:tc>
          <w:tcPr>
            <w:tcW w:w="32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71"/>
        </w:trPr>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9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2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03"/>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Letter of credit and other credit-related fees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97"/>
              </w:rPr>
              <w:t>(3)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19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Merchant discount and credit card fees</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97"/>
              </w:rPr>
              <w:t>(5)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r>
      <w:tr>
        <w:trPr>
          <w:trHeight w:val="37"/>
        </w:trPr>
        <w:tc>
          <w:tcPr>
            <w:tcW w:w="3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09"/>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 owned life insurance revenue</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r>
      <w:tr>
        <w:trPr>
          <w:trHeight w:val="19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 operating lease income</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r>
      <w:tr>
        <w:trPr>
          <w:trHeight w:val="37"/>
        </w:trPr>
        <w:tc>
          <w:tcPr>
            <w:tcW w:w="3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09"/>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BLG income (a)</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w:t>
            </w:r>
          </w:p>
        </w:tc>
      </w:tr>
      <w:tr>
        <w:trPr>
          <w:trHeight w:val="37"/>
        </w:trPr>
        <w:tc>
          <w:tcPr>
            <w:tcW w:w="32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revenues from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0" w:lineRule="exact"/>
        <w:rPr>
          <w:sz w:val="20"/>
          <w:szCs w:val="20"/>
          <w:color w:val="auto"/>
        </w:rPr>
      </w:pPr>
    </w:p>
    <w:p>
      <w:pPr>
        <w:jc w:val="both"/>
        <w:ind w:left="440" w:hanging="432"/>
        <w:spacing w:after="0" w:line="276" w:lineRule="auto"/>
        <w:tabs>
          <w:tab w:leader="none" w:pos="437" w:val="left"/>
        </w:tabs>
        <w:numPr>
          <w:ilvl w:val="0"/>
          <w:numId w:val="4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During 2017, the operating losses of BLG resulted in M&amp;T reducing the carrying value of its investment in BLG to zero. Subsequently, M&amp;T has received cash distributions from BLG each year that resulted in the recognition of income by M&amp;T. M&amp;T expects cash distributions from BLG in the future, but the timing and amount of those distributions are not within M&amp;T's control. BLG is entitled to receive distributions from its affiliates that provide asset management and other services that are available for distribution to BLG’s owners, including M&amp;T. Information about the Company’s relationship with BLG and its affiliates is included in note 15 of Notes to Financial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Expense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components of other expense are presented in the accompanying table.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EXPENSE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r>
      <w:tr>
        <w:trPr>
          <w:trHeight w:val="37"/>
        </w:trPr>
        <w:tc>
          <w:tcPr>
            <w:tcW w:w="32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71"/>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90"/>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03"/>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 and net occupancy</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3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1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Outside data processing and software</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and other services</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r>
      <w:tr>
        <w:trPr>
          <w:trHeight w:val="37"/>
        </w:trPr>
        <w:tc>
          <w:tcPr>
            <w:tcW w:w="3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1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FDIC assessments</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Advertising and marketing</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r>
      <w:tr>
        <w:trPr>
          <w:trHeight w:val="37"/>
        </w:trPr>
        <w:tc>
          <w:tcPr>
            <w:tcW w:w="3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18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core deposit and other</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205"/>
        </w:trPr>
        <w:tc>
          <w:tcPr>
            <w:tcW w:w="3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w:t>
            </w: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costs of operations</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w:t>
            </w:r>
          </w:p>
        </w:tc>
      </w:tr>
      <w:tr>
        <w:trPr>
          <w:trHeight w:val="37"/>
        </w:trPr>
        <w:tc>
          <w:tcPr>
            <w:tcW w:w="3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full-time equivalent employees</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22,258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22,235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Full-time equivalent employees at period end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21,866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Salaries and employee benefits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Included in the first quarters of 2026 and 2025 was $115 million and $110 million, respectively, of seasonally higher stock-based compensation, payroll-related taxes and other employee benefits expense.</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Salaries and employee benefits expense increased $105 million in the recent quarter as compared with the fourth quarter of 2025 reflecting the aforementioned seasonal costs and the impact of annual merit increases, partially offset by two less working days and lower average staffing levels in the recent quarter.</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Salaries and employee benefits expense increased $27 million in the three months ended March 31, 2026 as compared with the year-earlier period reflecting higher salaries expense from annual merit and other increases and an increase in stock-based incentive compensation. A decline in average staffing levels partially offset those higher expenses.</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1"/>
          <w:szCs w:val="21"/>
          <w:b w:val="1"/>
          <w:bCs w:val="1"/>
          <w:i w:val="1"/>
          <w:iCs w:val="1"/>
          <w:color w:val="auto"/>
        </w:rPr>
        <w:t>Nonpersonnel expenses</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Nonpersonnel expenses aggregated $524 million in the recent quarter, down from $570 million in the fourth quarter of 2025. The decline in nonpersonnel expenses in the recent quarter reflects lower professional and other services expense of $12 million due to a decline in legal and review costs and a decrease in advertising and marketing expense of $11 million reflecting the seasonality of advertising campaigns. The final quarter of 2025 included a reduction of FDIC special assessment expense of $29 million and a contribution to The M&amp;T Charitable Foundation of $30 million. Other costs of operations in the fourth quarter of 2025 also included the amortization of residential mortgage loan servicing rights. With the Company's accounting election on January 1, 2026 described herein to measure residential mortgage loan servicing right assets at fair value, such amortization is no longer recorded in other costs of operations.</w:t>
      </w:r>
    </w:p>
    <w:p>
      <w:pPr>
        <w:spacing w:after="0" w:line="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Nonpersonnel expenses decreased $4 million from $528 million in the first three months of 2025 reflecting lower other costs of operations of $17 million driven by amortization associated with residential mortgage loan servicing right assets in the first quarter of 2025, partially offset by higher costs associated with the Company's supplemental executive retirement savings plan in the recent quarter due to market performance. Partially offsetting the lower other costs of operations were higher professional and other services expense of $9 million, reflecting higher legal and review costs, and a rise in outside data processing and software costs of $8 million reflecting costs associated with enhancements to the Company's technology infrastructure, cybersecurity and financial recordkeeping and reporting systems.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Income Taxes</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provision for income taxes was $199 million in the first quarter of 2026, compared with $212 million in the fourth quarter of 2025 and $177 million in the first quarter of 2025. The Company's effective tax rates were 23.0%, 21.8% and 23.2% for the quarters ended March 31, 2026, December 31, 2025 and March 31, 2025, respectively. The lower effective income tax rate in 2025's final quarter reflects a discrete income tax benefit of $8 million claimed on prior year tax returns. The Company's effective tax rate is affected by the level of income earned that is exempt from tax relative to the overall level of pre-tax income, the amount of income allocated to the various state and local jurisdictions where the Company operates, because tax rates differ among such jurisdictions, and the impact of any large discrete or infrequently occurring items. The Company’s effective tax rate in future periods may also be affected by any change in income tax laws or regulations and interpretations of income tax regulations that differ from the Company’s interpretations by any of the various tax authorities that may examine tax returns filed by M&amp;T or any of its subsidiaries.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Liquidity Risk</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cash flows associated with financial instruments included in assets and liabilities differ.</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most significant source of funding for the Company is core deposits, which are generated from a large base of consumer, corporate and institutional customers. That customer base has become more geographically diverse as a result of expansion of the Company’s businesses over time. Nevertheless, the Company faces competition in offering products and services from a large array of financial market participants, including banks, thrifts, mutual funds, securities dealers and others. Core deposits totaled $151.9 billion at March 31, 2026, down from $153.3 billion at December 31, 2025. The lower level of core deposits at March 31, 2026 reflects a decrease in savings and interest-checking deposits and noninterest-bearing deposits.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 supplements funding provided through core deposits with various short-term and long-term wholesale borrowings, including overnight federal funds purchases, repurchase agreements, advances from the FHLBs, brokered deposits and longer-term borrowings. M&amp;T Bank has access to additional funding sources through secured borrowings from the FHLB of New York and the FRB of New York. M&amp;T Bank is also a counterparty to the FRB of New York standing repurchase agreement facility, which allows it to enter into overnight repurchase transactions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64" w:name="page65"/>
    <w:bookmarkEnd w:id="64"/>
    <w:p>
      <w:pPr>
        <w:jc w:val="both"/>
        <w:spacing w:after="0" w:line="255" w:lineRule="auto"/>
        <w:rPr>
          <w:sz w:val="20"/>
          <w:szCs w:val="20"/>
          <w:color w:val="auto"/>
        </w:rPr>
      </w:pPr>
      <w:r>
        <w:rPr>
          <w:rFonts w:ascii="Times New Roman" w:cs="Times New Roman" w:eastAsia="Times New Roman" w:hAnsi="Times New Roman"/>
          <w:sz w:val="21"/>
          <w:szCs w:val="21"/>
          <w:color w:val="auto"/>
        </w:rPr>
        <w:t>using eligible investment securities. At March 31, 2026 and December 31, 2025, long-term borrowings aggregated $11.2 billion and $10.9 billion, respectively, and short-term borrowings aggregated $7.9 billion and $2.1 billion, respectively. The higher balance of short-term borrowings at March 31, 2026 reflects the Company's wholesale funding strategy and liquidity considerations. Information about the Company's borrowings is included in note 4 of Notes to Financial Statements.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Company's wholesale funding sources include the placement of brokered deposits. Such deposits, comprised primarily of brokered savings and interest-checking deposit accounts, totaled 6% of the Company's total deposit base at March 31, 2026, compared with 7% at December 31, 2025. The Company actively adjusts its wholesale funding sources in consideration of the competitive landscape for customer deposits and maintenance of its liquidity profile.</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Total uninsured deposits were estimated to be $76.7 billion at March 31, 2026 and $78.9 billion at December 31, 2025. Approximately $9.4 billion and $9.0 billion of those uninsured deposits were collateralized by the Company at March 31, 2026 and December 31, 2025, respectively. The Company maintains available liquidity sources, which at March 31, 2026 represented approximately 122% of uninsured deposits that are not collateralized by the Company.</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In addition to deposits and borrowings, other sources of liquidity include maturities and repayments of investment securities, loans and other earning assets, as well as cash generated from operations, such as fees collected for services. The Company also has the ability to securitize or sell certain financial assets, including various loan types, to provide other liquidity alternatives. U.S. Treasury and government-issued or guaranteed mortgage-backed securities comprised 94% of the Company's debt securities portfolio at March 31, 2026. The weighted-average durations of debt investment securities available for sale and held to maturity at March 31, 2026 were 3.1 years and 5.2 years, respectively.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Company’s ability to obtain funding from these sources could be negatively impacted should the Company experience a substantial deterioration in its financial condition or its debt ratings or should the availability of funding become restricted due to a disruption in the financial markets. The Company attempts to quantify such risks by conducting scenario analyses that estimate the liquidity impact resulting from a debt ratings downgrade and other market events. Such impact is estimated by attempting to measure the effect on available unsecured lines of credit, available capacity from secured borrowing sources and securitizable assets.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M&amp;T’s primary source of funds to pay for operating expenses, shareholder dividends and treasury stock repurchases has historically been the receipt of dividends from its bank subsidiaries, which are subject to various regulatory limitations. Dividends from any bank subsidiary to M&amp;T are limited by the amount of earnings of the subsidiary in the current year and the two preceding years. For purposes of that test, at March 31, 2026 approximately $1.51 billion was available for payment of dividends to M&amp;T from bank subsidiaries. M&amp;T may also obtain funding through long-term borrowings and the repayment of advances to subsidiaries. Further information about the long-term outstanding borrowings of M&amp;T is provided in note 4 of Notes to Financial Statements. As a bank holding company, M&amp;T is obligated to serve as a managerial and financial source of strength to its bank subsidiaries as described in Part I, Item 1, "Business" of M&amp;T's 2025 Annual Report and may provide advances to those subsidiaries. As its ability to access the capital markets may be affected by market disruptions, M&amp;T maintains sufficient resources at its parent company to satisfy projected cash outflows for an extended period without reliance on dividends from subsidiaries or external financing. As of March 31, 2026, M&amp;T's parent company liquidity, inclusive of the projected repayment of notes receivable from bank subsidiaries, covered projected cash outflows for 32 months, including dividends on common and preferred stock, debt service and scheduled debt maturities.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5" w:name="page66"/>
    <w:bookmarkEnd w:id="65"/>
    <w:p>
      <w:pPr>
        <w:jc w:val="both"/>
        <w:spacing w:after="0" w:line="248" w:lineRule="auto"/>
        <w:rPr>
          <w:sz w:val="20"/>
          <w:szCs w:val="20"/>
          <w:color w:val="auto"/>
        </w:rPr>
      </w:pPr>
      <w:r>
        <w:rPr>
          <w:rFonts w:ascii="Times New Roman" w:cs="Times New Roman" w:eastAsia="Times New Roman" w:hAnsi="Times New Roman"/>
          <w:sz w:val="21"/>
          <w:szCs w:val="21"/>
          <w:color w:val="auto"/>
        </w:rPr>
        <w:t>The Company's Executive ALCO Committee closely monitors the Company’s liquidity position on an ongoing basis for compliance with internal policies and regulatory expectations. As a Category IV institution, the Company adheres to enhanced liquidity standards which require the performance of internal liquidity stress testing. The stress testing is designed to ensure the Company has sufficient liquidity to withstand both institution-specific and market-wide stress scenarios. For each scenario, the Company applies liquidity stress which may include deposit run-off, increased draws on unfunded loan commitments, increased collateral need for margin calls, increased haircuts on investment security-based funding and reductions in unsecured and secured borrowing capacity. Stress scenarios are measured over various time frames ranging from overnight to twelve months. As required by regulation, the Company maintains a liquidity buffer comprised of cash and highly liquid unencumbered securities to cover a 30-day stress horizon. Liquidity stress events occurring over longer time horizons can be mitigated by the availability of secured funding sources at the FHLB of New York and FRB of New York. As described in Part I, Item 1, "Liquidity" of M&amp;T's 2025 Annual Report, the Federal Reserve and other federal banking regulators established the LCR as a uniform measure to ensure banking organizations hold sufficient amounts of cash and unencumbered high-quality liquid assets to cover net cash outflows over a 30-day liquidity stress period. As a Category IV institution with less than a $50 billion balance of weighted short-term wholesale funding, M&amp;T is not subject to the LCR. M&amp;T, however, estimates that its LCR on March 31, 2026 was 107%, exceeding the regulatory minimum standards that would be applicable if it were a Category III institution subject to the Category III reduced LCR requirements.</w:t>
      </w:r>
    </w:p>
    <w:p>
      <w:pPr>
        <w:spacing w:after="0" w:line="91" w:lineRule="exact"/>
        <w:rPr>
          <w:sz w:val="20"/>
          <w:szCs w:val="20"/>
          <w:color w:val="auto"/>
        </w:rPr>
      </w:pPr>
    </w:p>
    <w:p>
      <w:pPr>
        <w:ind w:right="420"/>
        <w:spacing w:after="0" w:line="377" w:lineRule="auto"/>
        <w:rPr>
          <w:sz w:val="20"/>
          <w:szCs w:val="20"/>
          <w:color w:val="auto"/>
        </w:rPr>
      </w:pPr>
      <w:r>
        <w:rPr>
          <w:rFonts w:ascii="Times New Roman" w:cs="Times New Roman" w:eastAsia="Times New Roman" w:hAnsi="Times New Roman"/>
          <w:sz w:val="21"/>
          <w:szCs w:val="21"/>
          <w:color w:val="auto"/>
        </w:rPr>
        <w:t>The table that follows is a summary of the Company's available sources of liquidity as of March 31, 2026 and December 31, 2025. AVAILABLE LIQUIDITY SOURCES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6"/>
                <w:szCs w:val="16"/>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16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2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03"/>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at the FRB of New York</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14,357</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16,966</w:t>
            </w:r>
          </w:p>
        </w:tc>
      </w:tr>
      <w:tr>
        <w:trPr>
          <w:trHeight w:val="193"/>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Unused secured borrowing facilities:</w:t>
            </w: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37"/>
        </w:trPr>
        <w:tc>
          <w:tcPr>
            <w:tcW w:w="7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0"/>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FRB of New York</w:t>
            </w: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26,481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25,443</w:t>
            </w:r>
          </w:p>
        </w:tc>
      </w:tr>
      <w:tr>
        <w:trPr>
          <w:trHeight w:val="193"/>
        </w:trPr>
        <w:tc>
          <w:tcPr>
            <w:tcW w:w="7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FHLB of New York</w:t>
            </w:r>
          </w:p>
        </w:tc>
        <w:tc>
          <w:tcPr>
            <w:tcW w:w="2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12,857</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18,302</w:t>
            </w:r>
          </w:p>
        </w:tc>
      </w:tr>
      <w:tr>
        <w:trPr>
          <w:trHeight w:val="37"/>
        </w:trPr>
        <w:tc>
          <w:tcPr>
            <w:tcW w:w="7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29"/>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Unencumbered investment securities (after estimated haircuts)</w:t>
            </w:r>
          </w:p>
        </w:tc>
        <w:tc>
          <w:tcPr>
            <w:tcW w:w="2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28,322</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27,241</w:t>
            </w:r>
          </w:p>
        </w:tc>
      </w:tr>
      <w:tr>
        <w:trPr>
          <w:trHeight w:val="218"/>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82,017</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87,952</w:t>
            </w:r>
          </w:p>
        </w:tc>
      </w:tr>
      <w:tr>
        <w:trPr>
          <w:trHeight w:val="25"/>
        </w:trPr>
        <w:tc>
          <w:tcPr>
            <w:tcW w:w="7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Management continuously evaluates the use and mix of its various available funding alternatives, including short-term borrowings, issuances of long-term debt, the placement of brokered deposits and the securitization of certain loan products. Management does not anticipate engaging in any activities, either currently or in the long term, for which adequate funding would not be available and would therefore result in a significant strain on liquidity at either M&amp;T or its subsidiary banks. In accordance with liquidity regulations, the Company maintains a contingency funding plan to facilitate on-going liquidity management in times of liquidity stress. The plan outlines various funding options available during a liquidity stress event and establishes a clear escalation protocol to be followed within the Company's Risk Framework. The plan sets forth funding strategies and procedures that management can quickly leverage to assist in decision-making and specifies roles and responsibilities for departments impacted by a potential liquidity stress event.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Market Risk and Interest Rate Sensitivity</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Market risk is the risk of loss from adverse changes in the market prices and/or interest rates of the Company’s financial instruments. A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w:t>
      </w:r>
    </w:p>
    <w:p>
      <w:pPr>
        <w:spacing w:after="0" w:line="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Company’s Executive ALCO Committee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6" w:name="page67"/>
    <w:bookmarkEnd w:id="66"/>
    <w:p>
      <w:pPr>
        <w:jc w:val="both"/>
        <w:spacing w:after="0" w:line="251" w:lineRule="auto"/>
        <w:rPr>
          <w:sz w:val="20"/>
          <w:szCs w:val="20"/>
          <w:color w:val="auto"/>
        </w:rPr>
      </w:pPr>
      <w:r>
        <w:rPr>
          <w:rFonts w:ascii="Times New Roman" w:cs="Times New Roman" w:eastAsia="Times New Roman" w:hAnsi="Times New Roman"/>
          <w:sz w:val="21"/>
          <w:szCs w:val="21"/>
          <w:color w:val="auto"/>
        </w:rPr>
        <w:t>contemplate both parallel (that is, when interest rates at each point of the yield curve change by the same magnitude) and non-parallel (that is, allowing interest rates at points on the yield curve to change by different amounts) shifts in the yield curve. The Company also contemplates instantaneous and gradual shifts in the yield curve over the scenario time horizon. In utilizing the model, market-implied forward interest rates over the subsequent twelve months are generally used to determine a base interest rate scenario for the net interest income simulation. That calculated base net interest income is then compared with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Management has taken actions to mitigate exposure to interest rate risk through the use of on- and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 At March 31, 2026, the aggregate notional amount of interest rate swap agreements entered into for interest rate risk management purposes that were currently in effect was $21.1 billion. In addition, the Company has entered into $10.5 billion of forward-starting interest rate swap agreements designated for hedging purposes. Information about interest rate swap agreements entered into for interest rate risk management purposes is included herein under the heading “Taxable-equivalent Net Interest Income” and in note 10 of Notes to Financial Statements.</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accompanying table as of March 31, 2026 and December 31, 2025 displays the estimated impact on net interest income in the base scenarios described above resulting from changes in market interest rates. The scenarios presented in the table below assume a gradual and parallel change in interest rates across repricing categories during the first modeling year.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SENSITIVITY OF NET INTEREST INCOME TO CHANGES IN INTEREST RATES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60" w:type="dxa"/>
            <w:vAlign w:val="bottom"/>
            <w:gridSpan w:val="4"/>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Calculated Increase (Decrease)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60" w:type="dxa"/>
            <w:vAlign w:val="bottom"/>
            <w:gridSpan w:val="4"/>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in Projected Net Interest Income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4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6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Changes in interest rates</w:t>
            </w:r>
          </w:p>
        </w:tc>
        <w:tc>
          <w:tcPr>
            <w:tcW w:w="2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5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+200 basis points</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+100 basis points</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-100 basis points</w:t>
            </w:r>
          </w:p>
        </w:tc>
        <w:tc>
          <w:tcPr>
            <w:tcW w:w="2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-200 basis points</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loan and deposit volumes, mix and pricing, and deposit maturities. Variations in amounts presented since December 31, 2025 reflect changes in the composition of the Company's earning assets and interest-bearing liabilities, as well as the level of market-implied forward interest rates and hedging actions taken by the Company. M&amp;T's cumulative upward deposit pricing beta, which is the change in deposit pricing in response to a change in market interest rates, approximated 55% amidst a rising interest rate environment from the first quarter of 2022 through the second quarter of 2024. Reflecting the first cuts of the federal funds target interest rate since March 2020, the FOMC decreased that rate by 100 basis points during the last four months of 2024 and by an additional 75 basis points during the last four months of 2025. M&amp;T's cumulative downward deposit pricing beta beginning in the third quarter of 2024 through the first quarter of 2026 approximated 56%.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7" w:name="page68"/>
    <w:bookmarkEnd w:id="67"/>
    <w:p>
      <w:pPr>
        <w:jc w:val="both"/>
        <w:spacing w:after="0" w:line="251" w:lineRule="auto"/>
        <w:rPr>
          <w:sz w:val="20"/>
          <w:szCs w:val="20"/>
          <w:color w:val="auto"/>
        </w:rPr>
      </w:pPr>
      <w:r>
        <w:rPr>
          <w:rFonts w:ascii="Times New Roman" w:cs="Times New Roman" w:eastAsia="Times New Roman" w:hAnsi="Times New Roman"/>
          <w:sz w:val="21"/>
          <w:szCs w:val="21"/>
          <w:color w:val="auto"/>
        </w:rPr>
        <w:t>Management also uses an EVE model to supplement the modeling technique described above and provide a long-term interest rate risk metric. EVE is a point-in-time analysis of the economic sensitivity of existing assets, liabilities and off-balance sheet positions that incorporates all cash flows over their estimated remaining lives. The EVE reflects the present value of cash flows from existing assets, liabilities and off-balance sheet financial instruments, but does not incorporate any assumptions for future originations, renewals or issuances. Management measures the impact of changes in market values due to interest rates under a number of scenarios, including immediate shifts of the yield curve. The percentage impact to the EVE resulting from a 100 basis-point increase and a 100 basis-point decrease in market interest rates was -5.6% and 2.7%, respectively, as of March 31, 2026, and -5.1% and 2.2%, respectively, at December 31, 2025.</w:t>
      </w:r>
    </w:p>
    <w:p>
      <w:pPr>
        <w:spacing w:after="0" w:line="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In addition to the effect of interest rates, changes in fair value of the Company’s financial instruments can also result from a lack of trading activity for similar instruments in the financial markets. Information about the fair valuation of financial instruments is presented in note 12 of Notes to Financial Statements.</w:t>
      </w:r>
    </w:p>
    <w:p>
      <w:pPr>
        <w:spacing w:after="0" w:line="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The Company enters into interest rate and foreign exchange contracts to meet the financial needs of customers that it includes in its consolidated financial statements as other non-hedging derivatives within other assets and other liabilities. Financial instruments utilized for such activities consist predominantly of interest rate swap agreements and forward and futures contracts related to foreign currencies. The Company generally mitigates the interest rate and foreign currency risk associated with customer activities by entering into offsetting positions with third parties that are also included in other assets and other liabilities. The fair values of non-hedging derivative positions associated with interest rate contracts and foreign currency and other option and futures contracts are presented in note 10 of Notes to Financial Statements. As with any non-government guaranteed financial instrument, the Company is exposed to credit risk associated with counterparties to its non-hedging derivative activities. Although the notional amounts of these contracts are not recorded in the Consolidated Balance Sheet, the unsettled fair values of such financial instruments are recorded in the Consolidated Balance Sheet. The fair values of such non-hedging derivative assets and liabilities recognized in the Consolidated Balance Sheet were $159 million and $415 million, respectively, at March 31, 2026 and $190 million and $409 million, respectively, at December 31, 2025. The amounts recorded in the Consolidated Balance Sheet associated with the Company's non-hedging derivative activities at March 31, 2026 and December 31, 2025 primarily reflect changes in values associated with interest rate swap agreements entered into with commercial customers and financial institutions that are not subject to periodic variation margin settlement payments.</w:t>
      </w:r>
    </w:p>
    <w:p>
      <w:pPr>
        <w:spacing w:after="0" w:line="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Trading account assets were $92 million at March 31, 2026 and $97 million at December 31, 2025 and were comprised of mutual funds and other assets related to certain deferred compensation plans and non-qualified supplemental retirement and other benefit plans that were assumed by the Company in various acquisitions. Changes in the fair values of such assets are recorded as Trading account and other non-hedging derivative gains in the Consolidated Statement of Income. Changes in the valuation of the related liabilities, which are included in Accrued interest and other liabilities in the Consolidated Balance Sheet, are recognized in Other costs of operations in the Consolidated Statement of Income.</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Given the Company's policies and positions, management believes that the potential loss exposure to the Company resulting from market risk associated with trading account and other non-hedging derivative activities was not material at March 31, 2026, however, as previously noted, the Company is exposed to credit risk associated with counterparties to such activities. Information about the Company’s use of derivative financial instruments is included in note 10 of Notes to Financial Statements.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1"/>
          <w:szCs w:val="21"/>
          <w:b w:val="1"/>
          <w:bCs w:val="1"/>
          <w:color w:val="auto"/>
        </w:rPr>
        <w:t>Capital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presents components related to shareholders' equity and dividends.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SHAREHOLDERS' EQUITY, DIVIDENDS AND SELECT RATIOS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w:t>
            </w: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15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37"/>
        </w:trPr>
        <w:tc>
          <w:tcPr>
            <w:tcW w:w="58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2,434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2,834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2,394</w:t>
            </w:r>
          </w:p>
        </w:tc>
        <w:tc>
          <w:tcPr>
            <w:tcW w:w="0" w:type="dxa"/>
            <w:vAlign w:val="bottom"/>
          </w:tcPr>
          <w:p>
            <w:pPr>
              <w:spacing w:after="0"/>
              <w:rPr>
                <w:sz w:val="1"/>
                <w:szCs w:val="1"/>
                <w:color w:val="auto"/>
              </w:rPr>
            </w:pPr>
          </w:p>
        </w:tc>
      </w:tr>
      <w:tr>
        <w:trPr>
          <w:trHeight w:val="193"/>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shareholders' equity</w:t>
            </w:r>
          </w:p>
        </w:tc>
        <w:tc>
          <w:tcPr>
            <w:tcW w:w="24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25,538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26,343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26,597</w:t>
            </w:r>
          </w:p>
        </w:tc>
        <w:tc>
          <w:tcPr>
            <w:tcW w:w="0" w:type="dxa"/>
            <w:vAlign w:val="bottom"/>
          </w:tcPr>
          <w:p>
            <w:pPr>
              <w:spacing w:after="0"/>
              <w:rPr>
                <w:sz w:val="1"/>
                <w:szCs w:val="1"/>
                <w:color w:val="auto"/>
              </w:rPr>
            </w:pPr>
          </w:p>
        </w:tc>
      </w:tr>
      <w:tr>
        <w:trPr>
          <w:trHeight w:val="37"/>
        </w:trPr>
        <w:tc>
          <w:tcPr>
            <w:tcW w:w="58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27,972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29,177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28,991</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shareholders’ equity</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173.82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173.49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163.62</w:t>
            </w:r>
          </w:p>
        </w:tc>
        <w:tc>
          <w:tcPr>
            <w:tcW w:w="0" w:type="dxa"/>
            <w:vAlign w:val="bottom"/>
          </w:tcPr>
          <w:p>
            <w:pPr>
              <w:spacing w:after="0"/>
              <w:rPr>
                <w:sz w:val="1"/>
                <w:szCs w:val="1"/>
                <w:color w:val="auto"/>
              </w:rPr>
            </w:pPr>
          </w:p>
        </w:tc>
      </w:tr>
      <w:tr>
        <w:trPr>
          <w:trHeight w:val="193"/>
        </w:trPr>
        <w:tc>
          <w:tcPr>
            <w:tcW w:w="5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Tangible common shareholders’ equity (a)</w:t>
            </w:r>
          </w:p>
        </w:tc>
        <w:tc>
          <w:tcPr>
            <w:tcW w:w="24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115.96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117.45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111.13</w:t>
            </w: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Ratios:</w:t>
            </w:r>
          </w:p>
        </w:tc>
        <w:tc>
          <w:tcPr>
            <w:tcW w:w="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shareholders' equity to total assets</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13.78 %</w:t>
            </w: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shareholders' equity to total assets</w:t>
            </w:r>
          </w:p>
        </w:tc>
        <w:tc>
          <w:tcPr>
            <w:tcW w:w="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11.89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12.34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12.65</w:t>
            </w:r>
          </w:p>
        </w:tc>
        <w:tc>
          <w:tcPr>
            <w:tcW w:w="0" w:type="dxa"/>
            <w:vAlign w:val="bottom"/>
          </w:tcPr>
          <w:p>
            <w:pPr>
              <w:spacing w:after="0"/>
              <w:rPr>
                <w:sz w:val="1"/>
                <w:szCs w:val="1"/>
                <w:color w:val="auto"/>
              </w:rPr>
            </w:pPr>
          </w:p>
        </w:tc>
      </w:tr>
      <w:tr>
        <w:trPr>
          <w:trHeight w:val="193"/>
        </w:trPr>
        <w:tc>
          <w:tcPr>
            <w:tcW w:w="5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Tangible common shareholders' equity to tangible assets (a)</w:t>
            </w:r>
          </w:p>
        </w:tc>
        <w:tc>
          <w:tcPr>
            <w:tcW w:w="24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8.70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8.95</w:t>
            </w: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for quarter ended:</w:t>
            </w:r>
          </w:p>
        </w:tc>
        <w:tc>
          <w:tcPr>
            <w:tcW w:w="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stock</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per share</w:t>
            </w:r>
          </w:p>
        </w:tc>
        <w:tc>
          <w:tcPr>
            <w:tcW w:w="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93"/>
        </w:trPr>
        <w:tc>
          <w:tcPr>
            <w:tcW w:w="5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Preferred stock</w:t>
            </w:r>
          </w:p>
        </w:tc>
        <w:tc>
          <w:tcPr>
            <w:tcW w:w="24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 w:lineRule="exact"/>
        <w:rPr>
          <w:sz w:val="20"/>
          <w:szCs w:val="20"/>
          <w:color w:val="auto"/>
        </w:rPr>
      </w:pPr>
    </w:p>
    <w:p>
      <w:pPr>
        <w:ind w:left="440" w:hanging="432"/>
        <w:spacing w:after="0"/>
        <w:tabs>
          <w:tab w:leader="none" w:pos="440" w:val="left"/>
        </w:tabs>
        <w:numPr>
          <w:ilvl w:val="0"/>
          <w:numId w:val="4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Reconciliations of total common shareholders’ equity and tangible common equity and total assets and tangible assets as of each of those dates are presented in Table 2.</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Shareholders’ equity reflects accumulated other comprehensive income or loss, which includes the net after-tax impact of unrealized gains or losses on investment securities classified as available for sale, gains or losses associated with interest rate swap agreements designated as cash flow hedges and adjustments to reflect the funded status of defined benefit pension and other postretirement plans. The components of accumulated other comprehensive income (loss) are presented in the following table.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ACCUMULATED OTHER COMPREHENSIVE INCOME (LOSS) - NET OF INCOME TAX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w:t>
            </w: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14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37"/>
        </w:trPr>
        <w:tc>
          <w:tcPr>
            <w:tcW w:w="60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 unrealized gains (losses), net (a)</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hedges unrealized gains, net (b)</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37"/>
        </w:trPr>
        <w:tc>
          <w:tcPr>
            <w:tcW w:w="6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plans adjustments, net (c)</w:t>
            </w: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9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37"/>
        </w:trPr>
        <w:tc>
          <w:tcPr>
            <w:tcW w:w="60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net</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net, per common share</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40" w:hanging="432"/>
        <w:spacing w:after="0"/>
        <w:tabs>
          <w:tab w:leader="none" w:pos="440" w:val="left"/>
        </w:tabs>
        <w:numPr>
          <w:ilvl w:val="0"/>
          <w:numId w:val="4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Refer to note 2 of Notes to Financial Statements.</w:t>
      </w:r>
    </w:p>
    <w:p>
      <w:pPr>
        <w:spacing w:after="0" w:line="11"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4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Refer to note 10 of Notes to Financial Statements.</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4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Refer to note 7 of Notes to Financial Statements.</w:t>
      </w:r>
    </w:p>
    <w:p>
      <w:pPr>
        <w:spacing w:after="0" w:line="1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On March 30, 2026, M&amp;T's Board of Directors authorized a program under which $5.0 billion of common shares may be repurchased. That authorization replaced and terminated the previous authorized share repurchase program effective as of the same date. M&amp;T repurchased 5.5 million shares of its common stock in the recent quarter at a total cost of $1.25 billion. M&amp;T repurchased 2.7 million and 3.4 million shares of its common stock at a total cost of $507 million and $662 million in the fourth and first quarters of 2025, respectively. Discretion as to the amount and timing of authorized share repurchases in a given period has been delegated, through the authorization of the Board of Directors, to management and can be influenced by capital and liquidity requirements, including funding of future loan growth and other balance sheet management activities, as well as market and economic conditions. On February 1, 2026, M&amp;T redeemed all 40,000 outstanding shares of its Perpetual Fixed Rate Reset Non-Cumulative Preferred Stock, Series G, for $400 million. On October 31, 2025, M&amp;T issued 45,000 shares of Perpetual Fixed Rate Non-Cumulative Preferred Stock, Series K, with a liquidation preference of $10,000 per share.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69" w:name="page70"/>
    <w:bookmarkEnd w:id="69"/>
    <w:p>
      <w:pPr>
        <w:jc w:val="both"/>
        <w:spacing w:after="0" w:line="255" w:lineRule="auto"/>
        <w:rPr>
          <w:sz w:val="20"/>
          <w:szCs w:val="20"/>
          <w:color w:val="auto"/>
        </w:rPr>
      </w:pPr>
      <w:r>
        <w:rPr>
          <w:rFonts w:ascii="Times New Roman" w:cs="Times New Roman" w:eastAsia="Times New Roman" w:hAnsi="Times New Roman"/>
          <w:sz w:val="21"/>
          <w:szCs w:val="21"/>
          <w:color w:val="auto"/>
        </w:rPr>
        <w:t>As a result of the accounting election on January 1, 2026 to prospectively measure residential mortgage loan servicing right assets at fair value, the Company recorded an increase in capitalized servicing assets included in accrued interest and other assets of $263 million and a corresponding after-tax increase to retained earnings of $197 million, representing an 8 basis-point increase to CET1 capital on the election date.</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M&amp;T and its subsidiary banks are required to comply with applicable Capital Rules which prescribe minimum capital ratios. Capital Rules require buffers in addition to these minimum risk-based capital ratios. M&amp;T is subject to an SCB requirement that is determined through the Federal Reserve’s supervisory stress tests and M&amp;T’s bank subsidiaries are subject to a 2.5% capital conservation buffer requirement. The buffer requirement must be composed entirely of CET1 capital. M&amp;T's SCB at March 31, 2026 was 2.7%. The regulatory capital ratios of the Company and its bank subsidiaries, M&amp;T Bank and Wilmington Trust, N.A., as of March 31, 2026 are presented in the accompanying table.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REGULATORY CAPITAL RATIOS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M&amp;T</w:t>
            </w:r>
          </w:p>
        </w:tc>
        <w:tc>
          <w:tcPr>
            <w:tcW w:w="380" w:type="dxa"/>
            <w:vAlign w:val="bottom"/>
          </w:tcPr>
          <w:p>
            <w:pPr>
              <w:spacing w:after="0"/>
              <w:rPr>
                <w:sz w:val="15"/>
                <w:szCs w:val="15"/>
                <w:color w:val="auto"/>
              </w:rPr>
            </w:pPr>
          </w:p>
        </w:tc>
        <w:tc>
          <w:tcPr>
            <w:tcW w:w="14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M&amp;T</w:t>
            </w:r>
          </w:p>
        </w:tc>
        <w:tc>
          <w:tcPr>
            <w:tcW w:w="280" w:type="dxa"/>
            <w:vAlign w:val="bottom"/>
          </w:tcPr>
          <w:p>
            <w:pPr>
              <w:spacing w:after="0"/>
              <w:rPr>
                <w:sz w:val="15"/>
                <w:szCs w:val="15"/>
                <w:color w:val="auto"/>
              </w:rPr>
            </w:pPr>
          </w:p>
        </w:tc>
        <w:tc>
          <w:tcPr>
            <w:tcW w:w="14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Wilmington</w:t>
            </w:r>
          </w:p>
        </w:tc>
      </w:tr>
      <w:tr>
        <w:trPr>
          <w:trHeight w:val="190"/>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Regulatory Minimum (a)</w:t>
            </w: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380" w:type="dxa"/>
            <w:vAlign w:val="bottom"/>
          </w:tcPr>
          <w:p>
            <w:pPr>
              <w:spacing w:after="0"/>
              <w:rPr>
                <w:sz w:val="16"/>
                <w:szCs w:val="16"/>
                <w:color w:val="auto"/>
              </w:rPr>
            </w:pPr>
          </w:p>
        </w:tc>
        <w:tc>
          <w:tcPr>
            <w:tcW w:w="14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Bank</w:t>
            </w:r>
          </w:p>
        </w:tc>
        <w:tc>
          <w:tcPr>
            <w:tcW w:w="280" w:type="dxa"/>
            <w:vAlign w:val="bottom"/>
          </w:tcPr>
          <w:p>
            <w:pPr>
              <w:spacing w:after="0"/>
              <w:rPr>
                <w:sz w:val="16"/>
                <w:szCs w:val="16"/>
                <w:color w:val="auto"/>
              </w:rPr>
            </w:pPr>
          </w:p>
        </w:tc>
        <w:tc>
          <w:tcPr>
            <w:tcW w:w="14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Trust, N.A.</w:t>
            </w:r>
          </w:p>
        </w:tc>
      </w:tr>
      <w:tr>
        <w:trPr>
          <w:trHeight w:val="37"/>
        </w:trPr>
        <w:tc>
          <w:tcPr>
            <w:tcW w:w="410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03"/>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CET1 capital</w:t>
            </w:r>
          </w:p>
        </w:tc>
        <w:tc>
          <w:tcPr>
            <w:tcW w:w="172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273.94%</w:t>
            </w:r>
          </w:p>
        </w:tc>
      </w:tr>
      <w:tr>
        <w:trPr>
          <w:trHeight w:val="193"/>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 capital</w:t>
            </w:r>
          </w:p>
        </w:tc>
        <w:tc>
          <w:tcPr>
            <w:tcW w:w="172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11.81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11.98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273.94</w:t>
            </w:r>
          </w:p>
        </w:tc>
      </w:tr>
      <w:tr>
        <w:trPr>
          <w:trHeight w:val="37"/>
        </w:trPr>
        <w:tc>
          <w:tcPr>
            <w:tcW w:w="41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09"/>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w:t>
            </w:r>
          </w:p>
        </w:tc>
        <w:tc>
          <w:tcPr>
            <w:tcW w:w="172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13.61</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13.75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274.08</w:t>
            </w:r>
          </w:p>
        </w:tc>
      </w:tr>
      <w:tr>
        <w:trPr>
          <w:trHeight w:val="193"/>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 leverage</w:t>
            </w:r>
          </w:p>
        </w:tc>
        <w:tc>
          <w:tcPr>
            <w:tcW w:w="172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9.45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9.58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86.88</w:t>
            </w:r>
          </w:p>
        </w:tc>
      </w:tr>
      <w:tr>
        <w:trPr>
          <w:trHeight w:val="37"/>
        </w:trPr>
        <w:tc>
          <w:tcPr>
            <w:tcW w:w="41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9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RWA</w:t>
            </w:r>
          </w:p>
        </w:tc>
        <w:tc>
          <w:tcPr>
            <w:tcW w:w="2040" w:type="dxa"/>
            <w:vAlign w:val="bottom"/>
            <w:gridSpan w:val="3"/>
            <w:shd w:val="clear" w:color="auto" w:fill="CCEEFF"/>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164,258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163,577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246</w:t>
            </w:r>
          </w:p>
        </w:tc>
      </w:tr>
      <w:tr>
        <w:trPr>
          <w:trHeight w:val="37"/>
        </w:trPr>
        <w:tc>
          <w:tcPr>
            <w:tcW w:w="410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16" w:lineRule="exact"/>
        <w:rPr>
          <w:sz w:val="20"/>
          <w:szCs w:val="20"/>
          <w:color w:val="auto"/>
        </w:rPr>
      </w:pPr>
    </w:p>
    <w:p>
      <w:pPr>
        <w:ind w:left="440" w:hanging="432"/>
        <w:spacing w:after="0"/>
        <w:tabs>
          <w:tab w:leader="none" w:pos="440" w:val="left"/>
        </w:tabs>
        <w:numPr>
          <w:ilvl w:val="0"/>
          <w:numId w:val="4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Exclusive of required buffers as applicable.</w:t>
      </w:r>
    </w:p>
    <w:p>
      <w:pPr>
        <w:spacing w:after="0" w:line="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Capital Rules generally require the deduction of goodwill and core deposit and other intangible assets, net of applicable deferred taxes, from the calculation of capital in the determination of the minimum capital ratios. As a result of previous business acquisitions, the Company recorded goodwill of $8.5 billion and core deposit and other intangible assets of $55 million at March 31, 2026. Goodwill, as required by GAAP, is not amortized, but rather is tested for impairment at least annually at the business reporting unit level. The Company completed its annual goodwill impairment test in the fourth quarter of 2025 and concluded the amount of goodwill was not impaired at the testing date. The Company has not identified events or circumstances that would more likely than not reduce the fair value of a business reporting unit below its carrying amount at March 31, 2026. Should a business reporting unit with assigned goodwill experience declines in revenue, increased credit losses or expenses, or other adverse developments due to economic, regulatory, competition or other factors, that would be material to that reporting unit, an impairment of goodwill could occur in a future period that could be material to the Company's Consolidated Balance Sheet and its Consolidated Statement of Income. Although a goodwill impairment charge would not have a significant impact on the Company's regulatory tangible capital ratios, it would reduce the capacity of its bank subsidiary, M&amp;T Bank, to dividend earnings to M&amp;T. As described herein under the heading "Liquidity Risk," M&amp;T's parent company liquidity at March 31, 2026, inclusive of the projected repayment of notes receivables from bank subsidiaries, covered projected cash outflows for 32 months, including dividends on common and preferred stock, debt service and scheduled debt maturities.</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Company is subject to the comprehensive regulatory framework applicable to bank and financial holding companies and their subsidiaries, which includes examinations by a number of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on M&amp;T’s ability to pay dividends. For additional information concerning this comprehensive regulatory framework, refer to Part I, Item 1, "Supervision and Regulation of the Company" of M&amp;T's 2025 Annual Report.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0" w:name="page71"/>
    <w:bookmarkEnd w:id="70"/>
    <w:p>
      <w:pPr>
        <w:jc w:val="both"/>
        <w:spacing w:after="0" w:line="263" w:lineRule="auto"/>
        <w:rPr>
          <w:sz w:val="20"/>
          <w:szCs w:val="20"/>
          <w:color w:val="auto"/>
        </w:rPr>
      </w:pPr>
      <w:r>
        <w:rPr>
          <w:rFonts w:ascii="Times New Roman" w:cs="Times New Roman" w:eastAsia="Times New Roman" w:hAnsi="Times New Roman"/>
          <w:sz w:val="20"/>
          <w:szCs w:val="20"/>
          <w:color w:val="auto"/>
        </w:rPr>
        <w:t>As described in Part I, Item 1, "Capital Requirements" of M&amp;T's 2025 Annual Report, in July 2023 the federal banking agencies issued a notice of proposed rulemaking to modify the regulatory capital requirements applicable to large banking organizations with total assets exceeding $100 billion, like the Company. In March 2026, the federal banking agencies issued a reproposal of those requirements. Under the reproposed requirements, the Company would have the option of calculating its RWA using either a standardized approach or an ERBA. The reproposal would also require the Company to include certain components of accumulated other comprehensive income (loss) in its calculation of capital over a five-year transition period. Management continues to evaluate the impact of the reproposed rules on the regulatory capital requirements of M&amp;T and its subsidiary banks. The Company estimates that its CET1 capital at December 31, 2025 would have increased approximately 90 basis points under the standardized approach and an additional 10 to 20 basis points under the ERBA, excluding the impact of accumulated other comprehensive income (loss). At March 31, 2026, the inclusion of accumulated other comprehensive income (loss) components related to investment securities available for sale and defined benefit plan liability adjustments would have increased the Company's CET1 capital ratio by 4 basis points.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Segment Information</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Reportable segments have been determined based upon the Company's organizational structure which is primarily arranged around the delivery of products and services to similar customer types. Financial information about the Company's reportable segments is presented in note 14 of Notes to Financial Statements. The Company's reportable segments are Commercial Bank, Retail Bank and Institutional Services and Wealth Management. All other business activities that are not included in the three reportable segment results have been included in the "All Other" category.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NET INCOME (LOSS) BY REPORTABLE SEGMENT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10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1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Bank</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center"/>
              <w:ind w:left="628"/>
              <w:spacing w:after="0"/>
              <w:rPr>
                <w:sz w:val="20"/>
                <w:szCs w:val="20"/>
                <w:color w:val="auto"/>
              </w:rPr>
            </w:pPr>
            <w:r>
              <w:rPr>
                <w:rFonts w:ascii="Times New Roman" w:cs="Times New Roman" w:eastAsia="Times New Roman" w:hAnsi="Times New Roman"/>
                <w:sz w:val="14"/>
                <w:szCs w:val="14"/>
                <w:color w:val="auto"/>
                <w:w w:val="95"/>
              </w:rPr>
              <w:t>231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3"/>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 Bank</w:t>
            </w:r>
          </w:p>
        </w:tc>
        <w:tc>
          <w:tcPr>
            <w:tcW w:w="300" w:type="dxa"/>
            <w:vAlign w:val="bottom"/>
          </w:tcPr>
          <w:p>
            <w:pPr>
              <w:spacing w:after="0"/>
              <w:rPr>
                <w:sz w:val="16"/>
                <w:szCs w:val="16"/>
                <w:color w:val="auto"/>
              </w:rPr>
            </w:pPr>
          </w:p>
        </w:tc>
        <w:tc>
          <w:tcPr>
            <w:tcW w:w="8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ind w:left="628"/>
              <w:spacing w:after="0"/>
              <w:rPr>
                <w:sz w:val="20"/>
                <w:szCs w:val="20"/>
                <w:color w:val="auto"/>
              </w:rPr>
            </w:pPr>
            <w:r>
              <w:rPr>
                <w:rFonts w:ascii="Times New Roman" w:cs="Times New Roman" w:eastAsia="Times New Roman" w:hAnsi="Times New Roman"/>
                <w:sz w:val="14"/>
                <w:szCs w:val="14"/>
                <w:color w:val="auto"/>
                <w:w w:val="95"/>
              </w:rPr>
              <w:t>347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3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Institutional Services and Wealth Management</w:t>
            </w: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center"/>
              <w:ind w:left="628"/>
              <w:spacing w:after="0"/>
              <w:rPr>
                <w:sz w:val="20"/>
                <w:szCs w:val="20"/>
                <w:color w:val="auto"/>
              </w:rPr>
            </w:pPr>
            <w:r>
              <w:rPr>
                <w:rFonts w:ascii="Times New Roman" w:cs="Times New Roman" w:eastAsia="Times New Roman" w:hAnsi="Times New Roman"/>
                <w:sz w:val="14"/>
                <w:szCs w:val="14"/>
                <w:color w:val="auto"/>
                <w:w w:val="95"/>
              </w:rPr>
              <w:t>121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3"/>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300" w:type="dxa"/>
            <w:vAlign w:val="bottom"/>
          </w:tcPr>
          <w:p>
            <w:pPr>
              <w:spacing w:after="0"/>
              <w:rPr>
                <w:sz w:val="16"/>
                <w:szCs w:val="16"/>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w w:val="98"/>
              </w:rPr>
              <w:t>(115)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37"/>
        </w:trPr>
        <w:tc>
          <w:tcPr>
            <w:tcW w:w="3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income</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664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664</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center"/>
              <w:ind w:left="628"/>
              <w:spacing w:after="0"/>
              <w:rPr>
                <w:sz w:val="20"/>
                <w:szCs w:val="20"/>
                <w:color w:val="auto"/>
              </w:rPr>
            </w:pPr>
            <w:r>
              <w:rPr>
                <w:rFonts w:ascii="Times New Roman" w:cs="Times New Roman" w:eastAsia="Times New Roman" w:hAnsi="Times New Roman"/>
                <w:sz w:val="14"/>
                <w:szCs w:val="14"/>
                <w:color w:val="auto"/>
                <w:w w:val="95"/>
              </w:rPr>
              <w:t>584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1"/>
          <w:szCs w:val="21"/>
          <w:b w:val="1"/>
          <w:bCs w:val="1"/>
          <w:i w:val="1"/>
          <w:iCs w:val="1"/>
          <w:color w:val="auto"/>
        </w:rPr>
        <w:t>Commercial Bank</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The Commercial Bank segment provides a wide range of credit products and banking services to middle-market and large commercial customers, mainly within the markets served by the Company. Services provided by this segment include commercial lending and leasing, credit facilities which are secured by various types of commercial real estate, letters of credit, deposit products and cash management services. Commercial real estate loans may be secured by multifamily residential buildings, hotels, office, retail and industrial space or other types of collateral. Activities of this segment include the origination, sales and servicing of commercial real estate loans through the Fannie Mae DUS program and other programs. Commercial real estate loans held for sale are included in this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COMMERCIAL BANK SEGMENT FINANCIAL SUMMARY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7"/>
                <w:szCs w:val="17"/>
                <w:color w:val="auto"/>
              </w:rPr>
            </w:pPr>
          </w:p>
        </w:tc>
        <w:tc>
          <w:tcPr>
            <w:tcW w:w="10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1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37"/>
        </w:trPr>
        <w:tc>
          <w:tcPr>
            <w:tcW w:w="3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18"/>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balance sheet</w:t>
            </w:r>
          </w:p>
        </w:tc>
        <w:tc>
          <w:tcPr>
            <w:tcW w:w="3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55,730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54,525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55,730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53,567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93"/>
        </w:trPr>
        <w:tc>
          <w:tcPr>
            <w:tcW w:w="3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Real estate - commercial</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21,795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24,555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Real estate - residential</w:t>
            </w: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3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Consumer</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37"/>
        </w:trPr>
        <w:tc>
          <w:tcPr>
            <w:tcW w:w="3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loans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77,947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77,363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77,947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78,536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1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Noninterest-bearing</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10,247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93"/>
        </w:trPr>
        <w:tc>
          <w:tcPr>
            <w:tcW w:w="3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Interest-bearing</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39,223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37"/>
        </w:trPr>
        <w:tc>
          <w:tcPr>
            <w:tcW w:w="3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49,470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48,733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49,470</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45,477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Commercial Bank segment’s net income in the first quarter of 2026 increased $36 million from the fourth quarter of 2025.</w:t>
      </w:r>
    </w:p>
    <w:p>
      <w:pPr>
        <w:spacing w:after="0" w:line="123" w:lineRule="exact"/>
        <w:rPr>
          <w:sz w:val="20"/>
          <w:szCs w:val="20"/>
          <w:color w:val="auto"/>
        </w:rPr>
      </w:pPr>
    </w:p>
    <w:p>
      <w:pPr>
        <w:jc w:val="both"/>
        <w:ind w:left="880" w:hanging="431"/>
        <w:spacing w:after="0" w:line="255" w:lineRule="auto"/>
        <w:tabs>
          <w:tab w:leader="none" w:pos="876"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decreased $18 million reflecting a 10 basis-point narrowing of the net interest margin on loans and the impact of two less calendar days in the recent quarter. Those factors were partially offset by a 3 basis-point expansion of the net interest margin on deposits and higher average balances of those deposits.</w:t>
      </w:r>
    </w:p>
    <w:p>
      <w:pPr>
        <w:spacing w:after="0" w:line="80"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decreased $15 million reflecting a decline in commercial mortgage banking revenues from lower gains on commercial mortgage loans originated for sale.</w:t>
      </w:r>
    </w:p>
    <w:p>
      <w:pPr>
        <w:spacing w:after="0" w:line="64"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 for credit losses decreased $76 million reflecting lower net charge offs of commercial and industrial and commercial real estate loans.</w:t>
      </w:r>
    </w:p>
    <w:p>
      <w:pPr>
        <w:spacing w:after="0" w:line="50" w:lineRule="exact"/>
        <w:rPr>
          <w:rFonts w:ascii="Times New Roman" w:cs="Times New Roman" w:eastAsia="Times New Roman" w:hAnsi="Times New Roman"/>
          <w:sz w:val="21"/>
          <w:szCs w:val="21"/>
          <w:color w:val="auto"/>
        </w:rPr>
      </w:pPr>
    </w:p>
    <w:p>
      <w:pPr>
        <w:jc w:val="both"/>
        <w:ind w:left="880" w:hanging="431"/>
        <w:spacing w:after="0" w:line="262" w:lineRule="auto"/>
        <w:tabs>
          <w:tab w:leader="none" w:pos="876"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loans rose $584 million driven by higher average balances of commercial and industrial loans reflecting growth in loans to the financial and insurance industry, partially offset by reductions in average construction and permanent commercial real estate loans.</w:t>
      </w:r>
    </w:p>
    <w:p>
      <w:pPr>
        <w:spacing w:after="0" w:line="59" w:lineRule="exact"/>
        <w:rPr>
          <w:rFonts w:ascii="Times New Roman" w:cs="Times New Roman" w:eastAsia="Times New Roman" w:hAnsi="Times New Roman"/>
          <w:sz w:val="21"/>
          <w:szCs w:val="21"/>
          <w:color w:val="auto"/>
        </w:rPr>
      </w:pPr>
    </w:p>
    <w:p>
      <w:pPr>
        <w:ind w:left="880" w:hanging="431"/>
        <w:spacing w:after="0"/>
        <w:tabs>
          <w:tab w:leader="none" w:pos="88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deposits grew $737 million reflecting higher average savings and interest-checking deposit balances.</w:t>
      </w:r>
    </w:p>
    <w:p>
      <w:pPr>
        <w:spacing w:after="0" w:line="340"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2" w:name="page73"/>
    <w:bookmarkEnd w:id="72"/>
    <w:p>
      <w:pPr>
        <w:spacing w:after="0" w:line="270" w:lineRule="auto"/>
        <w:rPr>
          <w:sz w:val="20"/>
          <w:szCs w:val="20"/>
          <w:color w:val="auto"/>
        </w:rPr>
      </w:pPr>
      <w:r>
        <w:rPr>
          <w:rFonts w:ascii="Times New Roman" w:cs="Times New Roman" w:eastAsia="Times New Roman" w:hAnsi="Times New Roman"/>
          <w:sz w:val="21"/>
          <w:szCs w:val="21"/>
          <w:color w:val="auto"/>
        </w:rPr>
        <w:t>Net income for the Commercial Bank segment increased $19 million in the first three months of 2026 as compared with the similar 2025 period.</w:t>
      </w:r>
    </w:p>
    <w:p>
      <w:pPr>
        <w:spacing w:after="0" w:line="64" w:lineRule="exact"/>
        <w:rPr>
          <w:sz w:val="20"/>
          <w:szCs w:val="20"/>
          <w:color w:val="auto"/>
        </w:rPr>
      </w:pPr>
    </w:p>
    <w:p>
      <w:pPr>
        <w:ind w:left="880" w:hanging="431"/>
        <w:spacing w:after="0" w:line="270" w:lineRule="auto"/>
        <w:tabs>
          <w:tab w:leader="none" w:pos="87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modestly increased $6 million reflecting higher average deposits of $4.0 billion, partially offset by a 6 basis-point narrowing of the net interest margin on loans.</w:t>
      </w:r>
    </w:p>
    <w:p>
      <w:pPr>
        <w:spacing w:after="0" w:line="64"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increased $20 million reflecting a rise in credit-related fees, higher revenues from interest rate swap agreements with customers and increased service charges on commercial deposit accounts.</w:t>
      </w:r>
    </w:p>
    <w:p>
      <w:pPr>
        <w:spacing w:after="0" w:line="50" w:lineRule="exact"/>
        <w:rPr>
          <w:rFonts w:ascii="Times New Roman" w:cs="Times New Roman" w:eastAsia="Times New Roman" w:hAnsi="Times New Roman"/>
          <w:sz w:val="21"/>
          <w:szCs w:val="21"/>
          <w:color w:val="auto"/>
        </w:rPr>
      </w:pPr>
    </w:p>
    <w:p>
      <w:pPr>
        <w:jc w:val="both"/>
        <w:ind w:left="880" w:hanging="431"/>
        <w:spacing w:after="0" w:line="262" w:lineRule="auto"/>
        <w:tabs>
          <w:tab w:leader="none" w:pos="87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loans decreased $589 million reflecting lower average commercial real estate loans as the Company reduced the level of such loans designated as criticized, partially offset by higher average commercial and industrial loans reflecting growth that spanned most industry types.</w:t>
      </w:r>
    </w:p>
    <w:p>
      <w:pPr>
        <w:spacing w:after="0" w:line="73"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deposits grew $4.0 billion reflecting growth in average savings and interest-checking deposits, partially offset by lower average noninterest-bearing deposits.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Retail Bank</w:t>
      </w:r>
    </w:p>
    <w:p>
      <w:pPr>
        <w:spacing w:after="0" w:line="1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Retail Bank segment provides a wide range of services to consumers and small businesses through the Company’s branch network and several other delivery channels such as digital banking, telephone banking and ATMs. The Company has domestic banking offices primarily in the Northeastern and Mid-Atlantic regions of the U.S. including the District of Columbia. The segment offers to its customers deposit products, including demand, savings and time accounts, and other services. Credit services offered by this segment include automobile and recreational finance loans (primarily originated indirectly through dealers), home equity loans and lines of credit, credit cards and other loan products. This segment also originates and services residential mortgage loans and either sells those loans in the secondary market to investors or retains them for investment purposes. Residential mortgage loans are also originated and serviced on behalf of the Institutional Services and Wealth Management segment. The Company periodically purchases the rights to service residential real estate loans that have been originated by other entities and also sub-services residential real estate loans for others. Residential real estate loans held for sale are included in this segment. This segment also provides various business loans, including loans guaranteed by the Small Business Administration, business credit cards, deposit products and services such as cash management, payroll and direct deposit, merchant credit card and letters of credits to small businesses and professionals through the Company's branch network and other delivery channels.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1"/>
          <w:szCs w:val="21"/>
          <w:color w:val="auto"/>
        </w:rPr>
        <w:t>RETAIL BANK SEGMENT FINANCIAL SUMMARY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10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1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37"/>
        </w:trPr>
        <w:tc>
          <w:tcPr>
            <w:tcW w:w="3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8"/>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balance sheet</w:t>
            </w:r>
          </w:p>
        </w:tc>
        <w:tc>
          <w:tcPr>
            <w:tcW w:w="3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6,416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93"/>
        </w:trPr>
        <w:tc>
          <w:tcPr>
            <w:tcW w:w="3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Real estate - commercial</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Real estate - residential</w:t>
            </w: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20,570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3"/>
        </w:trPr>
        <w:tc>
          <w:tcPr>
            <w:tcW w:w="3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Consumer</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25,444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23,536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37"/>
        </w:trPr>
        <w:tc>
          <w:tcPr>
            <w:tcW w:w="3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loans</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55,761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55,725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55,761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52,194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1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Noninterest-bearing</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24,249</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24,220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3"/>
        </w:trPr>
        <w:tc>
          <w:tcPr>
            <w:tcW w:w="3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Interest-bearing</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64,658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64,720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88,907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90,412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88,907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88,940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Retail Bank segment’s net income in the first quarter of 2026 was unchanged from the fourth quarter of 2025.</w:t>
      </w:r>
    </w:p>
    <w:p>
      <w:pPr>
        <w:spacing w:after="0" w:line="110" w:lineRule="exact"/>
        <w:rPr>
          <w:sz w:val="20"/>
          <w:szCs w:val="20"/>
          <w:color w:val="auto"/>
        </w:rPr>
      </w:pPr>
    </w:p>
    <w:p>
      <w:pPr>
        <w:ind w:left="880" w:right="20" w:hanging="431"/>
        <w:spacing w:after="0" w:line="283" w:lineRule="auto"/>
        <w:tabs>
          <w:tab w:leader="none" w:pos="87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decreased $38 million reflecting lower average balances of deposits of $1.5 billion and the impact of two less calendar days in the recent quarter.</w:t>
      </w:r>
    </w:p>
    <w:p>
      <w:pPr>
        <w:spacing w:after="0" w:line="38" w:lineRule="exact"/>
        <w:rPr>
          <w:rFonts w:ascii="Times New Roman" w:cs="Times New Roman" w:eastAsia="Times New Roman" w:hAnsi="Times New Roman"/>
          <w:sz w:val="21"/>
          <w:szCs w:val="21"/>
          <w:color w:val="auto"/>
        </w:rPr>
      </w:pPr>
    </w:p>
    <w:p>
      <w:pPr>
        <w:ind w:left="880" w:right="20" w:hanging="431"/>
        <w:spacing w:after="0" w:line="283" w:lineRule="auto"/>
        <w:tabs>
          <w:tab w:leader="none" w:pos="87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decreased $13 million reflecting the Company's accounting election to prospectively measure residential mortgage loan servicing right assets at fair value beginning on January 1, 2026.</w:t>
      </w:r>
    </w:p>
    <w:p>
      <w:pPr>
        <w:spacing w:after="0" w:line="38" w:lineRule="exact"/>
        <w:rPr>
          <w:rFonts w:ascii="Times New Roman" w:cs="Times New Roman" w:eastAsia="Times New Roman" w:hAnsi="Times New Roman"/>
          <w:sz w:val="21"/>
          <w:szCs w:val="21"/>
          <w:color w:val="auto"/>
        </w:rPr>
      </w:pPr>
    </w:p>
    <w:p>
      <w:pPr>
        <w:jc w:val="both"/>
        <w:ind w:left="880" w:hanging="431"/>
        <w:spacing w:after="0" w:line="255" w:lineRule="auto"/>
        <w:tabs>
          <w:tab w:leader="none" w:pos="87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declined $45 million reflecting the impact of the Company's accounting election described herein on other costs of operations, driven by amortization associated with residential mortgage loan servicing right assets in the fourth quarter of 2025. Also contributing to the decline in noninterest expense was lower advertising and marketing and personnel-related expenses.</w:t>
      </w:r>
    </w:p>
    <w:p>
      <w:pPr>
        <w:spacing w:after="0" w:line="80"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deposits decreased $1.5 billion reflecting a decrease in average savings and interest-checking deposits and noninterest-bearing deposits.</w:t>
      </w:r>
    </w:p>
    <w:p>
      <w:pPr>
        <w:spacing w:after="0" w:line="5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1"/>
          <w:szCs w:val="21"/>
          <w:color w:val="auto"/>
        </w:rPr>
        <w:t>Net income for the Retail Bank segment modestly declined $3 million in the first three months of 2026 as compared with the similar 2025 period.</w:t>
      </w:r>
    </w:p>
    <w:p>
      <w:pPr>
        <w:spacing w:after="0" w:line="38" w:lineRule="exact"/>
        <w:rPr>
          <w:sz w:val="20"/>
          <w:szCs w:val="20"/>
          <w:color w:val="auto"/>
        </w:rPr>
      </w:pPr>
    </w:p>
    <w:p>
      <w:pPr>
        <w:ind w:left="880" w:hanging="431"/>
        <w:spacing w:after="0" w:line="283" w:lineRule="auto"/>
        <w:tabs>
          <w:tab w:leader="none" w:pos="87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declined $22 million reflecting a 15 basis-point and 3 basis-point narrowing of the net interest margin on deposits and loans, respectively, partially offset by higher average loan balances of $3.6 billion.</w:t>
      </w:r>
    </w:p>
    <w:p>
      <w:pPr>
        <w:spacing w:after="0" w:line="38" w:lineRule="exact"/>
        <w:rPr>
          <w:rFonts w:ascii="Times New Roman" w:cs="Times New Roman" w:eastAsia="Times New Roman" w:hAnsi="Times New Roman"/>
          <w:sz w:val="21"/>
          <w:szCs w:val="21"/>
          <w:color w:val="auto"/>
        </w:rPr>
      </w:pPr>
    </w:p>
    <w:p>
      <w:pPr>
        <w:jc w:val="both"/>
        <w:ind w:left="880" w:hanging="431"/>
        <w:spacing w:after="0" w:line="281" w:lineRule="auto"/>
        <w:tabs>
          <w:tab w:leader="none" w:pos="87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Noninterest income increased $9 million reflecting higher sub-servicing revenues due to an arrangement effective February 2025 whereby the Company began sub-servicing $51.7 billion of additional residential mortgage loans with contractual servicing rights held by Bayview Financial, partially offset by the Company's accounting election described herein.</w:t>
      </w:r>
    </w:p>
    <w:p>
      <w:pPr>
        <w:spacing w:after="0" w:line="42" w:lineRule="exact"/>
        <w:rPr>
          <w:rFonts w:ascii="Times New Roman" w:cs="Times New Roman" w:eastAsia="Times New Roman" w:hAnsi="Times New Roman"/>
          <w:sz w:val="20"/>
          <w:szCs w:val="20"/>
          <w:color w:val="auto"/>
        </w:rPr>
      </w:pPr>
    </w:p>
    <w:p>
      <w:pPr>
        <w:jc w:val="both"/>
        <w:ind w:left="880" w:hanging="431"/>
        <w:spacing w:after="0" w:line="255" w:lineRule="auto"/>
        <w:tabs>
          <w:tab w:leader="none" w:pos="87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decreased $11 million reflecting the impact of the Company's accounting election described herein on other costs of operations, driven by amortization associated with residential mortgage loan servicing right assets in the first quarter of 2025, partially offset by higher centrally-allocated costs associated with technology, operations, risk management, finance, human resources and other support services provided to the Retail Bank segment.</w:t>
      </w:r>
    </w:p>
    <w:p>
      <w:pPr>
        <w:spacing w:after="0" w:line="297"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4" w:name="page75"/>
    <w:bookmarkEnd w:id="74"/>
    <w:p>
      <w:pPr>
        <w:jc w:val="both"/>
        <w:ind w:left="880" w:hanging="431"/>
        <w:spacing w:after="0" w:line="262" w:lineRule="auto"/>
        <w:tabs>
          <w:tab w:leader="none" w:pos="876"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loans rose $3.6 billion reflecting an increase in average consumer loans that resulted from growth in average recreational finance, home equity loans and lines of credit and automobile loans. Also contributing to that increase was higher average residential real estate loans reflecting the retention of originated residential mortgage loans and purchases.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Institutional Services &amp; Wealth Management</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Institutional Services and Wealth Management segment provides a variety of trustee, agency, investment management and administrative services for corporations and institutions, investment bankers, corporate tax, finance and legal executives, and other institutional clients, as well as personal trust, planning and advisory, fiduciary, asset management, family office, and other services designed to help high net worth individuals and families grow, preserve and transfer wealth. This segment also provides investment products, including mutual funds and annuities and other services to customers.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INSTITUTIONAL SERVICES &amp; WEALTH MANAGEMENT SEGMENT FINANCIAL SUMMARY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1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37"/>
        </w:trPr>
        <w:tc>
          <w:tcPr>
            <w:tcW w:w="3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18"/>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balance sheet</w:t>
            </w:r>
          </w:p>
        </w:tc>
        <w:tc>
          <w:tcPr>
            <w:tcW w:w="3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0" w:type="dxa"/>
            <w:vAlign w:val="bottom"/>
          </w:tcPr>
          <w:p>
            <w:pPr>
              <w:spacing w:after="0"/>
              <w:rPr>
                <w:sz w:val="1"/>
                <w:szCs w:val="1"/>
                <w:color w:val="auto"/>
              </w:rPr>
            </w:pPr>
          </w:p>
        </w:tc>
      </w:tr>
      <w:tr>
        <w:trPr>
          <w:trHeight w:val="193"/>
        </w:trPr>
        <w:tc>
          <w:tcPr>
            <w:tcW w:w="3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Real estate - commercial</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Real estate - residential</w:t>
            </w: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2,210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3"/>
        </w:trPr>
        <w:tc>
          <w:tcPr>
            <w:tcW w:w="3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Consumer</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37"/>
        </w:trPr>
        <w:tc>
          <w:tcPr>
            <w:tcW w:w="3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loans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4,528</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3,929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1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Noninterest-bearing</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9,370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93"/>
        </w:trPr>
        <w:tc>
          <w:tcPr>
            <w:tcW w:w="3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Interest-bearing</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37"/>
        </w:trPr>
        <w:tc>
          <w:tcPr>
            <w:tcW w:w="3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19,674</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18,567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The Institutional Services and Wealth Management segment’s net income increased nominally in the first quarter of 2026 as compared with the fourth quarter of 2025.</w:t>
      </w:r>
    </w:p>
    <w:p>
      <w:pPr>
        <w:spacing w:after="0" w:line="51" w:lineRule="exact"/>
        <w:rPr>
          <w:sz w:val="20"/>
          <w:szCs w:val="20"/>
          <w:color w:val="auto"/>
        </w:rPr>
      </w:pPr>
    </w:p>
    <w:p>
      <w:pPr>
        <w:ind w:left="880" w:right="20" w:hanging="431"/>
        <w:spacing w:after="0" w:line="283" w:lineRule="auto"/>
        <w:tabs>
          <w:tab w:leader="none" w:pos="87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in the recent quarter reflected higher average deposits of $1.4 billion, partially offset by a lower net interest margin on those deposits of 13 basis points.</w:t>
      </w:r>
    </w:p>
    <w:p>
      <w:pPr>
        <w:spacing w:after="0" w:line="38" w:lineRule="exact"/>
        <w:rPr>
          <w:rFonts w:ascii="Times New Roman" w:cs="Times New Roman" w:eastAsia="Times New Roman" w:hAnsi="Times New Roman"/>
          <w:sz w:val="21"/>
          <w:szCs w:val="21"/>
          <w:color w:val="auto"/>
        </w:rPr>
      </w:pPr>
    </w:p>
    <w:p>
      <w:pPr>
        <w:ind w:left="880" w:hanging="431"/>
        <w:spacing w:after="0"/>
        <w:tabs>
          <w:tab w:leader="none" w:pos="88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decreased $8 million reflecting lower intersegment revenues.</w:t>
      </w:r>
    </w:p>
    <w:p>
      <w:pPr>
        <w:spacing w:after="0" w:line="123" w:lineRule="exact"/>
        <w:rPr>
          <w:rFonts w:ascii="Times New Roman" w:cs="Times New Roman" w:eastAsia="Times New Roman" w:hAnsi="Times New Roman"/>
          <w:sz w:val="21"/>
          <w:szCs w:val="21"/>
          <w:color w:val="auto"/>
        </w:rPr>
      </w:pPr>
    </w:p>
    <w:p>
      <w:pPr>
        <w:jc w:val="both"/>
        <w:ind w:left="880" w:hanging="431"/>
        <w:spacing w:after="0" w:line="255" w:lineRule="auto"/>
        <w:tabs>
          <w:tab w:leader="none" w:pos="87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decreased $8 million reflecting a decline in professional and other services expense, partially offset by a rise in centrally-allocated costs associated with associated with technology, operations, risk management, finance, human resources and other support services provided to the Institutional Services and Wealth Management segment.</w:t>
      </w:r>
    </w:p>
    <w:p>
      <w:pPr>
        <w:spacing w:after="0" w:line="80"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deposits increased $1.4 billion reflecting higher average noninterest-bearing deposits and savings and interest-checking deposits.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18"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5" w:name="page76"/>
    <w:bookmarkEnd w:id="75"/>
    <w:p>
      <w:pPr>
        <w:ind w:right="20"/>
        <w:spacing w:after="0" w:line="270" w:lineRule="auto"/>
        <w:rPr>
          <w:sz w:val="20"/>
          <w:szCs w:val="20"/>
          <w:color w:val="auto"/>
        </w:rPr>
      </w:pPr>
      <w:r>
        <w:rPr>
          <w:rFonts w:ascii="Times New Roman" w:cs="Times New Roman" w:eastAsia="Times New Roman" w:hAnsi="Times New Roman"/>
          <w:sz w:val="21"/>
          <w:szCs w:val="21"/>
          <w:color w:val="auto"/>
        </w:rPr>
        <w:t>Net income for the Institutional Services and Wealth Management segment decreased $9 million for the three months ended March 31, 2026 as compared with the similar 2025 period.</w:t>
      </w:r>
    </w:p>
    <w:p>
      <w:pPr>
        <w:spacing w:after="0" w:line="64" w:lineRule="exact"/>
        <w:rPr>
          <w:sz w:val="20"/>
          <w:szCs w:val="20"/>
          <w:color w:val="auto"/>
        </w:rPr>
      </w:pPr>
    </w:p>
    <w:p>
      <w:pPr>
        <w:ind w:left="880" w:right="20" w:hanging="431"/>
        <w:spacing w:after="0" w:line="270" w:lineRule="auto"/>
        <w:tabs>
          <w:tab w:leader="none" w:pos="876"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decreased $15 million reflecting a 55 basis-point narrowing of the net interest margin on deposits, partially offset by higher average balances of those deposits of $1.1 billion.</w:t>
      </w:r>
    </w:p>
    <w:p>
      <w:pPr>
        <w:spacing w:after="0" w:line="64" w:lineRule="exact"/>
        <w:rPr>
          <w:rFonts w:ascii="Times New Roman" w:cs="Times New Roman" w:eastAsia="Times New Roman" w:hAnsi="Times New Roman"/>
          <w:sz w:val="21"/>
          <w:szCs w:val="21"/>
          <w:color w:val="auto"/>
        </w:rPr>
      </w:pPr>
    </w:p>
    <w:p>
      <w:pPr>
        <w:ind w:left="880" w:hanging="431"/>
        <w:spacing w:after="0"/>
        <w:tabs>
          <w:tab w:leader="none" w:pos="88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increased $12 million reflecting an increase in trust income and brokerage services income.</w:t>
      </w:r>
    </w:p>
    <w:p>
      <w:pPr>
        <w:spacing w:after="0" w:line="109" w:lineRule="exact"/>
        <w:rPr>
          <w:rFonts w:ascii="Times New Roman" w:cs="Times New Roman" w:eastAsia="Times New Roman" w:hAnsi="Times New Roman"/>
          <w:sz w:val="21"/>
          <w:szCs w:val="21"/>
          <w:color w:val="auto"/>
        </w:rPr>
      </w:pPr>
    </w:p>
    <w:p>
      <w:pPr>
        <w:ind w:left="880" w:hanging="431"/>
        <w:spacing w:after="0" w:line="270" w:lineRule="auto"/>
        <w:tabs>
          <w:tab w:leader="none" w:pos="876"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rose $11 million reflecting a rise in professional and other services expenses driven by higher legal and review costs.</w:t>
      </w:r>
    </w:p>
    <w:p>
      <w:pPr>
        <w:spacing w:after="0" w:line="64" w:lineRule="exact"/>
        <w:rPr>
          <w:rFonts w:ascii="Times New Roman" w:cs="Times New Roman" w:eastAsia="Times New Roman" w:hAnsi="Times New Roman"/>
          <w:sz w:val="21"/>
          <w:szCs w:val="21"/>
          <w:color w:val="auto"/>
        </w:rPr>
      </w:pPr>
    </w:p>
    <w:p>
      <w:pPr>
        <w:ind w:left="880" w:right="20" w:hanging="431"/>
        <w:spacing w:after="0" w:line="270" w:lineRule="auto"/>
        <w:tabs>
          <w:tab w:leader="none" w:pos="876"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deposits increased $1.1 billion reflecting higher average savings and interest-checking and noninterest-bearing deposits.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All Other</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"All Other" category reflects other activities of the Company that are not directly attributable to the reported segments. Reflected in this category are the difference between the provision for credit losses and the calculated provision allocated to the reportable segments; goodwill and core deposit and other intangible assets resulting from the acquisitions of financial institutions; merger-related gains and expenses related to acquisitions; the net impact of the Company’s internal funds transfer pricing methodology; eliminations of transactions between reportable segments; certain non-recurring transactions; and the residual effects of unallocated support systems and general and administrative expenses. The Company’s investment securities portfolio, certain brokered deposits and short-term and long-term borrowings are generally included in the "All Other" category. In its management of interest rate risk, the Company utilizes interest rate swap agreements to modify the repricing characteristics of certain portfolios of earning assets and interest-bearing liabilities. The results of such activities are captured in the "All Other" category.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OTHER CATEGORY FINANCIAL SUMMARY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10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0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3"/>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37"/>
        </w:trPr>
        <w:tc>
          <w:tcPr>
            <w:tcW w:w="30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93"/>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taxes</w:t>
            </w: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1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1"/>
          <w:szCs w:val="21"/>
          <w:color w:val="auto"/>
        </w:rPr>
        <w:t>The “All Other” category recorded a net loss of $42 million in the first quarter of 2026 as compared with a net gain of $90 million in the fourth quarter of 2025.</w:t>
      </w:r>
    </w:p>
    <w:p>
      <w:pPr>
        <w:spacing w:after="0" w:line="38" w:lineRule="exact"/>
        <w:rPr>
          <w:sz w:val="20"/>
          <w:szCs w:val="20"/>
          <w:color w:val="auto"/>
        </w:rPr>
      </w:pPr>
    </w:p>
    <w:p>
      <w:pPr>
        <w:jc w:val="both"/>
        <w:ind w:left="660" w:hanging="328"/>
        <w:spacing w:after="0" w:line="262" w:lineRule="auto"/>
        <w:tabs>
          <w:tab w:leader="none" w:pos="651"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increased $28 million due to the favorable impact from each of the Company’s allocation methodologies for internal transfers related to funding charges and credits associated with earning assets and interest-bearing liabilities of the Company’s reportable segments and interest rate swap agreements entered into for interest rate risk purposes.</w:t>
      </w:r>
    </w:p>
    <w:p>
      <w:pPr>
        <w:spacing w:after="0" w:line="59" w:lineRule="exact"/>
        <w:rPr>
          <w:rFonts w:ascii="Times New Roman" w:cs="Times New Roman" w:eastAsia="Times New Roman" w:hAnsi="Times New Roman"/>
          <w:sz w:val="21"/>
          <w:szCs w:val="21"/>
          <w:color w:val="auto"/>
        </w:rPr>
      </w:pPr>
    </w:p>
    <w:p>
      <w:pPr>
        <w:ind w:left="640" w:hanging="308"/>
        <w:spacing w:after="0"/>
        <w:tabs>
          <w:tab w:leader="none" w:pos="6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Noninterest income rose $29 million reflecting a $33 million distribution from M&amp;T's investment in BLG in the recent quarter.</w:t>
      </w:r>
    </w:p>
    <w:p>
      <w:pPr>
        <w:spacing w:after="0" w:line="134" w:lineRule="exact"/>
        <w:rPr>
          <w:rFonts w:ascii="Times New Roman" w:cs="Times New Roman" w:eastAsia="Times New Roman" w:hAnsi="Times New Roman"/>
          <w:sz w:val="20"/>
          <w:szCs w:val="20"/>
          <w:color w:val="auto"/>
        </w:rPr>
      </w:pPr>
    </w:p>
    <w:p>
      <w:pPr>
        <w:ind w:left="660" w:hanging="328"/>
        <w:spacing w:after="0" w:line="270" w:lineRule="auto"/>
        <w:tabs>
          <w:tab w:leader="none" w:pos="651"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 for credit losses increased $96 million reflecting the net impact of the allocation of the provision to the reportable segments.</w:t>
      </w:r>
    </w:p>
    <w:p>
      <w:pPr>
        <w:spacing w:after="0" w:line="64" w:lineRule="exact"/>
        <w:rPr>
          <w:rFonts w:ascii="Times New Roman" w:cs="Times New Roman" w:eastAsia="Times New Roman" w:hAnsi="Times New Roman"/>
          <w:sz w:val="21"/>
          <w:szCs w:val="21"/>
          <w:color w:val="auto"/>
        </w:rPr>
      </w:pPr>
    </w:p>
    <w:p>
      <w:pPr>
        <w:jc w:val="both"/>
        <w:ind w:left="660" w:hanging="328"/>
        <w:spacing w:after="0" w:line="255" w:lineRule="auto"/>
        <w:tabs>
          <w:tab w:leader="none" w:pos="651"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increased $118 million reflecting higher personnel-related costs of $123 million that included the impact of annual merit increases and seasonally higher stock-based compensation, payroll-related taxes and other employee benefits expense.</w:t>
      </w:r>
    </w:p>
    <w:p>
      <w:pPr>
        <w:spacing w:after="0" w:line="297"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6" w:name="page77"/>
    <w:bookmarkEnd w:id="76"/>
    <w:p>
      <w:pPr>
        <w:spacing w:after="0" w:line="270" w:lineRule="auto"/>
        <w:rPr>
          <w:sz w:val="20"/>
          <w:szCs w:val="20"/>
          <w:color w:val="auto"/>
        </w:rPr>
      </w:pPr>
      <w:r>
        <w:rPr>
          <w:rFonts w:ascii="Times New Roman" w:cs="Times New Roman" w:eastAsia="Times New Roman" w:hAnsi="Times New Roman"/>
          <w:sz w:val="21"/>
          <w:szCs w:val="21"/>
          <w:color w:val="auto"/>
        </w:rPr>
        <w:t>The net loss recorded for the "All Other" category was $42 million for the first three months of 2026 as compared with a net loss of $115 million in the similar 2025 period.</w:t>
      </w:r>
    </w:p>
    <w:p>
      <w:pPr>
        <w:spacing w:after="0" w:line="64" w:lineRule="exact"/>
        <w:rPr>
          <w:sz w:val="20"/>
          <w:szCs w:val="20"/>
          <w:color w:val="auto"/>
        </w:rPr>
      </w:pPr>
    </w:p>
    <w:p>
      <w:pPr>
        <w:jc w:val="both"/>
        <w:ind w:left="660" w:hanging="328"/>
        <w:spacing w:after="0" w:line="255" w:lineRule="auto"/>
        <w:tabs>
          <w:tab w:leader="none" w:pos="651"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increased $88 million reflecting the comparatively favorable impact from each of interest rate swap agreements entered into for interest rate risk purposes and the Company’s allocation methodologies for internal transfers related to funding charges and credits associated with earning assets and interest-bearing liabilities of the Company’s reportable segments.</w:t>
      </w:r>
    </w:p>
    <w:p>
      <w:pPr>
        <w:spacing w:after="0" w:line="67" w:lineRule="exact"/>
        <w:rPr>
          <w:rFonts w:ascii="Times New Roman" w:cs="Times New Roman" w:eastAsia="Times New Roman" w:hAnsi="Times New Roman"/>
          <w:sz w:val="21"/>
          <w:szCs w:val="21"/>
          <w:color w:val="auto"/>
        </w:rPr>
      </w:pPr>
    </w:p>
    <w:p>
      <w:pPr>
        <w:ind w:left="660" w:right="20" w:hanging="328"/>
        <w:spacing w:after="0" w:line="283" w:lineRule="auto"/>
        <w:tabs>
          <w:tab w:leader="none" w:pos="651"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increased $37 million reflecting a $33 million distribution from M&amp;T's investment in BLG in the recent quarter.</w:t>
      </w:r>
    </w:p>
    <w:p>
      <w:pPr>
        <w:spacing w:after="0" w:line="38" w:lineRule="exact"/>
        <w:rPr>
          <w:rFonts w:ascii="Times New Roman" w:cs="Times New Roman" w:eastAsia="Times New Roman" w:hAnsi="Times New Roman"/>
          <w:sz w:val="21"/>
          <w:szCs w:val="21"/>
          <w:color w:val="auto"/>
        </w:rPr>
      </w:pPr>
    </w:p>
    <w:p>
      <w:pPr>
        <w:ind w:left="660" w:hanging="328"/>
        <w:spacing w:after="0" w:line="283" w:lineRule="auto"/>
        <w:tabs>
          <w:tab w:leader="none" w:pos="651"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 for credit losses increased $17 million reflecting the net impact of the allocation of the provision to the reportable segments.</w:t>
      </w:r>
    </w:p>
    <w:p>
      <w:pPr>
        <w:spacing w:after="0" w:line="38" w:lineRule="exact"/>
        <w:rPr>
          <w:rFonts w:ascii="Times New Roman" w:cs="Times New Roman" w:eastAsia="Times New Roman" w:hAnsi="Times New Roman"/>
          <w:sz w:val="21"/>
          <w:szCs w:val="21"/>
          <w:color w:val="auto"/>
        </w:rPr>
      </w:pPr>
    </w:p>
    <w:p>
      <w:pPr>
        <w:ind w:left="640" w:hanging="308"/>
        <w:spacing w:after="0"/>
        <w:tabs>
          <w:tab w:leader="none" w:pos="6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increased $14 million reflecting a rise in personnel-related costs.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Critical Accounting Estimates and Recent Accounting Developments</w:t>
      </w:r>
    </w:p>
    <w:p>
      <w:pPr>
        <w:spacing w:after="0" w:line="1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A discussion of the Company's critical accounting estimates and significant accounting policies can be found in M&amp;T's 2025 Annual Report. A summary of recent accounting developments is included in note 1 of Notes to Financial Statements, including the Company's election on January 1, 2026 to prospectively measure its residential mortgage loan servicing right assets at fair value, which the Company considers to be a critical accounting estimate. As residential mortgage loan servicing rights generally do not trade in an active market, the Company utilizes a model to estimate fair value which considers the present value of expected future cash flows associated with servicing rights using assumptions that market participants would consider in estimating future servicing income and expenses. Such assumptions include prepayment speeds, servicing costs, loan default rates and an appropriate discount rate representing an OAS over market implied forward SOFR. Significant assumptions and the resulting fair values are subject to independent review and challenge by the Company's Treasury Product Control Department through comparisons to available data including recent market activity, independent third-party valuations and industry trade information and surveys. The results of such independent review and challenge are reported to the Company's Executive ALCO Committee. Further information on the fair value of residential mortgage loan servicing right assets and the sensitivity of such value to changes in assumptions is included in note 12 of Notes to Financial Statements.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Forward-Looking Statements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"Management’s Discussion and Analysis of Financial Condition and Results of Operations" and other sections of this quarterly report contain forward-looking statements within the meaning of the Private Securities Litigation Reform Act of 1995 and the rules and regulations of the SEC. Any statement that does not describe historical or current facts is a forward-looking statement, including statements based on current expectations, estimates and projections about the Company’s business, and management's beliefs and assumptions.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Statements regarding the potential effects of events or factors specific to the Company and/or the financial industry as a whole, as well as national and global events generally, on the Company's business, financial condition, liquidity and results of operations may constitute forward-looking statements. Such statements are subject to the risk that the actual effects may differ, possibly materially, from what is reflected in those forward-looking statements due to factors and future developments that are uncertain, unpredictable and in many cases beyond the Company's control.</w:t>
      </w:r>
    </w:p>
    <w:p>
      <w:pPr>
        <w:spacing w:after="0" w:line="6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Forward-looking statements are typically identified by words such as "believe," "expect," "anticipate," "intend," "target," "estimate," "continue," or "potential," by future conditional verbs such as "will," "would," "should," "could," or "may," or by variations of such words or by similar expressions. These statements are not guarantees of future performance and involve certain risks, uncertainties and assumptions which are difficult to predict and may cause actual outcomes to differ materially from what is expressed or forecasted.</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While there can be no assurance that any list of risks and uncertainties is complete, important factors that could cause actual outcomes and results to differ materially from those contemplated by forward-looking statements include the following, without limitation as well as risks more fully discussed in Part I, Item 1A "Risk Factors" in the Company's 2025 Annual Report: economic conditions and growth rates, including inflation and market volatility; events,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7" w:name="page78"/>
    <w:bookmarkEnd w:id="77"/>
    <w:p>
      <w:pPr>
        <w:jc w:val="both"/>
        <w:spacing w:after="0" w:line="248" w:lineRule="auto"/>
        <w:rPr>
          <w:sz w:val="20"/>
          <w:szCs w:val="20"/>
          <w:color w:val="auto"/>
        </w:rPr>
      </w:pPr>
      <w:r>
        <w:rPr>
          <w:rFonts w:ascii="Times New Roman" w:cs="Times New Roman" w:eastAsia="Times New Roman" w:hAnsi="Times New Roman"/>
          <w:sz w:val="21"/>
          <w:szCs w:val="21"/>
          <w:color w:val="auto"/>
        </w:rPr>
        <w:t>developments, and current conditions in the financial services industry, including trust, brokerage and investment management businesses; changes in interest rates, spreads on earning assets and interest-bearing liabilities, and interest rate sensitivity; prepayment speeds, loan originations, loan concentrations by type and industry, credit losses and market values on loans, collateral securing loans, and other assets; sources of liquidity; levels of client deposits; ability to contain costs and expenses; changes in the Company's credit ratings; domestic or international political developments and other geopolitical events, including trade and tariff policies and international conflicts and hostilities; changes and trends in the securities markets; common shares outstanding and common stock price volatility; fair value of and number of stock-based compensation awards to be issued in future periods; the impact of changes in market values on trust-, brokerage-, and investment management-related revenues; federal, state or local legislation and/or regulations affecting the financial services industry, or M&amp;T and its subsidiaries individually or collectively, including tax policy; regulatory supervision and oversight, including monetary policy and capital requirements; governmental and public policy changes; political conditions, either nationally or in the states in which M&amp;T and its subsidiaries do business; the initiation and outcome of potential, pending and future litigation, investigations and governmental proceedings, including tax-related examinations and other matters; operational risk events, including loss resulting from fraud by employees or persons outside M&amp;T and breaches in data and cybersecurity; changes in accounting policies or procedures as may be required by the Financial Accounting Standards Board, regulatory agencies or legislation; increasing price, product and service competition by competitors, including new entrants; technological developments and changes; the ability to continue to introduce competitive new products and services on a timely, cost-effective basis; the mix of products and services; protection and validity of intellectual property rights; reliance on large customers; technological, implementation and cost/financial risks in large, multi-year contracts; continued availability of financing; financial resources in the amounts, at the times and on the terms required to support M&amp;T and its subsidiaries' future businesses; and material differences in the actual financial results of merger, acquisition, divestment and investment activities compared with M&amp;T's initial expectations, including the full realization of anticipated cost savings and revenue enhancements.</w:t>
      </w:r>
    </w:p>
    <w:p>
      <w:pPr>
        <w:spacing w:after="0" w:line="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These are representative of the factors that could affect the outcome of the forward-looking statements. In addition, as noted, such statements could be affected by general industry and market conditions and growth rates, general economic and political conditions, either nationally or in the states in which the Company does business, and other factors.</w:t>
      </w:r>
    </w:p>
    <w:p>
      <w:pPr>
        <w:spacing w:after="0" w:line="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 Company provides further detail regarding these risks and uncertainties in its 2025 Annual Report, including in the Risk Factors section of such report, as well as in other SEC filings. Forward-looking statements speak only as of the date they are made, and the Company assumes no duty and does not undertake to update forward-looking statements.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Table 1</w:t>
            </w:r>
          </w:p>
        </w:tc>
        <w:tc>
          <w:tcPr>
            <w:tcW w:w="0" w:type="dxa"/>
            <w:vAlign w:val="bottom"/>
          </w:tcPr>
          <w:p>
            <w:pPr>
              <w:spacing w:after="0"/>
              <w:rPr>
                <w:sz w:val="1"/>
                <w:szCs w:val="1"/>
                <w:color w:val="auto"/>
              </w:rPr>
            </w:pPr>
          </w:p>
        </w:tc>
      </w:tr>
      <w:tr>
        <w:trPr>
          <w:trHeight w:val="341"/>
        </w:trPr>
        <w:tc>
          <w:tcPr>
            <w:tcW w:w="4440" w:type="dxa"/>
            <w:vAlign w:val="bottom"/>
          </w:tcPr>
          <w:p>
            <w:pPr>
              <w:spacing w:after="0"/>
              <w:rPr>
                <w:sz w:val="20"/>
                <w:szCs w:val="20"/>
                <w:color w:val="auto"/>
              </w:rPr>
            </w:pPr>
            <w:r>
              <w:rPr>
                <w:rFonts w:ascii="Times New Roman" w:cs="Times New Roman" w:eastAsia="Times New Roman" w:hAnsi="Times New Roman"/>
                <w:sz w:val="21"/>
                <w:szCs w:val="21"/>
                <w:color w:val="auto"/>
              </w:rPr>
              <w:t>QUARTERLY TRENDS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2025 Quarters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First Quarter</w:t>
            </w:r>
          </w:p>
        </w:tc>
        <w:tc>
          <w:tcPr>
            <w:tcW w:w="26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Fourth</w:t>
            </w:r>
          </w:p>
        </w:tc>
        <w:tc>
          <w:tcPr>
            <w:tcW w:w="30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Third</w:t>
            </w:r>
          </w:p>
        </w:tc>
        <w:tc>
          <w:tcPr>
            <w:tcW w:w="40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Second</w:t>
            </w:r>
          </w:p>
        </w:tc>
        <w:tc>
          <w:tcPr>
            <w:tcW w:w="300" w:type="dxa"/>
            <w:vAlign w:val="bottom"/>
          </w:tcPr>
          <w:p>
            <w:pPr>
              <w:spacing w:after="0"/>
              <w:rPr>
                <w:sz w:val="14"/>
                <w:szCs w:val="14"/>
                <w:color w:val="auto"/>
              </w:rPr>
            </w:pPr>
          </w:p>
        </w:tc>
        <w:tc>
          <w:tcPr>
            <w:tcW w:w="100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First</w:t>
            </w:r>
          </w:p>
        </w:tc>
        <w:tc>
          <w:tcPr>
            <w:tcW w:w="0" w:type="dxa"/>
            <w:vAlign w:val="bottom"/>
          </w:tcPr>
          <w:p>
            <w:pPr>
              <w:spacing w:after="0"/>
              <w:rPr>
                <w:sz w:val="1"/>
                <w:szCs w:val="1"/>
                <w:color w:val="auto"/>
              </w:rPr>
            </w:pPr>
          </w:p>
        </w:tc>
      </w:tr>
      <w:tr>
        <w:trPr>
          <w:trHeight w:val="29"/>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 except per share)</w:t>
            </w: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44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and dividends</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(taxable-equivalent basis)</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2,547</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2,648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2,692</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2,618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2,572</w:t>
            </w:r>
          </w:p>
        </w:tc>
        <w:tc>
          <w:tcPr>
            <w:tcW w:w="0" w:type="dxa"/>
            <w:vAlign w:val="bottom"/>
          </w:tcPr>
          <w:p>
            <w:pPr>
              <w:spacing w:after="0"/>
              <w:rPr>
                <w:sz w:val="1"/>
                <w:szCs w:val="1"/>
                <w:color w:val="auto"/>
              </w:rPr>
            </w:pPr>
          </w:p>
        </w:tc>
      </w:tr>
      <w:tr>
        <w:trPr>
          <w:trHeight w:val="173"/>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784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858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919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896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865</w:t>
            </w:r>
          </w:p>
        </w:tc>
        <w:tc>
          <w:tcPr>
            <w:tcW w:w="0" w:type="dxa"/>
            <w:vAlign w:val="bottom"/>
          </w:tcPr>
          <w:p>
            <w:pPr>
              <w:spacing w:after="0"/>
              <w:rPr>
                <w:sz w:val="1"/>
                <w:szCs w:val="1"/>
                <w:color w:val="auto"/>
              </w:rPr>
            </w:pPr>
          </w:p>
        </w:tc>
      </w:tr>
      <w:tr>
        <w:trPr>
          <w:trHeight w:val="29"/>
        </w:trPr>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1,763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1,790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1,773</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1,722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1,707</w:t>
            </w:r>
          </w:p>
        </w:tc>
        <w:tc>
          <w:tcPr>
            <w:tcW w:w="0" w:type="dxa"/>
            <w:vAlign w:val="bottom"/>
          </w:tcPr>
          <w:p>
            <w:pPr>
              <w:spacing w:after="0"/>
              <w:rPr>
                <w:sz w:val="1"/>
                <w:szCs w:val="1"/>
                <w:color w:val="auto"/>
              </w:rPr>
            </w:pPr>
          </w:p>
        </w:tc>
      </w:tr>
      <w:tr>
        <w:trPr>
          <w:trHeight w:val="173"/>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Provision for credit losses</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140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689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696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752</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683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611</w:t>
            </w:r>
          </w:p>
        </w:tc>
        <w:tc>
          <w:tcPr>
            <w:tcW w:w="0" w:type="dxa"/>
            <w:vAlign w:val="bottom"/>
          </w:tcPr>
          <w:p>
            <w:pPr>
              <w:spacing w:after="0"/>
              <w:rPr>
                <w:sz w:val="1"/>
                <w:szCs w:val="1"/>
                <w:color w:val="auto"/>
              </w:rPr>
            </w:pPr>
          </w:p>
        </w:tc>
      </w:tr>
      <w:tr>
        <w:trPr>
          <w:trHeight w:val="173"/>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Other expense</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1,438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1,379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1,363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1,336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1,415</w:t>
            </w:r>
          </w:p>
        </w:tc>
        <w:tc>
          <w:tcPr>
            <w:tcW w:w="0" w:type="dxa"/>
            <w:vAlign w:val="bottom"/>
          </w:tcPr>
          <w:p>
            <w:pPr>
              <w:spacing w:after="0"/>
              <w:rPr>
                <w:sz w:val="1"/>
                <w:szCs w:val="1"/>
                <w:color w:val="auto"/>
              </w:rPr>
            </w:pPr>
          </w:p>
        </w:tc>
      </w:tr>
      <w:tr>
        <w:trPr>
          <w:trHeight w:val="29"/>
        </w:trPr>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874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982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1,037</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944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773</w:t>
            </w:r>
          </w:p>
        </w:tc>
        <w:tc>
          <w:tcPr>
            <w:tcW w:w="0" w:type="dxa"/>
            <w:vAlign w:val="bottom"/>
          </w:tcPr>
          <w:p>
            <w:pPr>
              <w:spacing w:after="0"/>
              <w:rPr>
                <w:sz w:val="1"/>
                <w:szCs w:val="1"/>
                <w:color w:val="auto"/>
              </w:rPr>
            </w:pPr>
          </w:p>
        </w:tc>
      </w:tr>
      <w:tr>
        <w:trPr>
          <w:trHeight w:val="173"/>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Applicable income taxes</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199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212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233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219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177</w:t>
            </w: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Taxable-equivalent adjustment</w:t>
            </w: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95"/>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664</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759</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792</w:t>
            </w:r>
          </w:p>
        </w:tc>
        <w:tc>
          <w:tcPr>
            <w:tcW w:w="8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716</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584</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available to common shareholders — diluted</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620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718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754</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679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547</w:t>
            </w:r>
          </w:p>
        </w:tc>
        <w:tc>
          <w:tcPr>
            <w:tcW w:w="0" w:type="dxa"/>
            <w:vAlign w:val="bottom"/>
          </w:tcPr>
          <w:p>
            <w:pPr>
              <w:spacing w:after="0"/>
              <w:rPr>
                <w:sz w:val="1"/>
                <w:szCs w:val="1"/>
                <w:color w:val="auto"/>
              </w:rPr>
            </w:pPr>
          </w:p>
        </w:tc>
      </w:tr>
      <w:tr>
        <w:trPr>
          <w:trHeight w:val="173"/>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 common share data:</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Basic earnings</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4.16</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4.71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4.85</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4.26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3.33</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Diluted earnings</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4.13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4.67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4.82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4.24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3.32</w:t>
            </w: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Cash dividends</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1.35</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1.35</w:t>
            </w:r>
          </w:p>
        </w:tc>
        <w:tc>
          <w:tcPr>
            <w:tcW w:w="0" w:type="dxa"/>
            <w:vAlign w:val="bottom"/>
          </w:tcPr>
          <w:p>
            <w:pPr>
              <w:spacing w:after="0"/>
              <w:rPr>
                <w:sz w:val="1"/>
                <w:szCs w:val="1"/>
                <w:color w:val="auto"/>
              </w:rPr>
            </w:pPr>
          </w:p>
        </w:tc>
      </w:tr>
      <w:tr>
        <w:trPr>
          <w:trHeight w:val="173"/>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Average common shares outstanding:</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Basic</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149,225</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152,666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155,558</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159,221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164,209</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Diluted</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150,109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153,712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156,553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160,005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165,047</w:t>
            </w:r>
          </w:p>
        </w:tc>
        <w:tc>
          <w:tcPr>
            <w:tcW w:w="0" w:type="dxa"/>
            <w:vAlign w:val="bottom"/>
          </w:tcPr>
          <w:p>
            <w:pPr>
              <w:spacing w:after="0"/>
              <w:rPr>
                <w:sz w:val="1"/>
                <w:szCs w:val="1"/>
                <w:color w:val="auto"/>
              </w:rPr>
            </w:pPr>
          </w:p>
        </w:tc>
      </w:tr>
      <w:tr>
        <w:trPr>
          <w:trHeight w:val="29"/>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Performance ratios</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Annualized return on:</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Average assets</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1.26 %</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1.41 %</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1.49 %</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1.37 %</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1.14 %</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Average common shareholders’ equity</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9.67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10.87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11.45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10.39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8.36</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margin on average earning assets (taxable-equivalent basis)</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3.71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3.69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3.68</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3.62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3.66</w:t>
            </w:r>
          </w:p>
        </w:tc>
        <w:tc>
          <w:tcPr>
            <w:tcW w:w="0" w:type="dxa"/>
            <w:vAlign w:val="bottom"/>
          </w:tcPr>
          <w:p>
            <w:pPr>
              <w:spacing w:after="0"/>
              <w:rPr>
                <w:sz w:val="1"/>
                <w:szCs w:val="1"/>
                <w:color w:val="auto"/>
              </w:rPr>
            </w:pPr>
          </w:p>
        </w:tc>
      </w:tr>
      <w:tr>
        <w:trPr>
          <w:trHeight w:val="173"/>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Nonaccrual loans to total loans</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operating (tangible) results (a)</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operating income</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671</w:t>
            </w:r>
          </w:p>
        </w:tc>
        <w:tc>
          <w:tcPr>
            <w:tcW w:w="80" w:type="dxa"/>
            <w:vAlign w:val="bottom"/>
          </w:tcPr>
          <w:p>
            <w:pPr>
              <w:spacing w:after="0"/>
              <w:rPr>
                <w:sz w:val="15"/>
                <w:szCs w:val="15"/>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767</w:t>
            </w:r>
          </w:p>
        </w:tc>
        <w:tc>
          <w:tcPr>
            <w:tcW w:w="80" w:type="dxa"/>
            <w:vAlign w:val="bottom"/>
          </w:tcPr>
          <w:p>
            <w:pPr>
              <w:spacing w:after="0"/>
              <w:rPr>
                <w:sz w:val="15"/>
                <w:szCs w:val="15"/>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798</w:t>
            </w:r>
          </w:p>
        </w:tc>
        <w:tc>
          <w:tcPr>
            <w:tcW w:w="80" w:type="dxa"/>
            <w:vAlign w:val="bottom"/>
          </w:tcPr>
          <w:p>
            <w:pPr>
              <w:spacing w:after="0"/>
              <w:rPr>
                <w:sz w:val="15"/>
                <w:szCs w:val="15"/>
                <w:color w:val="auto"/>
              </w:rPr>
            </w:pPr>
          </w:p>
        </w:tc>
        <w:tc>
          <w:tcPr>
            <w:tcW w:w="40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724</w:t>
            </w:r>
          </w:p>
        </w:tc>
        <w:tc>
          <w:tcPr>
            <w:tcW w:w="80" w:type="dxa"/>
            <w:vAlign w:val="bottom"/>
          </w:tcPr>
          <w:p>
            <w:pPr>
              <w:spacing w:after="0"/>
              <w:rPr>
                <w:sz w:val="15"/>
                <w:szCs w:val="15"/>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594</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net operating income per common share</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4.18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4.72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4.87</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4.28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3.38</w:t>
            </w:r>
          </w:p>
        </w:tc>
        <w:tc>
          <w:tcPr>
            <w:tcW w:w="0" w:type="dxa"/>
            <w:vAlign w:val="bottom"/>
          </w:tcPr>
          <w:p>
            <w:pPr>
              <w:spacing w:after="0"/>
              <w:rPr>
                <w:sz w:val="1"/>
                <w:szCs w:val="1"/>
                <w:color w:val="auto"/>
              </w:rPr>
            </w:pPr>
          </w:p>
        </w:tc>
      </w:tr>
      <w:tr>
        <w:trPr>
          <w:trHeight w:val="173"/>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Annualized return on:</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Average tangible assets</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1.33 %</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1.49 %</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1.56 %</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1.44 %</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1.21 %</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Average tangible common shareholders’ equity</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14.51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16.24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17.13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15.54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12.53</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Efficiency ratio (b)</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58.3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55.1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53.6</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55.2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60.5</w:t>
            </w:r>
          </w:p>
        </w:tc>
        <w:tc>
          <w:tcPr>
            <w:tcW w:w="0" w:type="dxa"/>
            <w:vAlign w:val="bottom"/>
          </w:tcPr>
          <w:p>
            <w:pPr>
              <w:spacing w:after="0"/>
              <w:rPr>
                <w:sz w:val="1"/>
                <w:szCs w:val="1"/>
                <w:color w:val="auto"/>
              </w:rPr>
            </w:pPr>
          </w:p>
        </w:tc>
      </w:tr>
      <w:tr>
        <w:trPr>
          <w:trHeight w:val="173"/>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 data</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balances:</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assets (c)</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213,828</w:t>
            </w:r>
          </w:p>
        </w:tc>
        <w:tc>
          <w:tcPr>
            <w:tcW w:w="80" w:type="dxa"/>
            <w:vAlign w:val="bottom"/>
          </w:tcPr>
          <w:p>
            <w:pPr>
              <w:spacing w:after="0"/>
              <w:rPr>
                <w:sz w:val="15"/>
                <w:szCs w:val="15"/>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212,891</w:t>
            </w:r>
          </w:p>
        </w:tc>
        <w:tc>
          <w:tcPr>
            <w:tcW w:w="80" w:type="dxa"/>
            <w:vAlign w:val="bottom"/>
          </w:tcPr>
          <w:p>
            <w:pPr>
              <w:spacing w:after="0"/>
              <w:rPr>
                <w:sz w:val="15"/>
                <w:szCs w:val="15"/>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211,053</w:t>
            </w:r>
          </w:p>
        </w:tc>
        <w:tc>
          <w:tcPr>
            <w:tcW w:w="80" w:type="dxa"/>
            <w:vAlign w:val="bottom"/>
          </w:tcPr>
          <w:p>
            <w:pPr>
              <w:spacing w:after="0"/>
              <w:rPr>
                <w:sz w:val="15"/>
                <w:szCs w:val="15"/>
                <w:color w:val="auto"/>
              </w:rPr>
            </w:pPr>
          </w:p>
        </w:tc>
        <w:tc>
          <w:tcPr>
            <w:tcW w:w="40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210,261</w:t>
            </w:r>
          </w:p>
        </w:tc>
        <w:tc>
          <w:tcPr>
            <w:tcW w:w="80" w:type="dxa"/>
            <w:vAlign w:val="bottom"/>
          </w:tcPr>
          <w:p>
            <w:pPr>
              <w:spacing w:after="0"/>
              <w:rPr>
                <w:sz w:val="15"/>
                <w:szCs w:val="15"/>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208,321</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tangible assets (c)</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205,323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204,379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202,533</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201,733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199,791</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Earning assets</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192,594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192,366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190,920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190,535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189,116</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Investment securities</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37,845</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36,705</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36,559</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35,335</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34,480</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Loans</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138,423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137,600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136,527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135,407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134,844</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Deposits</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164,268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165,057</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162,706</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163,406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161,220</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Borrowings</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16,759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14,619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15,633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14,263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14,154</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Common shareholders’ equity (c)</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26,072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26,279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26,189</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26,272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26,604</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Tangible common shareholders’ equity (c)</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17,567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17,767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17,669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17,744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18,074</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 end of quarter:</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assets (c)</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214,736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213,510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211,277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211,584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210,321</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tangible assets (c)</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206,234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205,001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202,761</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203,060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201,789</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Earning assets</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193,072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192,516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190,684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191,074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190,463</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Investment securities</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38,621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36,649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36,864</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35,568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35,137</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Loans</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139,914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138,702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136,974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136,116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134,574</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Deposits</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163,741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166,909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163,426</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164,453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165,409</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Borrowings</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19,026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13,060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14,987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14,451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12,069</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Common shareholders’ equity (c)</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25,538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26,343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26,334</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26,131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26,597</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Tangible common shareholders’ equity (c)</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17,036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17,834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17,818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17,607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18,065</w:t>
            </w:r>
          </w:p>
        </w:tc>
        <w:tc>
          <w:tcPr>
            <w:tcW w:w="0" w:type="dxa"/>
            <w:vAlign w:val="bottom"/>
          </w:tcPr>
          <w:p>
            <w:pPr>
              <w:spacing w:after="0"/>
              <w:rPr>
                <w:sz w:val="1"/>
                <w:szCs w:val="1"/>
                <w:color w:val="auto"/>
              </w:rPr>
            </w:pPr>
          </w:p>
        </w:tc>
      </w:tr>
      <w:tr>
        <w:trPr>
          <w:trHeight w:val="30"/>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Equity per common share</w:t>
            </w: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173.82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173.49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170.43</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166.94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163.62</w:t>
            </w:r>
          </w:p>
        </w:tc>
        <w:tc>
          <w:tcPr>
            <w:tcW w:w="0" w:type="dxa"/>
            <w:vAlign w:val="bottom"/>
          </w:tcPr>
          <w:p>
            <w:pPr>
              <w:spacing w:after="0"/>
              <w:rPr>
                <w:sz w:val="1"/>
                <w:szCs w:val="1"/>
                <w:color w:val="auto"/>
              </w:rPr>
            </w:pPr>
          </w:p>
        </w:tc>
      </w:tr>
      <w:tr>
        <w:trPr>
          <w:trHeight w:val="17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Tangible equity per common share</w:t>
            </w:r>
          </w:p>
        </w:tc>
        <w:tc>
          <w:tcPr>
            <w:tcW w:w="180" w:type="dxa"/>
            <w:vAlign w:val="bottom"/>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115.96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117.45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115.31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112.48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111.13</w:t>
            </w: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 w:lineRule="exact"/>
        <w:rPr>
          <w:sz w:val="20"/>
          <w:szCs w:val="20"/>
          <w:color w:val="auto"/>
        </w:rPr>
      </w:pPr>
    </w:p>
    <w:p>
      <w:pPr>
        <w:ind w:left="440" w:hanging="432"/>
        <w:spacing w:after="0" w:line="259" w:lineRule="auto"/>
        <w:tabs>
          <w:tab w:leader="none" w:pos="437" w:val="left"/>
        </w:tabs>
        <w:numPr>
          <w:ilvl w:val="0"/>
          <w:numId w:val="5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amortization and balances related to goodwill and core deposit and other intangible assets and merger-related expenses (when incurred) which, except in the calculation of the efficiency ratio, are net of applicable income tax effects. A reconciliation of net income and net operating income appears in Table 2.</w:t>
      </w:r>
    </w:p>
    <w:p>
      <w:pPr>
        <w:ind w:left="440" w:hanging="432"/>
        <w:spacing w:after="0"/>
        <w:tabs>
          <w:tab w:leader="none" w:pos="440" w:val="left"/>
        </w:tabs>
        <w:numPr>
          <w:ilvl w:val="0"/>
          <w:numId w:val="5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impact of merger-related expenses (when incurred) and net securities transactions.</w:t>
      </w:r>
    </w:p>
    <w:p>
      <w:pPr>
        <w:spacing w:after="0" w:line="14" w:lineRule="exact"/>
        <w:rPr>
          <w:rFonts w:ascii="Times New Roman" w:cs="Times New Roman" w:eastAsia="Times New Roman" w:hAnsi="Times New Roman"/>
          <w:sz w:val="14"/>
          <w:szCs w:val="14"/>
          <w:i w:val="1"/>
          <w:iCs w:val="1"/>
          <w:color w:val="auto"/>
        </w:rPr>
      </w:pPr>
    </w:p>
    <w:p>
      <w:pPr>
        <w:ind w:left="440" w:hanging="432"/>
        <w:spacing w:after="0" w:line="283" w:lineRule="auto"/>
        <w:tabs>
          <w:tab w:leader="none" w:pos="429" w:val="left"/>
        </w:tabs>
        <w:numPr>
          <w:ilvl w:val="0"/>
          <w:numId w:val="5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200" w:lineRule="exact"/>
        <w:rPr>
          <w:rFonts w:ascii="Times New Roman" w:cs="Times New Roman" w:eastAsia="Times New Roman" w:hAnsi="Times New Roman"/>
          <w:sz w:val="14"/>
          <w:szCs w:val="14"/>
          <w:i w:val="1"/>
          <w:iCs w:val="1"/>
          <w:color w:val="auto"/>
        </w:rPr>
      </w:pPr>
    </w:p>
    <w:p>
      <w:pPr>
        <w:spacing w:after="0" w:line="370" w:lineRule="exact"/>
        <w:rPr>
          <w:rFonts w:ascii="Times New Roman" w:cs="Times New Roman" w:eastAsia="Times New Roman" w:hAnsi="Times New Roman"/>
          <w:sz w:val="14"/>
          <w:szCs w:val="14"/>
          <w:i w:val="1"/>
          <w:iCs w:val="1"/>
          <w:color w:val="auto"/>
        </w:rPr>
      </w:pPr>
    </w:p>
    <w:p>
      <w:pPr>
        <w:ind w:left="5540" w:hanging="111"/>
        <w:spacing w:after="0"/>
        <w:tabs>
          <w:tab w:leader="none" w:pos="5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542"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21"/>
                <w:szCs w:val="21"/>
                <w:color w:val="auto"/>
                <w:w w:val="94"/>
              </w:rPr>
              <w:t>Table 2</w:t>
            </w:r>
          </w:p>
        </w:tc>
        <w:tc>
          <w:tcPr>
            <w:tcW w:w="0" w:type="dxa"/>
            <w:vAlign w:val="bottom"/>
          </w:tcPr>
          <w:p>
            <w:pPr>
              <w:spacing w:after="0"/>
              <w:rPr>
                <w:sz w:val="1"/>
                <w:szCs w:val="1"/>
                <w:color w:val="auto"/>
              </w:rPr>
            </w:pPr>
          </w:p>
        </w:tc>
      </w:tr>
      <w:tr>
        <w:trPr>
          <w:trHeight w:val="341"/>
        </w:trPr>
        <w:tc>
          <w:tcPr>
            <w:tcW w:w="6980" w:type="dxa"/>
            <w:vAlign w:val="bottom"/>
            <w:gridSpan w:val="7"/>
          </w:tcPr>
          <w:p>
            <w:pPr>
              <w:spacing w:after="0"/>
              <w:rPr>
                <w:sz w:val="20"/>
                <w:szCs w:val="20"/>
                <w:color w:val="auto"/>
              </w:rPr>
            </w:pPr>
            <w:r>
              <w:rPr>
                <w:rFonts w:ascii="Times New Roman" w:cs="Times New Roman" w:eastAsia="Times New Roman" w:hAnsi="Times New Roman"/>
                <w:sz w:val="21"/>
                <w:szCs w:val="21"/>
                <w:color w:val="auto"/>
              </w:rPr>
              <w:t>RECONCILIATION OF QUARTERLY GAAP TO NON-GAAP MEASURES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2025 Quarters</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 except per share)</w:t>
            </w:r>
          </w:p>
        </w:tc>
        <w:tc>
          <w:tcPr>
            <w:tcW w:w="1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First Quarter</w:t>
            </w:r>
          </w:p>
        </w:tc>
        <w:tc>
          <w:tcPr>
            <w:tcW w:w="26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Fourth</w:t>
            </w:r>
          </w:p>
        </w:tc>
        <w:tc>
          <w:tcPr>
            <w:tcW w:w="28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Third</w:t>
            </w:r>
          </w:p>
        </w:tc>
        <w:tc>
          <w:tcPr>
            <w:tcW w:w="38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Second</w:t>
            </w:r>
          </w:p>
        </w:tc>
        <w:tc>
          <w:tcPr>
            <w:tcW w:w="280" w:type="dxa"/>
            <w:vAlign w:val="bottom"/>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First</w:t>
            </w:r>
          </w:p>
        </w:tc>
        <w:tc>
          <w:tcPr>
            <w:tcW w:w="0" w:type="dxa"/>
            <w:vAlign w:val="bottom"/>
          </w:tcPr>
          <w:p>
            <w:pPr>
              <w:spacing w:after="0"/>
              <w:rPr>
                <w:sz w:val="1"/>
                <w:szCs w:val="1"/>
                <w:color w:val="auto"/>
              </w:rPr>
            </w:pPr>
          </w:p>
        </w:tc>
      </w:tr>
      <w:tr>
        <w:trPr>
          <w:trHeight w:val="29"/>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Income statement data</w:t>
            </w: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41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664</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759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792</w:t>
            </w:r>
          </w:p>
        </w:tc>
        <w:tc>
          <w:tcPr>
            <w:tcW w:w="2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716</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584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core deposit and other intangible assets (a)</w:t>
            </w:r>
          </w:p>
        </w:tc>
        <w:tc>
          <w:tcPr>
            <w:tcW w:w="180" w:type="dxa"/>
            <w:vAlign w:val="bottom"/>
          </w:tcPr>
          <w:p>
            <w:pPr>
              <w:spacing w:after="0"/>
              <w:rPr>
                <w:sz w:val="15"/>
                <w:szCs w:val="15"/>
                <w:color w:val="auto"/>
              </w:rPr>
            </w:pPr>
          </w:p>
        </w:tc>
        <w:tc>
          <w:tcPr>
            <w:tcW w:w="10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7</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operating income</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671</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767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798</w:t>
            </w: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724</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594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per common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1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earnings per common share</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4.13</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4.67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4.82</w:t>
            </w:r>
          </w:p>
        </w:tc>
        <w:tc>
          <w:tcPr>
            <w:tcW w:w="2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4.24</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3.32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core deposit and other intangible assets (a)</w:t>
            </w:r>
          </w:p>
        </w:tc>
        <w:tc>
          <w:tcPr>
            <w:tcW w:w="180" w:type="dxa"/>
            <w:vAlign w:val="bottom"/>
          </w:tcPr>
          <w:p>
            <w:pPr>
              <w:spacing w:after="0"/>
              <w:rPr>
                <w:sz w:val="15"/>
                <w:szCs w:val="15"/>
                <w:color w:val="auto"/>
              </w:rPr>
            </w:pPr>
          </w:p>
        </w:tc>
        <w:tc>
          <w:tcPr>
            <w:tcW w:w="10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.05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.05</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.04</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net operating earnings per common share</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4.18</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4.72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4.87</w:t>
            </w: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4.28</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3.38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Other expense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1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expense</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1,438</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1,379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1,363</w:t>
            </w:r>
          </w:p>
        </w:tc>
        <w:tc>
          <w:tcPr>
            <w:tcW w:w="2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1,336</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1,415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core deposit and other intangible assets</w:t>
            </w:r>
          </w:p>
        </w:tc>
        <w:tc>
          <w:tcPr>
            <w:tcW w:w="180" w:type="dxa"/>
            <w:vAlign w:val="bottom"/>
          </w:tcPr>
          <w:p>
            <w:pPr>
              <w:spacing w:after="0"/>
              <w:rPr>
                <w:sz w:val="15"/>
                <w:szCs w:val="15"/>
                <w:color w:val="auto"/>
              </w:rPr>
            </w:pPr>
          </w:p>
        </w:tc>
        <w:tc>
          <w:tcPr>
            <w:tcW w:w="10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 operating expense</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1,429</w:t>
            </w:r>
          </w:p>
        </w:tc>
        <w:tc>
          <w:tcPr>
            <w:tcW w:w="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1,369</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1,353</w:t>
            </w:r>
          </w:p>
        </w:tc>
        <w:tc>
          <w:tcPr>
            <w:tcW w:w="2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1,327</w:t>
            </w:r>
          </w:p>
        </w:tc>
        <w:tc>
          <w:tcPr>
            <w:tcW w:w="2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1,402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Efficiency ratio</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1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 operating expense (numerator)</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1,429</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1,369</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1,353</w:t>
            </w:r>
          </w:p>
        </w:tc>
        <w:tc>
          <w:tcPr>
            <w:tcW w:w="2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1,327</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1,402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3"/>
                <w:szCs w:val="13"/>
                <w:color w:val="auto"/>
              </w:rPr>
              <w:t>Taxable-equivalent net interest income</w:t>
            </w:r>
          </w:p>
        </w:tc>
        <w:tc>
          <w:tcPr>
            <w:tcW w:w="18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ind w:right="117"/>
              <w:spacing w:after="0" w:line="149" w:lineRule="exact"/>
              <w:rPr>
                <w:sz w:val="20"/>
                <w:szCs w:val="20"/>
                <w:color w:val="auto"/>
              </w:rPr>
            </w:pPr>
            <w:r>
              <w:rPr>
                <w:rFonts w:ascii="Times New Roman" w:cs="Times New Roman" w:eastAsia="Times New Roman" w:hAnsi="Times New Roman"/>
                <w:sz w:val="13"/>
                <w:szCs w:val="13"/>
                <w:color w:val="auto"/>
              </w:rPr>
              <w:t>1,763</w:t>
            </w:r>
          </w:p>
        </w:tc>
        <w:tc>
          <w:tcPr>
            <w:tcW w:w="240" w:type="dxa"/>
            <w:vAlign w:val="bottom"/>
          </w:tcPr>
          <w:p>
            <w:pPr>
              <w:spacing w:after="0"/>
              <w:rPr>
                <w:sz w:val="12"/>
                <w:szCs w:val="12"/>
                <w:color w:val="auto"/>
              </w:rPr>
            </w:pPr>
          </w:p>
        </w:tc>
        <w:tc>
          <w:tcPr>
            <w:tcW w:w="260" w:type="dxa"/>
            <w:vAlign w:val="bottom"/>
          </w:tcPr>
          <w:p>
            <w:pPr>
              <w:jc w:val="right"/>
              <w:ind w:right="117"/>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3"/>
                <w:szCs w:val="13"/>
                <w:color w:val="auto"/>
              </w:rPr>
              <w:t>1,790</w:t>
            </w:r>
          </w:p>
        </w:tc>
        <w:tc>
          <w:tcPr>
            <w:tcW w:w="80" w:type="dxa"/>
            <w:vAlign w:val="bottom"/>
          </w:tcPr>
          <w:p>
            <w:pPr>
              <w:spacing w:after="0"/>
              <w:rPr>
                <w:sz w:val="12"/>
                <w:szCs w:val="12"/>
                <w:color w:val="auto"/>
              </w:rPr>
            </w:pPr>
          </w:p>
        </w:tc>
        <w:tc>
          <w:tcPr>
            <w:tcW w:w="280" w:type="dxa"/>
            <w:vAlign w:val="bottom"/>
          </w:tcPr>
          <w:p>
            <w:pPr>
              <w:jc w:val="right"/>
              <w:ind w:right="137"/>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7"/>
              <w:spacing w:after="0" w:line="149" w:lineRule="exact"/>
              <w:rPr>
                <w:sz w:val="20"/>
                <w:szCs w:val="20"/>
                <w:color w:val="auto"/>
              </w:rPr>
            </w:pPr>
            <w:r>
              <w:rPr>
                <w:rFonts w:ascii="Times New Roman" w:cs="Times New Roman" w:eastAsia="Times New Roman" w:hAnsi="Times New Roman"/>
                <w:sz w:val="13"/>
                <w:szCs w:val="13"/>
                <w:color w:val="auto"/>
              </w:rPr>
              <w:t>1,773</w:t>
            </w:r>
          </w:p>
        </w:tc>
        <w:tc>
          <w:tcPr>
            <w:tcW w:w="240" w:type="dxa"/>
            <w:vAlign w:val="bottom"/>
          </w:tcPr>
          <w:p>
            <w:pPr>
              <w:spacing w:after="0"/>
              <w:rPr>
                <w:sz w:val="12"/>
                <w:szCs w:val="12"/>
                <w:color w:val="auto"/>
              </w:rPr>
            </w:pPr>
          </w:p>
        </w:tc>
        <w:tc>
          <w:tcPr>
            <w:tcW w:w="380" w:type="dxa"/>
            <w:vAlign w:val="bottom"/>
          </w:tcPr>
          <w:p>
            <w:pPr>
              <w:jc w:val="right"/>
              <w:ind w:right="237"/>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3"/>
                <w:szCs w:val="13"/>
                <w:color w:val="auto"/>
              </w:rPr>
              <w:t>1,722</w:t>
            </w:r>
          </w:p>
        </w:tc>
        <w:tc>
          <w:tcPr>
            <w:tcW w:w="260" w:type="dxa"/>
            <w:vAlign w:val="bottom"/>
          </w:tcPr>
          <w:p>
            <w:pPr>
              <w:spacing w:after="0"/>
              <w:rPr>
                <w:sz w:val="12"/>
                <w:szCs w:val="12"/>
                <w:color w:val="auto"/>
              </w:rPr>
            </w:pPr>
          </w:p>
        </w:tc>
        <w:tc>
          <w:tcPr>
            <w:tcW w:w="280" w:type="dxa"/>
            <w:vAlign w:val="bottom"/>
          </w:tcPr>
          <w:p>
            <w:pPr>
              <w:jc w:val="right"/>
              <w:ind w:right="137"/>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6"/>
              <w:spacing w:after="0" w:line="149" w:lineRule="exact"/>
              <w:rPr>
                <w:sz w:val="20"/>
                <w:szCs w:val="20"/>
                <w:color w:val="auto"/>
              </w:rPr>
            </w:pPr>
            <w:r>
              <w:rPr>
                <w:rFonts w:ascii="Times New Roman" w:cs="Times New Roman" w:eastAsia="Times New Roman" w:hAnsi="Times New Roman"/>
                <w:sz w:val="13"/>
                <w:szCs w:val="13"/>
                <w:color w:val="auto"/>
              </w:rPr>
              <w:t>1,707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689</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696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752</w:t>
            </w:r>
          </w:p>
        </w:tc>
        <w:tc>
          <w:tcPr>
            <w:tcW w:w="2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683</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611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Gain (loss) on bank investment securities</w:t>
            </w:r>
          </w:p>
        </w:tc>
        <w:tc>
          <w:tcPr>
            <w:tcW w:w="180" w:type="dxa"/>
            <w:vAlign w:val="bottom"/>
          </w:tcPr>
          <w:p>
            <w:pPr>
              <w:spacing w:after="0"/>
              <w:rPr>
                <w:sz w:val="15"/>
                <w:szCs w:val="15"/>
                <w:color w:val="auto"/>
              </w:rPr>
            </w:pPr>
          </w:p>
        </w:tc>
        <w:tc>
          <w:tcPr>
            <w:tcW w:w="10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4</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4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Denominator</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2,448</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2,485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2,524</w:t>
            </w: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2,405</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2,318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Efficiency ratio</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58.3 %</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55.1 %</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53.6 %</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55.2 %</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60.5 %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80" w:type="dxa"/>
            <w:vAlign w:val="bottom"/>
            <w:tcBorders>
              <w:bottom w:val="single" w:sz="8" w:color="CCEEFF"/>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3"/>
                <w:szCs w:val="13"/>
                <w:b w:val="1"/>
                <w:bCs w:val="1"/>
                <w:color w:val="auto"/>
              </w:rPr>
              <w:t>Balance sheet data</w:t>
            </w:r>
          </w:p>
        </w:tc>
        <w:tc>
          <w:tcPr>
            <w:tcW w:w="1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Average assets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assets</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213,828</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212,891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211,053</w:t>
            </w:r>
          </w:p>
        </w:tc>
        <w:tc>
          <w:tcPr>
            <w:tcW w:w="2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210,261</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208,321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80" w:type="dxa"/>
            <w:vAlign w:val="bottom"/>
          </w:tcPr>
          <w:p>
            <w:pPr>
              <w:spacing w:after="0"/>
              <w:rPr>
                <w:sz w:val="15"/>
                <w:szCs w:val="15"/>
                <w:color w:val="auto"/>
              </w:rPr>
            </w:pPr>
          </w:p>
        </w:tc>
        <w:tc>
          <w:tcPr>
            <w:tcW w:w="10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(8,465)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(8,465)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(59)</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(79)</w:t>
            </w:r>
          </w:p>
        </w:tc>
        <w:tc>
          <w:tcPr>
            <w:tcW w:w="2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(89)</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taxes</w:t>
            </w:r>
          </w:p>
        </w:tc>
        <w:tc>
          <w:tcPr>
            <w:tcW w:w="180" w:type="dxa"/>
            <w:vAlign w:val="bottom"/>
          </w:tcPr>
          <w:p>
            <w:pPr>
              <w:spacing w:after="0"/>
              <w:rPr>
                <w:sz w:val="15"/>
                <w:szCs w:val="15"/>
                <w:color w:val="auto"/>
              </w:rPr>
            </w:pPr>
          </w:p>
        </w:tc>
        <w:tc>
          <w:tcPr>
            <w:tcW w:w="10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19</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24</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26</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tangible assets</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205,323</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204,379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202,533</w:t>
            </w: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201,733</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199,791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Average common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1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total equity</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28,648</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28,970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28,583</w:t>
            </w:r>
          </w:p>
        </w:tc>
        <w:tc>
          <w:tcPr>
            <w:tcW w:w="2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28,666</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28,998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180" w:type="dxa"/>
            <w:vAlign w:val="bottom"/>
          </w:tcPr>
          <w:p>
            <w:pPr>
              <w:spacing w:after="0"/>
              <w:rPr>
                <w:sz w:val="15"/>
                <w:szCs w:val="15"/>
                <w:color w:val="auto"/>
              </w:rPr>
            </w:pPr>
          </w:p>
        </w:tc>
        <w:tc>
          <w:tcPr>
            <w:tcW w:w="10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(2,576)</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(2,691)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(2,394)</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(2,394)</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(2,394)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common equity</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26,072</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26,279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26,189</w:t>
            </w:r>
          </w:p>
        </w:tc>
        <w:tc>
          <w:tcPr>
            <w:tcW w:w="2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26,272</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26,604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80" w:type="dxa"/>
            <w:vAlign w:val="bottom"/>
          </w:tcPr>
          <w:p>
            <w:pPr>
              <w:spacing w:after="0"/>
              <w:rPr>
                <w:sz w:val="15"/>
                <w:szCs w:val="15"/>
                <w:color w:val="auto"/>
              </w:rPr>
            </w:pPr>
          </w:p>
        </w:tc>
        <w:tc>
          <w:tcPr>
            <w:tcW w:w="10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(8,465)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(8,465)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(59)</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(79)</w:t>
            </w:r>
          </w:p>
        </w:tc>
        <w:tc>
          <w:tcPr>
            <w:tcW w:w="2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(89)</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taxes</w:t>
            </w:r>
          </w:p>
        </w:tc>
        <w:tc>
          <w:tcPr>
            <w:tcW w:w="180" w:type="dxa"/>
            <w:vAlign w:val="bottom"/>
          </w:tcPr>
          <w:p>
            <w:pPr>
              <w:spacing w:after="0"/>
              <w:rPr>
                <w:sz w:val="15"/>
                <w:szCs w:val="15"/>
                <w:color w:val="auto"/>
              </w:rPr>
            </w:pPr>
          </w:p>
        </w:tc>
        <w:tc>
          <w:tcPr>
            <w:tcW w:w="10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19</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24</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26</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tangible common equity</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17,567</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17,767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17,669</w:t>
            </w: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17,744</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18,074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At end of quarter</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1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214,736</w:t>
            </w:r>
          </w:p>
        </w:tc>
        <w:tc>
          <w:tcPr>
            <w:tcW w:w="240" w:type="dxa"/>
            <w:vAlign w:val="bottom"/>
          </w:tcPr>
          <w:p>
            <w:pPr>
              <w:spacing w:after="0"/>
              <w:rPr>
                <w:sz w:val="15"/>
                <w:szCs w:val="15"/>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213,510</w:t>
            </w:r>
          </w:p>
        </w:tc>
        <w:tc>
          <w:tcPr>
            <w:tcW w:w="80" w:type="dxa"/>
            <w:vAlign w:val="bottom"/>
          </w:tcPr>
          <w:p>
            <w:pPr>
              <w:spacing w:after="0"/>
              <w:rPr>
                <w:sz w:val="15"/>
                <w:szCs w:val="15"/>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211,277</w:t>
            </w:r>
          </w:p>
        </w:tc>
        <w:tc>
          <w:tcPr>
            <w:tcW w:w="240" w:type="dxa"/>
            <w:vAlign w:val="bottom"/>
          </w:tcPr>
          <w:p>
            <w:pPr>
              <w:spacing w:after="0"/>
              <w:rPr>
                <w:sz w:val="15"/>
                <w:szCs w:val="15"/>
                <w:color w:val="auto"/>
              </w:rPr>
            </w:pPr>
          </w:p>
        </w:tc>
        <w:tc>
          <w:tcPr>
            <w:tcW w:w="3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211,584</w:t>
            </w:r>
          </w:p>
        </w:tc>
        <w:tc>
          <w:tcPr>
            <w:tcW w:w="260" w:type="dxa"/>
            <w:vAlign w:val="bottom"/>
          </w:tcPr>
          <w:p>
            <w:pPr>
              <w:spacing w:after="0"/>
              <w:rPr>
                <w:sz w:val="15"/>
                <w:szCs w:val="15"/>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210,321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2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(8,465)</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(8,465)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80" w:type="dxa"/>
            <w:vAlign w:val="bottom"/>
          </w:tcPr>
          <w:p>
            <w:pPr>
              <w:spacing w:after="0"/>
              <w:rPr>
                <w:sz w:val="15"/>
                <w:szCs w:val="15"/>
                <w:color w:val="auto"/>
              </w:rPr>
            </w:pPr>
          </w:p>
        </w:tc>
        <w:tc>
          <w:tcPr>
            <w:tcW w:w="10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(74)</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(84)</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(93)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taxes</w:t>
            </w: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18</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23</w:t>
            </w:r>
          </w:p>
        </w:tc>
        <w:tc>
          <w:tcPr>
            <w:tcW w:w="2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25</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tangible assets</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206,234</w:t>
            </w:r>
          </w:p>
        </w:tc>
        <w:tc>
          <w:tcPr>
            <w:tcW w:w="24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205,001</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202,761</w:t>
            </w:r>
          </w:p>
        </w:tc>
        <w:tc>
          <w:tcPr>
            <w:tcW w:w="24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203,060</w:t>
            </w:r>
          </w:p>
        </w:tc>
        <w:tc>
          <w:tcPr>
            <w:tcW w:w="26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201,789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80" w:type="dxa"/>
            <w:vAlign w:val="bottom"/>
            <w:tcBorders>
              <w:bottom w:val="single" w:sz="8" w:color="CCEEFF"/>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3"/>
                <w:szCs w:val="13"/>
                <w:b w:val="1"/>
                <w:bCs w:val="1"/>
                <w:color w:val="auto"/>
              </w:rPr>
              <w:t>Total common equity</w:t>
            </w:r>
          </w:p>
        </w:tc>
        <w:tc>
          <w:tcPr>
            <w:tcW w:w="1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equity</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27,972</w:t>
            </w:r>
          </w:p>
        </w:tc>
        <w:tc>
          <w:tcPr>
            <w:tcW w:w="240" w:type="dxa"/>
            <w:vAlign w:val="bottom"/>
          </w:tcPr>
          <w:p>
            <w:pPr>
              <w:spacing w:after="0"/>
              <w:rPr>
                <w:sz w:val="15"/>
                <w:szCs w:val="15"/>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29,177</w:t>
            </w:r>
          </w:p>
        </w:tc>
        <w:tc>
          <w:tcPr>
            <w:tcW w:w="80" w:type="dxa"/>
            <w:vAlign w:val="bottom"/>
          </w:tcPr>
          <w:p>
            <w:pPr>
              <w:spacing w:after="0"/>
              <w:rPr>
                <w:sz w:val="15"/>
                <w:szCs w:val="15"/>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28,728</w:t>
            </w:r>
          </w:p>
        </w:tc>
        <w:tc>
          <w:tcPr>
            <w:tcW w:w="240" w:type="dxa"/>
            <w:vAlign w:val="bottom"/>
          </w:tcPr>
          <w:p>
            <w:pPr>
              <w:spacing w:after="0"/>
              <w:rPr>
                <w:sz w:val="15"/>
                <w:szCs w:val="15"/>
                <w:color w:val="auto"/>
              </w:rPr>
            </w:pPr>
          </w:p>
        </w:tc>
        <w:tc>
          <w:tcPr>
            <w:tcW w:w="3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28,525</w:t>
            </w:r>
          </w:p>
        </w:tc>
        <w:tc>
          <w:tcPr>
            <w:tcW w:w="260" w:type="dxa"/>
            <w:vAlign w:val="bottom"/>
          </w:tcPr>
          <w:p>
            <w:pPr>
              <w:spacing w:after="0"/>
              <w:rPr>
                <w:sz w:val="15"/>
                <w:szCs w:val="15"/>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28,991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(2,434)</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(2,834)</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(2,394)</w:t>
            </w:r>
          </w:p>
        </w:tc>
        <w:tc>
          <w:tcPr>
            <w:tcW w:w="2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(2,394)</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(2,394)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equity</w:t>
            </w: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25,538</w:t>
            </w: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26,343</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26,334</w:t>
            </w:r>
          </w:p>
        </w:tc>
        <w:tc>
          <w:tcPr>
            <w:tcW w:w="2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26,131</w:t>
            </w:r>
          </w:p>
        </w:tc>
        <w:tc>
          <w:tcPr>
            <w:tcW w:w="2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26,597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(8,465)</w:t>
            </w:r>
          </w:p>
        </w:tc>
        <w:tc>
          <w:tcPr>
            <w:tcW w:w="2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(8,465)</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(8,465)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80" w:type="dxa"/>
            <w:vAlign w:val="bottom"/>
          </w:tcPr>
          <w:p>
            <w:pPr>
              <w:spacing w:after="0"/>
              <w:rPr>
                <w:sz w:val="15"/>
                <w:szCs w:val="15"/>
                <w:color w:val="auto"/>
              </w:rPr>
            </w:pPr>
          </w:p>
        </w:tc>
        <w:tc>
          <w:tcPr>
            <w:tcW w:w="10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(74)</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(84)</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(93)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taxes</w:t>
            </w: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18</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23</w:t>
            </w:r>
          </w:p>
        </w:tc>
        <w:tc>
          <w:tcPr>
            <w:tcW w:w="2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25</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tangible common equity</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17,036</w:t>
            </w:r>
          </w:p>
        </w:tc>
        <w:tc>
          <w:tcPr>
            <w:tcW w:w="24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17,834</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17,818</w:t>
            </w:r>
          </w:p>
        </w:tc>
        <w:tc>
          <w:tcPr>
            <w:tcW w:w="24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17,607</w:t>
            </w:r>
          </w:p>
        </w:tc>
        <w:tc>
          <w:tcPr>
            <w:tcW w:w="26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18,065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 w:lineRule="exact"/>
        <w:rPr>
          <w:sz w:val="20"/>
          <w:szCs w:val="20"/>
          <w:color w:val="auto"/>
        </w:rPr>
      </w:pPr>
    </w:p>
    <w:p>
      <w:pPr>
        <w:ind w:left="440" w:hanging="432"/>
        <w:spacing w:after="0"/>
        <w:tabs>
          <w:tab w:leader="none" w:pos="440" w:val="left"/>
        </w:tabs>
        <w:numPr>
          <w:ilvl w:val="0"/>
          <w:numId w:val="5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After any related tax effect.</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1"/>
          <w:szCs w:val="21"/>
          <w:color w:val="auto"/>
        </w:rPr>
        <w:t>Item 3. Quantitative and Qualitative Disclosures About Market Risk.</w:t>
      </w:r>
    </w:p>
    <w:p>
      <w:pPr>
        <w:spacing w:after="0" w:line="11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1"/>
          <w:szCs w:val="21"/>
          <w:color w:val="auto"/>
        </w:rPr>
        <w:t>Refer to Part I, Item 2, "Management's Discussion and Analysis of Financial Condition and Results of Operations," under the captions "Liquidity Risk," "Market Risk and Interest Rate Sensitivity" and "Capital."</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 Controls and Procedures.</w:t>
      </w:r>
    </w:p>
    <w:p>
      <w:pPr>
        <w:spacing w:after="0" w:line="123" w:lineRule="exact"/>
        <w:rPr>
          <w:sz w:val="20"/>
          <w:szCs w:val="20"/>
          <w:color w:val="auto"/>
        </w:rPr>
      </w:pPr>
    </w:p>
    <w:p>
      <w:pPr>
        <w:jc w:val="both"/>
        <w:ind w:firstLine="8"/>
        <w:spacing w:after="0" w:line="252" w:lineRule="auto"/>
        <w:tabs>
          <w:tab w:leader="none" w:pos="291"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Evaluation of disclosure controls and procedures. Based upon an evaluation carried out as of the end of the period covered by this report under the supervision and with the participation of M&amp;T's management, including its Chairman and Chief Executive Officer and its Chief Financial Officer, of the effectiveness of M&amp;T’s disclosure controls and procedures (as defined in Exchange Act rule 13a-15(e)), René F. Jones, Chairman of the Board and Chief Executive Officer, and Daryl N. Bible, Senior Executive Vice President and Chief Financial Officer, concluded that M&amp;T’s disclosure controls and procedures were effective as of March 31, 2026.</w:t>
      </w:r>
    </w:p>
    <w:p>
      <w:pPr>
        <w:spacing w:after="0" w:line="82" w:lineRule="exact"/>
        <w:rPr>
          <w:rFonts w:ascii="Times New Roman" w:cs="Times New Roman" w:eastAsia="Times New Roman" w:hAnsi="Times New Roman"/>
          <w:sz w:val="21"/>
          <w:szCs w:val="21"/>
          <w:color w:val="auto"/>
        </w:rPr>
      </w:pPr>
    </w:p>
    <w:p>
      <w:pPr>
        <w:jc w:val="both"/>
        <w:ind w:firstLine="8"/>
        <w:spacing w:after="0" w:line="249" w:lineRule="auto"/>
        <w:tabs>
          <w:tab w:leader="none" w:pos="331"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internal control over financial reporting. M&amp;T regularly assesses and enhances its internal control over financial reporting. The Company is conducting a multi-phase implementation of new financial recordkeeping and reporting systems, including its general ledger and certain subledger platforms. In conjunction therewith the Company has and will continue to change certain processes and internal controls over financial reporting. No changes have been identified during the quarter ended March 31, 2026 that have materially affected, or are reasonably likely to materially affect, M&amp;T’s internal control over financial reporting. The conversion of the Company's core general ledger platform was completed in April 2026.</w:t>
      </w:r>
    </w:p>
    <w:p>
      <w:pPr>
        <w:spacing w:after="0" w:line="306"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81" w:name="page82"/>
    <w:bookmarkEnd w:id="81"/>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 II. Other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 Legal Proceedings.</w:t>
      </w:r>
    </w:p>
    <w:p>
      <w:pPr>
        <w:spacing w:after="0" w:line="12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Refer to note 13 of Notes to Financial Statements filed herewith in Part I, Item 1, “Financial Statements (Unaudited)” regarding legal proceedings.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1A. Risk Factors.</w:t>
      </w:r>
    </w:p>
    <w:p>
      <w:pPr>
        <w:spacing w:after="0" w:line="11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There have been no material changes in risk factors relating to the Company to those disclosed in response to Part I, Item 1A of M&amp;T's 2025 Annual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 Unregistered Sales of Equity Securities and Use of Proceeds.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 (b) Not applicable.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Issuer Purchases of Common Equity Securities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7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175"/>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Number (or</w:t>
            </w:r>
          </w:p>
        </w:tc>
      </w:t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Common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Approximate</w:t>
            </w:r>
          </w:p>
        </w:tc>
      </w:tr>
      <w:tr>
        <w:trPr>
          <w:trHeight w:val="175"/>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Dollar Value)</w:t>
            </w:r>
          </w:p>
        </w:tc>
      </w:tr>
      <w:tr>
        <w:trPr>
          <w:trHeight w:val="176"/>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Units)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of Common Shares</w:t>
            </w:r>
          </w:p>
        </w:tc>
      </w:tr>
      <w:tr>
        <w:trPr>
          <w:trHeight w:val="175"/>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(or Units)</w:t>
            </w:r>
          </w:p>
        </w:tc>
      </w:t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Part of</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that may yet</w:t>
            </w:r>
          </w:p>
        </w:tc>
      </w:tr>
      <w:tr>
        <w:trPr>
          <w:trHeight w:val="175"/>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be Purchased</w:t>
            </w:r>
          </w:p>
        </w:tc>
      </w:tr>
      <w:tr>
        <w:trPr>
          <w:trHeight w:val="176"/>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Common Shares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Under the</w:t>
            </w:r>
          </w:p>
        </w:tc>
      </w:tr>
      <w:tr>
        <w:trPr>
          <w:trHeight w:val="176"/>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Units)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Common Share</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Plans or</w:t>
            </w:r>
          </w:p>
        </w:tc>
      </w:tr>
      <w:tr>
        <w:trPr>
          <w:trHeight w:val="160"/>
        </w:trPr>
        <w:tc>
          <w:tcPr>
            <w:tcW w:w="20" w:type="dxa"/>
            <w:vAlign w:val="bottom"/>
          </w:tcPr>
          <w:p>
            <w:pPr>
              <w:spacing w:after="0"/>
              <w:rPr>
                <w:sz w:val="13"/>
                <w:szCs w:val="13"/>
                <w:color w:val="auto"/>
              </w:rPr>
            </w:pPr>
          </w:p>
        </w:tc>
        <w:tc>
          <w:tcPr>
            <w:tcW w:w="42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(Dollars in millions, except per share)</w:t>
            </w:r>
          </w:p>
        </w:tc>
        <w:tc>
          <w:tcPr>
            <w:tcW w:w="1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Purchased (a)</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(or Unit) (b)</w:t>
            </w:r>
          </w:p>
        </w:tc>
        <w:tc>
          <w:tcPr>
            <w:tcW w:w="1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center"/>
              <w:ind w:right="104"/>
              <w:spacing w:after="0" w:line="160" w:lineRule="exact"/>
              <w:rPr>
                <w:sz w:val="20"/>
                <w:szCs w:val="20"/>
                <w:color w:val="auto"/>
              </w:rPr>
            </w:pPr>
            <w:r>
              <w:rPr>
                <w:rFonts w:ascii="Times New Roman" w:cs="Times New Roman" w:eastAsia="Times New Roman" w:hAnsi="Times New Roman"/>
                <w:sz w:val="14"/>
                <w:szCs w:val="14"/>
                <w:b w:val="1"/>
                <w:bCs w:val="1"/>
                <w:color w:val="auto"/>
              </w:rPr>
              <w:t>Programs (c)</w:t>
            </w:r>
          </w:p>
        </w:tc>
      </w:tr>
      <w:tr>
        <w:trPr>
          <w:trHeight w:val="48"/>
        </w:trPr>
        <w:tc>
          <w:tcPr>
            <w:tcW w:w="20" w:type="dxa"/>
            <w:vAlign w:val="bottom"/>
            <w:tcBorders>
              <w:bottom w:val="single" w:sz="8" w:color="CCEEFF"/>
            </w:tcBorders>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1920" w:type="dxa"/>
            <w:vAlign w:val="bottom"/>
            <w:tcBorders>
              <w:bottom w:val="single" w:sz="8" w:color="CCEEFF"/>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January 31, 2026</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1,616,691</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219.68</w:t>
            </w: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1,580,419</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995</w:t>
            </w:r>
          </w:p>
        </w:tc>
      </w:tr>
      <w:tr>
        <w:trPr>
          <w:trHeight w:val="243"/>
        </w:trPr>
        <w:tc>
          <w:tcPr>
            <w:tcW w:w="2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 February 28, 2026</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3,161,876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231.29</w:t>
            </w:r>
          </w:p>
        </w:tc>
        <w:tc>
          <w:tcPr>
            <w:tcW w:w="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3,124,792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March 31, 2026</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825,602</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217.71</w:t>
            </w:r>
          </w:p>
        </w:tc>
        <w:tc>
          <w:tcPr>
            <w:tcW w:w="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825,203</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64"/>
        </w:trPr>
        <w:tc>
          <w:tcPr>
            <w:tcW w:w="20" w:type="dxa"/>
            <w:vAlign w:val="bottom"/>
          </w:tcPr>
          <w:p>
            <w:pPr>
              <w:spacing w:after="0"/>
              <w:rPr>
                <w:sz w:val="22"/>
                <w:szCs w:val="22"/>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5,604,169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225.94</w:t>
            </w:r>
          </w:p>
        </w:tc>
        <w:tc>
          <w:tcPr>
            <w:tcW w:w="8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5,530,414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__________________________________________________________________________________</w:t>
      </w:r>
    </w:p>
    <w:p>
      <w:pPr>
        <w:spacing w:after="0" w:line="4" w:lineRule="exact"/>
        <w:rPr>
          <w:sz w:val="20"/>
          <w:szCs w:val="20"/>
          <w:color w:val="auto"/>
        </w:rPr>
      </w:pPr>
    </w:p>
    <w:p>
      <w:pPr>
        <w:jc w:val="both"/>
        <w:ind w:left="440" w:hanging="432"/>
        <w:spacing w:after="0" w:line="280" w:lineRule="auto"/>
        <w:tabs>
          <w:tab w:leader="none" w:pos="437" w:val="left"/>
        </w:tabs>
        <w:numPr>
          <w:ilvl w:val="0"/>
          <w:numId w:val="5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total number of shares purchased during the periods indicated includes shares purchased as part of publicly announced programs and/or shares deemed to have been received from employees who exercised stock options by attesting to previously acquired common shares in satisfaction of the exercise price, as is permitted under M&amp;T’s stock-based compensation plans.</w:t>
      </w:r>
    </w:p>
    <w:p>
      <w:pPr>
        <w:spacing w:after="0" w:line="147" w:lineRule="exact"/>
        <w:rPr>
          <w:rFonts w:ascii="Times New Roman" w:cs="Times New Roman" w:eastAsia="Times New Roman" w:hAnsi="Times New Roman"/>
          <w:sz w:val="14"/>
          <w:szCs w:val="14"/>
          <w:i w:val="1"/>
          <w:iCs w:val="1"/>
          <w:color w:val="auto"/>
        </w:rPr>
      </w:pPr>
    </w:p>
    <w:p>
      <w:pPr>
        <w:ind w:left="440" w:hanging="432"/>
        <w:spacing w:after="0"/>
        <w:tabs>
          <w:tab w:leader="none" w:pos="440" w:val="left"/>
        </w:tabs>
        <w:numPr>
          <w:ilvl w:val="0"/>
          <w:numId w:val="5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Inclusive of share repurchase excise tax of 1%.</w:t>
      </w:r>
    </w:p>
    <w:p>
      <w:pPr>
        <w:spacing w:after="0" w:line="4" w:lineRule="exact"/>
        <w:rPr>
          <w:rFonts w:ascii="Times New Roman" w:cs="Times New Roman" w:eastAsia="Times New Roman" w:hAnsi="Times New Roman"/>
          <w:sz w:val="14"/>
          <w:szCs w:val="14"/>
          <w:i w:val="1"/>
          <w:iCs w:val="1"/>
          <w:color w:val="auto"/>
        </w:rPr>
      </w:pPr>
    </w:p>
    <w:p>
      <w:pPr>
        <w:jc w:val="both"/>
        <w:ind w:left="440" w:hanging="432"/>
        <w:spacing w:after="0" w:line="270" w:lineRule="auto"/>
        <w:tabs>
          <w:tab w:leader="none" w:pos="429" w:val="left"/>
        </w:tabs>
        <w:numPr>
          <w:ilvl w:val="0"/>
          <w:numId w:val="5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On March 30, 2026, M&amp;T's Board of Directors authorized a program under which $5.0 billion of common shares may be repurchased with the exact number, timing, price and terms of such repurchases to be determined at the discretion of management and subject to all regulatory limitations. The authorization replaced and terminated, effective March 30, 2026, the prior $4.0 billion share repurchase program authorized by M&amp;T's Board of Directors in January 2025.</w:t>
      </w:r>
    </w:p>
    <w:p>
      <w:pPr>
        <w:spacing w:after="0" w:line="7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21"/>
          <w:szCs w:val="21"/>
          <w:color w:val="auto"/>
        </w:rPr>
        <w:t>On February 1, 2026 M&amp;T redeemed all 40,000 outstanding shares of its Perpetual Fixed Rate Reset Non-Cumulative Preferred Stock Series G for $400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 Defaults Upon Senior Securities.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 Mine Safety Disclosures.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 applicable.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1"/>
          <w:szCs w:val="21"/>
          <w:color w:val="auto"/>
        </w:rPr>
        <w:t>Item 5. Other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 (b) Not applicable.</w:t>
      </w:r>
    </w:p>
    <w:p>
      <w:pPr>
        <w:spacing w:after="0" w:line="123" w:lineRule="exact"/>
        <w:rPr>
          <w:sz w:val="20"/>
          <w:szCs w:val="20"/>
          <w:color w:val="auto"/>
        </w:rPr>
      </w:pPr>
    </w:p>
    <w:p>
      <w:pPr>
        <w:ind w:right="80" w:firstLine="8"/>
        <w:spacing w:after="0" w:line="242" w:lineRule="auto"/>
        <w:tabs>
          <w:tab w:leader="none" w:pos="281"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provides a description of Rule 10b5-1 trading arrangements (as defined in Item 408 of Regulation S-K under the Exchange Act) adopted during the three months ended March 31, 2026, by any director or executive officer who is subject to the filing requirements of Section 16 of the Exchange Act:</w:t>
      </w:r>
    </w:p>
    <w:p>
      <w:pPr>
        <w:spacing w:after="0" w:line="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On March 5, 2026, Kevin J. Pearson, Vice Chairman, adopted a trading arrangement intended to satisfy the affirmative defense conditions of Rule 10b5-1(c). The arrangement will terminate on or before January 29, 2027. Under the arrangement, a maximum aggregate number of 6,000 shares may be sold and a maximum aggregate number of 23,358 vested stock options may be exercised and sold. Transactions under the trading arrangement will not commence until completion of the required cooling off period under Rule 10b5-1.</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On March 6, 2026, Tracy S. Woodrow, Senior Executive Vice President, adopted a trading arrangement intended to satisfy the affirmative defense conditions of Rule 10b5-1(c). The arrangement will terminate on or before February 26, 2027. Under the arrangement, a maximum aggregate number of 881 vested stock options may be exercised and sold. Transactions under the trading arrangement will not commence until completion of the required cooling off period under Rule 10b5-1.</w:t>
      </w:r>
    </w:p>
    <w:p>
      <w:pPr>
        <w:spacing w:after="0" w:line="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No executive officers and no directors terminated or modified a Rule 10b5-1 trading arrangement in the three months ended March 31, 2026.</w:t>
      </w:r>
    </w:p>
    <w:p>
      <w:pPr>
        <w:spacing w:after="0" w:line="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Certain executive officers and directors have made elections to participate in, and are participating in, the Company's tax-qualified 401(k) plan and nonqualified deferred compensation plans, or have made, and may from time to time make, elections to reinvest dividends in M&amp;T common stock, or have shares withheld to cover withholding taxes upon the vesting of equity awards or to pay the exercise price of options, each of which may be designed to satisfy the affirmative defense conditions of Rule 10b5-1(c) or may constitute non-Rule 10b5-1 trading arrangements (as defined in Item 408(c) of Regulation S-K).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 Exhibits.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exhibits are filed as a part of this report.</w:t>
      </w:r>
    </w:p>
    <w:p>
      <w:pPr>
        <w:spacing w:after="0" w:line="164" w:lineRule="exact"/>
        <w:rPr>
          <w:sz w:val="20"/>
          <w:szCs w:val="20"/>
          <w:color w:val="auto"/>
        </w:rPr>
      </w:pPr>
    </w:p>
    <w:p>
      <w:pPr>
        <w:jc w:val="center"/>
        <w:ind w:right="9880"/>
        <w:spacing w:after="0"/>
        <w:rPr>
          <w:sz w:val="20"/>
          <w:szCs w:val="20"/>
          <w:color w:val="auto"/>
        </w:rPr>
      </w:pPr>
      <w:r>
        <w:rPr>
          <w:rFonts w:ascii="Times New Roman" w:cs="Times New Roman" w:eastAsia="Times New Roman" w:hAnsi="Times New Roman"/>
          <w:sz w:val="21"/>
          <w:szCs w:val="21"/>
          <w:color w:val="auto"/>
        </w:rPr>
        <w:t>Exhibit</w:t>
      </w:r>
    </w:p>
    <w:p>
      <w:pPr>
        <w:spacing w:after="0" w:line="29" w:lineRule="exact"/>
        <w:rPr>
          <w:sz w:val="20"/>
          <w:szCs w:val="20"/>
          <w:color w:val="auto"/>
        </w:rPr>
      </w:pPr>
    </w:p>
    <w:p>
      <w:pPr>
        <w:jc w:val="center"/>
        <w:ind w:right="9880"/>
        <w:spacing w:after="0"/>
        <w:rPr>
          <w:sz w:val="20"/>
          <w:szCs w:val="20"/>
          <w:color w:val="auto"/>
        </w:rPr>
      </w:pP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85725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10"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1160" w:type="dxa"/>
            <w:vAlign w:val="bottom"/>
          </w:tcPr>
          <w:p>
            <w:pPr>
              <w:jc w:val="center"/>
              <w:ind w:right="297"/>
              <w:spacing w:after="0"/>
              <w:rPr>
                <w:sz w:val="20"/>
                <w:szCs w:val="20"/>
                <w:color w:val="auto"/>
              </w:rPr>
            </w:pPr>
            <w:r>
              <w:rPr>
                <w:rFonts w:ascii="Times New Roman" w:cs="Times New Roman" w:eastAsia="Times New Roman" w:hAnsi="Times New Roman"/>
                <w:sz w:val="21"/>
                <w:szCs w:val="21"/>
                <w:color w:val="auto"/>
                <w:w w:val="97"/>
              </w:rPr>
              <w:t>31.1</w:t>
            </w:r>
          </w:p>
        </w:tc>
        <w:tc>
          <w:tcPr>
            <w:tcW w:w="9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1"/>
                <w:szCs w:val="21"/>
                <w:color w:val="0000FF"/>
                <w:w w:val="98"/>
              </w:rPr>
              <w:t>Certification of Chief Executive Officer under Section 302 of the Sarbanes-Oxley Act of 2002. Filed herewith.</w:t>
            </w:r>
          </w:p>
        </w:tc>
        <w:tc>
          <w:tcPr>
            <w:tcW w:w="600" w:type="dxa"/>
            <w:vAlign w:val="bottom"/>
          </w:tcPr>
          <w:p>
            <w:pPr>
              <w:spacing w:after="0"/>
              <w:rPr>
                <w:sz w:val="20"/>
                <w:szCs w:val="20"/>
                <w:color w:val="auto"/>
              </w:rPr>
            </w:pPr>
          </w:p>
        </w:tc>
      </w:tr>
      <w:tr>
        <w:trPr>
          <w:trHeight w:val="547"/>
        </w:trPr>
        <w:tc>
          <w:tcPr>
            <w:tcW w:w="1160" w:type="dxa"/>
            <w:vAlign w:val="bottom"/>
          </w:tcPr>
          <w:p>
            <w:pPr>
              <w:jc w:val="center"/>
              <w:ind w:right="297"/>
              <w:spacing w:after="0"/>
              <w:rPr>
                <w:sz w:val="20"/>
                <w:szCs w:val="20"/>
                <w:color w:val="auto"/>
              </w:rPr>
            </w:pPr>
            <w:r>
              <w:rPr>
                <w:rFonts w:ascii="Times New Roman" w:cs="Times New Roman" w:eastAsia="Times New Roman" w:hAnsi="Times New Roman"/>
                <w:sz w:val="21"/>
                <w:szCs w:val="21"/>
                <w:color w:val="auto"/>
                <w:w w:val="97"/>
              </w:rPr>
              <w:t>31.2</w:t>
            </w:r>
          </w:p>
        </w:tc>
        <w:tc>
          <w:tcPr>
            <w:tcW w:w="9760" w:type="dxa"/>
            <w:vAlign w:val="bottom"/>
            <w:gridSpan w:val="4"/>
          </w:tcPr>
          <w:p>
            <w:pPr>
              <w:spacing w:after="0"/>
              <w:rPr>
                <w:sz w:val="20"/>
                <w:szCs w:val="20"/>
                <w:color w:val="auto"/>
              </w:rPr>
            </w:pPr>
            <w:r>
              <w:rPr>
                <w:rFonts w:ascii="Times New Roman" w:cs="Times New Roman" w:eastAsia="Times New Roman" w:hAnsi="Times New Roman"/>
                <w:sz w:val="21"/>
                <w:szCs w:val="21"/>
                <w:color w:val="0000FF"/>
              </w:rPr>
              <w:t>Certification of Chief Financial Officer under Section 302 of the Sarbanes-Oxley Act of 2002. Filed herewith.</w:t>
            </w:r>
          </w:p>
        </w:tc>
      </w:tr>
      <w:tr>
        <w:trPr>
          <w:trHeight w:val="20"/>
        </w:trPr>
        <w:tc>
          <w:tcPr>
            <w:tcW w:w="116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734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547"/>
        </w:trPr>
        <w:tc>
          <w:tcPr>
            <w:tcW w:w="1160" w:type="dxa"/>
            <w:vAlign w:val="bottom"/>
          </w:tcPr>
          <w:p>
            <w:pPr>
              <w:jc w:val="center"/>
              <w:ind w:right="297"/>
              <w:spacing w:after="0"/>
              <w:rPr>
                <w:sz w:val="20"/>
                <w:szCs w:val="20"/>
                <w:color w:val="auto"/>
              </w:rPr>
            </w:pPr>
            <w:r>
              <w:rPr>
                <w:rFonts w:ascii="Times New Roman" w:cs="Times New Roman" w:eastAsia="Times New Roman" w:hAnsi="Times New Roman"/>
                <w:sz w:val="21"/>
                <w:szCs w:val="21"/>
                <w:color w:val="auto"/>
                <w:w w:val="97"/>
              </w:rPr>
              <w:t>32.1</w:t>
            </w:r>
          </w:p>
        </w:tc>
        <w:tc>
          <w:tcPr>
            <w:tcW w:w="9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1"/>
                <w:szCs w:val="21"/>
                <w:color w:val="0000FF"/>
                <w:w w:val="98"/>
              </w:rPr>
              <w:t>Certification of Chief Executive Officer under 18 U.S.C. §1350 pursuant to Section 906 of the Sarbanes-Oxley Act of</w:t>
            </w:r>
          </w:p>
        </w:tc>
      </w:tr>
      <w:tr>
        <w:trPr>
          <w:trHeight w:val="237"/>
        </w:trPr>
        <w:tc>
          <w:tcPr>
            <w:tcW w:w="1160" w:type="dxa"/>
            <w:vAlign w:val="bottom"/>
          </w:tcPr>
          <w:p>
            <w:pPr>
              <w:spacing w:after="0"/>
              <w:rPr>
                <w:sz w:val="20"/>
                <w:szCs w:val="20"/>
                <w:color w:val="auto"/>
              </w:rPr>
            </w:pPr>
          </w:p>
        </w:tc>
        <w:tc>
          <w:tcPr>
            <w:tcW w:w="9760" w:type="dxa"/>
            <w:vAlign w:val="bottom"/>
            <w:gridSpan w:val="4"/>
          </w:tcPr>
          <w:p>
            <w:pPr>
              <w:spacing w:after="0" w:line="237" w:lineRule="exact"/>
              <w:rPr>
                <w:sz w:val="20"/>
                <w:szCs w:val="20"/>
                <w:color w:val="auto"/>
              </w:rPr>
            </w:pPr>
            <w:r>
              <w:rPr>
                <w:rFonts w:ascii="Times New Roman" w:cs="Times New Roman" w:eastAsia="Times New Roman" w:hAnsi="Times New Roman"/>
                <w:sz w:val="21"/>
                <w:szCs w:val="21"/>
                <w:color w:val="0000FF"/>
              </w:rPr>
              <w:t>2002. Filed herewith.</w:t>
            </w:r>
          </w:p>
        </w:tc>
      </w:tr>
      <w:tr>
        <w:trPr>
          <w:trHeight w:val="20"/>
        </w:trPr>
        <w:tc>
          <w:tcPr>
            <w:tcW w:w="116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000" w:type="dxa"/>
            <w:vAlign w:val="bottom"/>
            <w:gridSpan w:val="3"/>
          </w:tcPr>
          <w:p>
            <w:pPr>
              <w:spacing w:after="0" w:line="20" w:lineRule="exact"/>
              <w:rPr>
                <w:sz w:val="1"/>
                <w:szCs w:val="1"/>
                <w:color w:val="auto"/>
              </w:rPr>
            </w:pPr>
          </w:p>
        </w:tc>
      </w:tr>
      <w:tr>
        <w:trPr>
          <w:trHeight w:val="547"/>
        </w:trPr>
        <w:tc>
          <w:tcPr>
            <w:tcW w:w="1160" w:type="dxa"/>
            <w:vAlign w:val="bottom"/>
          </w:tcPr>
          <w:p>
            <w:pPr>
              <w:jc w:val="center"/>
              <w:ind w:right="297"/>
              <w:spacing w:after="0"/>
              <w:rPr>
                <w:sz w:val="20"/>
                <w:szCs w:val="20"/>
                <w:color w:val="auto"/>
              </w:rPr>
            </w:pPr>
            <w:r>
              <w:rPr>
                <w:rFonts w:ascii="Times New Roman" w:cs="Times New Roman" w:eastAsia="Times New Roman" w:hAnsi="Times New Roman"/>
                <w:sz w:val="21"/>
                <w:szCs w:val="21"/>
                <w:color w:val="auto"/>
                <w:w w:val="97"/>
              </w:rPr>
              <w:t>32.2</w:t>
            </w:r>
          </w:p>
        </w:tc>
        <w:tc>
          <w:tcPr>
            <w:tcW w:w="9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1"/>
                <w:szCs w:val="21"/>
                <w:color w:val="0000FF"/>
                <w:w w:val="98"/>
              </w:rPr>
              <w:t>Certification of Chief Financial Officer under 18 U.S.C. §1350 pursuant to Section 906 of the Sarbanes-Oxley Act of</w:t>
            </w:r>
          </w:p>
        </w:tc>
      </w:tr>
      <w:tr>
        <w:trPr>
          <w:trHeight w:val="236"/>
        </w:trPr>
        <w:tc>
          <w:tcPr>
            <w:tcW w:w="1160" w:type="dxa"/>
            <w:vAlign w:val="bottom"/>
          </w:tcPr>
          <w:p>
            <w:pPr>
              <w:spacing w:after="0"/>
              <w:rPr>
                <w:sz w:val="20"/>
                <w:szCs w:val="20"/>
                <w:color w:val="auto"/>
              </w:rPr>
            </w:pPr>
          </w:p>
        </w:tc>
        <w:tc>
          <w:tcPr>
            <w:tcW w:w="9760" w:type="dxa"/>
            <w:vAlign w:val="bottom"/>
            <w:gridSpan w:val="4"/>
          </w:tcPr>
          <w:p>
            <w:pPr>
              <w:spacing w:after="0" w:line="237" w:lineRule="exact"/>
              <w:rPr>
                <w:sz w:val="20"/>
                <w:szCs w:val="20"/>
                <w:color w:val="auto"/>
              </w:rPr>
            </w:pPr>
            <w:r>
              <w:rPr>
                <w:rFonts w:ascii="Times New Roman" w:cs="Times New Roman" w:eastAsia="Times New Roman" w:hAnsi="Times New Roman"/>
                <w:sz w:val="21"/>
                <w:szCs w:val="21"/>
                <w:color w:val="0000FF"/>
              </w:rPr>
              <w:t>2002. Filed herewith.</w:t>
            </w:r>
          </w:p>
        </w:tc>
      </w:tr>
      <w:tr>
        <w:trPr>
          <w:trHeight w:val="20"/>
        </w:trPr>
        <w:tc>
          <w:tcPr>
            <w:tcW w:w="116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000" w:type="dxa"/>
            <w:vAlign w:val="bottom"/>
            <w:gridSpan w:val="3"/>
          </w:tcPr>
          <w:p>
            <w:pPr>
              <w:spacing w:after="0" w:line="20" w:lineRule="exact"/>
              <w:rPr>
                <w:sz w:val="1"/>
                <w:szCs w:val="1"/>
                <w:color w:val="auto"/>
              </w:rPr>
            </w:pPr>
          </w:p>
        </w:tc>
      </w:tr>
      <w:tr>
        <w:trPr>
          <w:trHeight w:val="596"/>
        </w:trPr>
        <w:tc>
          <w:tcPr>
            <w:tcW w:w="1160" w:type="dxa"/>
            <w:vAlign w:val="bottom"/>
          </w:tcPr>
          <w:p>
            <w:pPr>
              <w:jc w:val="center"/>
              <w:ind w:right="277"/>
              <w:spacing w:after="0"/>
              <w:rPr>
                <w:sz w:val="20"/>
                <w:szCs w:val="20"/>
                <w:color w:val="auto"/>
              </w:rPr>
            </w:pPr>
            <w:r>
              <w:rPr>
                <w:rFonts w:ascii="Times New Roman" w:cs="Times New Roman" w:eastAsia="Times New Roman" w:hAnsi="Times New Roman"/>
                <w:sz w:val="21"/>
                <w:szCs w:val="21"/>
                <w:color w:val="auto"/>
                <w:w w:val="99"/>
              </w:rPr>
              <w:t>101.INS</w:t>
            </w:r>
          </w:p>
        </w:tc>
        <w:tc>
          <w:tcPr>
            <w:tcW w:w="97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Inline XBRL Instance Document. Filed herewith.</w:t>
            </w:r>
          </w:p>
        </w:tc>
      </w:tr>
      <w:tr>
        <w:trPr>
          <w:trHeight w:val="567"/>
        </w:trPr>
        <w:tc>
          <w:tcPr>
            <w:tcW w:w="1160" w:type="dxa"/>
            <w:vAlign w:val="bottom"/>
          </w:tcPr>
          <w:p>
            <w:pPr>
              <w:jc w:val="center"/>
              <w:ind w:right="297"/>
              <w:spacing w:after="0"/>
              <w:rPr>
                <w:sz w:val="20"/>
                <w:szCs w:val="20"/>
                <w:color w:val="auto"/>
              </w:rPr>
            </w:pPr>
            <w:r>
              <w:rPr>
                <w:rFonts w:ascii="Times New Roman" w:cs="Times New Roman" w:eastAsia="Times New Roman" w:hAnsi="Times New Roman"/>
                <w:sz w:val="21"/>
                <w:szCs w:val="21"/>
                <w:color w:val="auto"/>
                <w:w w:val="97"/>
              </w:rPr>
              <w:t>101.SCH</w:t>
            </w:r>
          </w:p>
        </w:tc>
        <w:tc>
          <w:tcPr>
            <w:tcW w:w="97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Inline XBRL Taxonomy Extension Schema With Embedded Linkbase Documents. Filed herewith.</w:t>
            </w:r>
          </w:p>
        </w:tc>
      </w:tr>
    </w:tbl>
    <w:p>
      <w:pPr>
        <w:spacing w:after="0" w:line="297" w:lineRule="exact"/>
        <w:rPr>
          <w:sz w:val="20"/>
          <w:szCs w:val="20"/>
          <w:color w:val="auto"/>
        </w:rPr>
      </w:pPr>
    </w:p>
    <w:p>
      <w:pPr>
        <w:ind w:left="1460" w:right="20" w:hanging="932"/>
        <w:spacing w:after="0" w:line="283" w:lineRule="auto"/>
        <w:tabs>
          <w:tab w:leader="none" w:pos="146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cover page from M&amp;T's Quarterly Report on Form 10-Q for the quarter ended March 31, 2026 has been formatted in Inline XBRL.</w:t>
      </w:r>
    </w:p>
    <w:p>
      <w:pPr>
        <w:spacing w:after="0" w:line="376"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21"/>
          <w:szCs w:val="21"/>
          <w:color w:val="auto"/>
        </w:rPr>
        <w:t>Signatures</w:t>
      </w:r>
    </w:p>
    <w:p>
      <w:pPr>
        <w:spacing w:after="0" w:line="21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M&amp;T BANK CORPORATION</w:t>
      </w:r>
    </w:p>
    <w:p>
      <w:pPr>
        <w:spacing w:after="0" w:line="322" w:lineRule="exact"/>
        <w:rPr>
          <w:sz w:val="20"/>
          <w:szCs w:val="20"/>
          <w:color w:val="auto"/>
        </w:rPr>
      </w:pPr>
    </w:p>
    <w:p>
      <w:pPr>
        <w:ind w:left="20"/>
        <w:spacing w:after="0"/>
        <w:tabs>
          <w:tab w:leader="none" w:pos="5520" w:val="left"/>
          <w:tab w:leader="none" w:pos="6440" w:val="left"/>
        </w:tabs>
        <w:rPr>
          <w:sz w:val="20"/>
          <w:szCs w:val="20"/>
          <w:color w:val="auto"/>
        </w:rPr>
      </w:pPr>
      <w:r>
        <w:rPr>
          <w:rFonts w:ascii="Times New Roman" w:cs="Times New Roman" w:eastAsia="Times New Roman" w:hAnsi="Times New Roman"/>
          <w:sz w:val="20"/>
          <w:szCs w:val="20"/>
          <w:color w:val="auto"/>
        </w:rPr>
        <w:t>Date: May 5,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Daryl N. Bible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40005</wp:posOffset>
            </wp:positionV>
            <wp:extent cx="244284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6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0"/>
          <w:szCs w:val="20"/>
          <w:color w:val="auto"/>
        </w:rPr>
        <w:t>Daryl N. Bible</w:t>
      </w:r>
    </w:p>
    <w:p>
      <w:pPr>
        <w:spacing w:after="0" w:line="6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0"/>
          <w:szCs w:val="20"/>
          <w:color w:val="auto"/>
        </w:rPr>
        <w:t>Senior Executive Vice President</w:t>
      </w:r>
    </w:p>
    <w:p>
      <w:pPr>
        <w:spacing w:after="0" w:line="28"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0"/>
          <w:szCs w:val="20"/>
          <w:color w:val="auto"/>
        </w:rPr>
        <w:t>and Chief Financial Officer</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- 84 -</w:t>
      </w:r>
    </w:p>
    <w:p>
      <w:pPr>
        <w:sectPr>
          <w:pgSz w:w="11900" w:h="16838" w:orient="portrait"/>
          <w:cols w:equalWidth="0" w:num="1">
            <w:col w:w="11240"/>
          </w:cols>
          <w:pgMar w:left="320" w:top="1092" w:right="339" w:bottom="1440" w:gutter="0" w:footer="0" w:header="0"/>
        </w:sectPr>
      </w:pPr>
    </w:p>
    <w:bookmarkStart w:id="84" w:name="page85"/>
    <w:bookmarkEnd w:id="84"/>
    <w:p>
      <w:pPr>
        <w:ind w:left="10000"/>
        <w:spacing w:after="0"/>
        <w:rPr>
          <w:sz w:val="20"/>
          <w:szCs w:val="20"/>
          <w:color w:val="auto"/>
        </w:rPr>
      </w:pPr>
      <w:r>
        <w:rPr>
          <w:rFonts w:ascii="Times New Roman" w:cs="Times New Roman" w:eastAsia="Times New Roman" w:hAnsi="Times New Roman"/>
          <w:sz w:val="20"/>
          <w:szCs w:val="20"/>
          <w:color w:val="auto"/>
        </w:rPr>
        <w:t>EXHIBIT 31.1</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René F. Jones, certify that:</w:t>
      </w:r>
    </w:p>
    <w:p>
      <w:pPr>
        <w:spacing w:after="0" w:line="110" w:lineRule="exact"/>
        <w:rPr>
          <w:sz w:val="20"/>
          <w:szCs w:val="20"/>
          <w:color w:val="auto"/>
        </w:rPr>
      </w:pPr>
    </w:p>
    <w:p>
      <w:pPr>
        <w:ind w:left="640" w:hanging="632"/>
        <w:spacing w:after="0"/>
        <w:tabs>
          <w:tab w:leader="none" w:pos="64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M&amp;T Bank Corporation;</w:t>
      </w:r>
    </w:p>
    <w:p>
      <w:pPr>
        <w:spacing w:after="0" w:line="123" w:lineRule="exact"/>
        <w:rPr>
          <w:rFonts w:ascii="Times New Roman" w:cs="Times New Roman" w:eastAsia="Times New Roman" w:hAnsi="Times New Roman"/>
          <w:sz w:val="21"/>
          <w:szCs w:val="21"/>
          <w:color w:val="auto"/>
        </w:rPr>
      </w:pPr>
    </w:p>
    <w:p>
      <w:pPr>
        <w:jc w:val="both"/>
        <w:ind w:left="660" w:hanging="652"/>
        <w:spacing w:after="0" w:line="255" w:lineRule="auto"/>
        <w:tabs>
          <w:tab w:leader="none" w:pos="653"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Times New Roman" w:cs="Times New Roman" w:eastAsia="Times New Roman" w:hAnsi="Times New Roman"/>
          <w:sz w:val="21"/>
          <w:szCs w:val="21"/>
          <w:color w:val="auto"/>
        </w:rPr>
      </w:pPr>
    </w:p>
    <w:p>
      <w:pPr>
        <w:jc w:val="both"/>
        <w:ind w:left="660" w:hanging="652"/>
        <w:spacing w:after="0" w:line="262" w:lineRule="auto"/>
        <w:tabs>
          <w:tab w:leader="none" w:pos="653"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Times New Roman" w:cs="Times New Roman" w:eastAsia="Times New Roman" w:hAnsi="Times New Roman"/>
          <w:sz w:val="21"/>
          <w:szCs w:val="21"/>
          <w:color w:val="auto"/>
        </w:rPr>
      </w:pPr>
    </w:p>
    <w:p>
      <w:pPr>
        <w:jc w:val="both"/>
        <w:ind w:left="660" w:hanging="652"/>
        <w:spacing w:after="0" w:line="262" w:lineRule="auto"/>
        <w:tabs>
          <w:tab w:leader="none" w:pos="653"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Times New Roman" w:cs="Times New Roman" w:eastAsia="Times New Roman" w:hAnsi="Times New Roman"/>
          <w:sz w:val="21"/>
          <w:szCs w:val="21"/>
          <w:color w:val="auto"/>
        </w:rPr>
      </w:pPr>
    </w:p>
    <w:p>
      <w:pPr>
        <w:jc w:val="both"/>
        <w:ind w:left="1300" w:hanging="644"/>
        <w:spacing w:after="0" w:line="255" w:lineRule="auto"/>
        <w:tabs>
          <w:tab w:leader="none" w:pos="1299"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Times New Roman" w:cs="Times New Roman" w:eastAsia="Times New Roman" w:hAnsi="Times New Roman"/>
          <w:sz w:val="21"/>
          <w:szCs w:val="21"/>
          <w:color w:val="auto"/>
        </w:rPr>
      </w:pPr>
    </w:p>
    <w:p>
      <w:pPr>
        <w:jc w:val="both"/>
        <w:ind w:left="1300" w:hanging="644"/>
        <w:spacing w:after="0" w:line="274" w:lineRule="auto"/>
        <w:tabs>
          <w:tab w:leader="none" w:pos="1297"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20"/>
          <w:szCs w:val="20"/>
          <w:color w:val="auto"/>
        </w:rPr>
      </w:pPr>
    </w:p>
    <w:p>
      <w:pPr>
        <w:jc w:val="both"/>
        <w:ind w:left="1300" w:hanging="644"/>
        <w:spacing w:after="0" w:line="262" w:lineRule="auto"/>
        <w:tabs>
          <w:tab w:leader="none" w:pos="1299"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Times New Roman" w:cs="Times New Roman" w:eastAsia="Times New Roman" w:hAnsi="Times New Roman"/>
          <w:sz w:val="21"/>
          <w:szCs w:val="21"/>
          <w:color w:val="auto"/>
        </w:rPr>
      </w:pPr>
    </w:p>
    <w:p>
      <w:pPr>
        <w:jc w:val="both"/>
        <w:ind w:left="1300" w:right="20" w:hanging="644"/>
        <w:spacing w:after="0" w:line="281" w:lineRule="auto"/>
        <w:tabs>
          <w:tab w:leader="none" w:pos="1297"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2" w:lineRule="exact"/>
        <w:rPr>
          <w:rFonts w:ascii="Times New Roman" w:cs="Times New Roman" w:eastAsia="Times New Roman" w:hAnsi="Times New Roman"/>
          <w:sz w:val="20"/>
          <w:szCs w:val="20"/>
          <w:color w:val="auto"/>
        </w:rPr>
      </w:pPr>
    </w:p>
    <w:p>
      <w:pPr>
        <w:jc w:val="both"/>
        <w:ind w:left="660" w:hanging="652"/>
        <w:spacing w:after="0" w:line="26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299"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21"/>
          <w:szCs w:val="21"/>
          <w:color w:val="auto"/>
        </w:rPr>
      </w:pPr>
    </w:p>
    <w:p>
      <w:pPr>
        <w:ind w:left="1300" w:right="20" w:hanging="644"/>
        <w:spacing w:after="0" w:line="270" w:lineRule="auto"/>
        <w:tabs>
          <w:tab w:leader="none" w:pos="1297"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May 5, 2026</w:t>
      </w:r>
    </w:p>
    <w:p>
      <w:pPr>
        <w:spacing w:after="0" w:line="200" w:lineRule="exact"/>
        <w:rPr>
          <w:sz w:val="20"/>
          <w:szCs w:val="20"/>
          <w:color w:val="auto"/>
        </w:rPr>
      </w:pPr>
    </w:p>
    <w:p>
      <w:pPr>
        <w:spacing w:after="0" w:line="30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21590</wp:posOffset>
            </wp:positionV>
            <wp:extent cx="185166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René F. Jones</w:t>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Chairman of the Board and</w:t>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Chief Executive Officer</w:t>
      </w:r>
    </w:p>
    <w:p>
      <w:pPr>
        <w:sectPr>
          <w:pgSz w:w="11900" w:h="16838" w:orient="portrait"/>
          <w:cols w:equalWidth="0" w:num="1">
            <w:col w:w="11240"/>
          </w:cols>
          <w:pgMar w:left="320" w:top="768" w:right="339" w:bottom="1440" w:gutter="0" w:footer="0" w:header="0"/>
        </w:sectPr>
      </w:pPr>
    </w:p>
    <w:bookmarkStart w:id="85" w:name="page86"/>
    <w:bookmarkEnd w:id="85"/>
    <w:p>
      <w:pPr>
        <w:ind w:left="10000"/>
        <w:spacing w:after="0"/>
        <w:rPr>
          <w:sz w:val="20"/>
          <w:szCs w:val="20"/>
          <w:color w:val="auto"/>
        </w:rPr>
      </w:pPr>
      <w:r>
        <w:rPr>
          <w:rFonts w:ascii="Times New Roman" w:cs="Times New Roman" w:eastAsia="Times New Roman" w:hAnsi="Times New Roman"/>
          <w:sz w:val="20"/>
          <w:szCs w:val="20"/>
          <w:color w:val="auto"/>
        </w:rPr>
        <w:t>EXHIBIT 31.2</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Daryl N. Bible, certify that:</w:t>
      </w:r>
    </w:p>
    <w:p>
      <w:pPr>
        <w:spacing w:after="0" w:line="110" w:lineRule="exact"/>
        <w:rPr>
          <w:sz w:val="20"/>
          <w:szCs w:val="20"/>
          <w:color w:val="auto"/>
        </w:rPr>
      </w:pPr>
    </w:p>
    <w:p>
      <w:pPr>
        <w:ind w:left="640" w:hanging="632"/>
        <w:spacing w:after="0"/>
        <w:tabs>
          <w:tab w:leader="none" w:pos="64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M&amp;T Bank Corporation;</w:t>
      </w:r>
    </w:p>
    <w:p>
      <w:pPr>
        <w:spacing w:after="0" w:line="123" w:lineRule="exact"/>
        <w:rPr>
          <w:rFonts w:ascii="Times New Roman" w:cs="Times New Roman" w:eastAsia="Times New Roman" w:hAnsi="Times New Roman"/>
          <w:sz w:val="21"/>
          <w:szCs w:val="21"/>
          <w:color w:val="auto"/>
        </w:rPr>
      </w:pPr>
    </w:p>
    <w:p>
      <w:pPr>
        <w:jc w:val="both"/>
        <w:ind w:left="660" w:hanging="652"/>
        <w:spacing w:after="0" w:line="255" w:lineRule="auto"/>
        <w:tabs>
          <w:tab w:leader="none" w:pos="653"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Times New Roman" w:cs="Times New Roman" w:eastAsia="Times New Roman" w:hAnsi="Times New Roman"/>
          <w:sz w:val="21"/>
          <w:szCs w:val="21"/>
          <w:color w:val="auto"/>
        </w:rPr>
      </w:pPr>
    </w:p>
    <w:p>
      <w:pPr>
        <w:jc w:val="both"/>
        <w:ind w:left="660" w:hanging="652"/>
        <w:spacing w:after="0" w:line="262" w:lineRule="auto"/>
        <w:tabs>
          <w:tab w:leader="none" w:pos="653"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Times New Roman" w:cs="Times New Roman" w:eastAsia="Times New Roman" w:hAnsi="Times New Roman"/>
          <w:sz w:val="21"/>
          <w:szCs w:val="21"/>
          <w:color w:val="auto"/>
        </w:rPr>
      </w:pPr>
    </w:p>
    <w:p>
      <w:pPr>
        <w:jc w:val="both"/>
        <w:ind w:left="660" w:hanging="652"/>
        <w:spacing w:after="0" w:line="262" w:lineRule="auto"/>
        <w:tabs>
          <w:tab w:leader="none" w:pos="653"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Times New Roman" w:cs="Times New Roman" w:eastAsia="Times New Roman" w:hAnsi="Times New Roman"/>
          <w:sz w:val="21"/>
          <w:szCs w:val="21"/>
          <w:color w:val="auto"/>
        </w:rPr>
      </w:pPr>
    </w:p>
    <w:p>
      <w:pPr>
        <w:jc w:val="both"/>
        <w:ind w:left="1300" w:hanging="644"/>
        <w:spacing w:after="0" w:line="255" w:lineRule="auto"/>
        <w:tabs>
          <w:tab w:leader="none" w:pos="1299"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Times New Roman" w:cs="Times New Roman" w:eastAsia="Times New Roman" w:hAnsi="Times New Roman"/>
          <w:sz w:val="21"/>
          <w:szCs w:val="21"/>
          <w:color w:val="auto"/>
        </w:rPr>
      </w:pPr>
    </w:p>
    <w:p>
      <w:pPr>
        <w:jc w:val="both"/>
        <w:ind w:left="1300" w:hanging="644"/>
        <w:spacing w:after="0" w:line="274" w:lineRule="auto"/>
        <w:tabs>
          <w:tab w:leader="none" w:pos="1297"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20"/>
          <w:szCs w:val="20"/>
          <w:color w:val="auto"/>
        </w:rPr>
      </w:pPr>
    </w:p>
    <w:p>
      <w:pPr>
        <w:jc w:val="both"/>
        <w:ind w:left="1300" w:hanging="644"/>
        <w:spacing w:after="0" w:line="262" w:lineRule="auto"/>
        <w:tabs>
          <w:tab w:leader="none" w:pos="1299"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Times New Roman" w:cs="Times New Roman" w:eastAsia="Times New Roman" w:hAnsi="Times New Roman"/>
          <w:sz w:val="21"/>
          <w:szCs w:val="21"/>
          <w:color w:val="auto"/>
        </w:rPr>
      </w:pPr>
    </w:p>
    <w:p>
      <w:pPr>
        <w:jc w:val="both"/>
        <w:ind w:left="1300" w:right="20" w:hanging="644"/>
        <w:spacing w:after="0" w:line="281" w:lineRule="auto"/>
        <w:tabs>
          <w:tab w:leader="none" w:pos="1297"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2" w:lineRule="exact"/>
        <w:rPr>
          <w:rFonts w:ascii="Times New Roman" w:cs="Times New Roman" w:eastAsia="Times New Roman" w:hAnsi="Times New Roman"/>
          <w:sz w:val="20"/>
          <w:szCs w:val="20"/>
          <w:color w:val="auto"/>
        </w:rPr>
      </w:pPr>
    </w:p>
    <w:p>
      <w:pPr>
        <w:jc w:val="both"/>
        <w:ind w:left="660" w:hanging="652"/>
        <w:spacing w:after="0" w:line="262" w:lineRule="auto"/>
        <w:tabs>
          <w:tab w:leader="none" w:pos="653"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Times New Roman" w:cs="Times New Roman" w:eastAsia="Times New Roman" w:hAnsi="Times New Roman"/>
          <w:sz w:val="21"/>
          <w:szCs w:val="21"/>
          <w:color w:val="auto"/>
        </w:rPr>
      </w:pPr>
    </w:p>
    <w:p>
      <w:pPr>
        <w:jc w:val="both"/>
        <w:ind w:left="1300" w:hanging="644"/>
        <w:spacing w:after="0" w:line="262" w:lineRule="auto"/>
        <w:tabs>
          <w:tab w:leader="none" w:pos="1299"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21"/>
          <w:szCs w:val="21"/>
          <w:color w:val="auto"/>
        </w:rPr>
      </w:pPr>
    </w:p>
    <w:p>
      <w:pPr>
        <w:ind w:left="1300" w:right="20" w:hanging="644"/>
        <w:spacing w:after="0" w:line="270" w:lineRule="auto"/>
        <w:tabs>
          <w:tab w:leader="none" w:pos="1297"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May 5, 2026</w:t>
      </w: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Daryl N. Bible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13335</wp:posOffset>
            </wp:positionV>
            <wp:extent cx="21088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Daryl N. Bible</w:t>
      </w:r>
    </w:p>
    <w:p>
      <w:pPr>
        <w:spacing w:after="0" w:line="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Senior Executive Vice President</w:t>
      </w:r>
    </w:p>
    <w:p>
      <w:pPr>
        <w:spacing w:after="0" w:line="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and Chief Financial Officer</w:t>
      </w:r>
    </w:p>
    <w:p>
      <w:pPr>
        <w:sectPr>
          <w:pgSz w:w="11900" w:h="16838" w:orient="portrait"/>
          <w:cols w:equalWidth="0" w:num="1">
            <w:col w:w="11240"/>
          </w:cols>
          <w:pgMar w:left="320" w:top="768"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1"/>
          <w:szCs w:val="21"/>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 OF CHIEF EXECUTIVE OFFICER UNDER 18 U.S.C. §1350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René F. Jones, Chairman of the Board and Chief Executive Officer of M&amp;T Bank Corporation, certify, pursuant to Section 906 of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Sarbanes-Oxley Act of 2002, 18 U.S.C. Section 1350, that:</w:t>
      </w:r>
    </w:p>
    <w:p>
      <w:pPr>
        <w:spacing w:after="0" w:line="177" w:lineRule="exact"/>
        <w:rPr>
          <w:sz w:val="20"/>
          <w:szCs w:val="20"/>
          <w:color w:val="auto"/>
        </w:rPr>
      </w:pPr>
    </w:p>
    <w:p>
      <w:pPr>
        <w:jc w:val="both"/>
        <w:ind w:left="1460" w:right="1500" w:hanging="804"/>
        <w:spacing w:after="0" w:line="255" w:lineRule="auto"/>
        <w:tabs>
          <w:tab w:leader="none" w:pos="145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Quarterly Report on Form 10-Q of M&amp;T Bank Corporation for the quarterly period ended March 31, 2026 (the "Report") fully complies with the requirements of Section 13(a) or 15(d) of the Securities Exchange Act of 1934 (15 U.S.C. 78m or 78o(d)); and</w:t>
      </w:r>
    </w:p>
    <w:p>
      <w:pPr>
        <w:spacing w:after="0" w:line="148" w:lineRule="exact"/>
        <w:rPr>
          <w:rFonts w:ascii="Times New Roman" w:cs="Times New Roman" w:eastAsia="Times New Roman" w:hAnsi="Times New Roman"/>
          <w:sz w:val="21"/>
          <w:szCs w:val="21"/>
          <w:color w:val="auto"/>
        </w:rPr>
      </w:pPr>
    </w:p>
    <w:p>
      <w:pPr>
        <w:ind w:left="1460" w:right="1500" w:hanging="804"/>
        <w:spacing w:after="0" w:line="270" w:lineRule="auto"/>
        <w:tabs>
          <w:tab w:leader="none" w:pos="145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M&amp;T Bank Corporation.</w:t>
      </w:r>
    </w:p>
    <w:p>
      <w:pPr>
        <w:spacing w:after="0" w:line="30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7830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René F. Jones</w:t>
      </w:r>
    </w:p>
    <w:p>
      <w:pPr>
        <w:spacing w:after="0" w:line="3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May 5, 2026</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240"/>
          </w:cols>
          <w:pgMar w:left="320" w:top="930"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1"/>
          <w:szCs w:val="21"/>
          <w:color w:val="auto"/>
        </w:rPr>
        <w:t>EXHIBIT 32.2</w:t>
      </w:r>
    </w:p>
    <w:p>
      <w:pPr>
        <w:spacing w:after="0" w:line="19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color w:val="auto"/>
        </w:rPr>
        <w:t>CERTIFICATION OF CHIEF FINANCIAL OFFICER UNDER 18 U.S.C. §1350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Daryl N. Bible, Senior Executive Vice President and Chief Financial Officer of M&amp;T Bank Corporation, certify, pursuant to Section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906 of the Sarbanes-Oxley Act of 2002, 18 U.S.C. Section 1350, that:</w:t>
      </w:r>
    </w:p>
    <w:p>
      <w:pPr>
        <w:spacing w:after="0" w:line="177" w:lineRule="exact"/>
        <w:rPr>
          <w:sz w:val="20"/>
          <w:szCs w:val="20"/>
          <w:color w:val="auto"/>
        </w:rPr>
      </w:pPr>
    </w:p>
    <w:p>
      <w:pPr>
        <w:jc w:val="both"/>
        <w:ind w:left="1460" w:right="1500" w:hanging="804"/>
        <w:spacing w:after="0" w:line="255" w:lineRule="auto"/>
        <w:tabs>
          <w:tab w:leader="none" w:pos="145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Quarterly Report on Form 10-Q of M&amp;T Bank Corporation for the quarterly period ended March 31, 2026 (the "Report") fully complies with the requirements of Section 13(a) or 15(d) of the Securities Exchange Act of 1934 (15 U.S.C. 78m or 78o(d)); and</w:t>
      </w:r>
    </w:p>
    <w:p>
      <w:pPr>
        <w:spacing w:after="0" w:line="148" w:lineRule="exact"/>
        <w:rPr>
          <w:rFonts w:ascii="Times New Roman" w:cs="Times New Roman" w:eastAsia="Times New Roman" w:hAnsi="Times New Roman"/>
          <w:sz w:val="18"/>
          <w:szCs w:val="18"/>
          <w:color w:val="auto"/>
        </w:rPr>
      </w:pPr>
    </w:p>
    <w:p>
      <w:pPr>
        <w:ind w:left="1460" w:right="1500" w:hanging="804"/>
        <w:spacing w:after="0" w:line="270" w:lineRule="auto"/>
        <w:tabs>
          <w:tab w:leader="none" w:pos="145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M&amp;T Bank Corporation.</w:t>
      </w:r>
    </w:p>
    <w:p>
      <w:pPr>
        <w:spacing w:after="0" w:line="30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/s/ Daryl N. Bible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7830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Daryl N. Bible</w:t>
      </w:r>
    </w:p>
    <w:p>
      <w:pPr>
        <w:spacing w:after="0" w:line="3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May 5, 2026</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240"/>
      </w:cols>
      <w:pgMar w:left="320" w:top="9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CEAF087"/>
    <w:multiLevelType w:val="hybridMultilevel"/>
    <w:lvl w:ilvl="0">
      <w:lvlJc w:val="left"/>
      <w:lvlText w:val="(%1)"/>
      <w:numFmt w:val="lowerLetter"/>
      <w:start w:val="1"/>
    </w:lvl>
  </w:abstractNum>
  <w:abstractNum w:abstractNumId="1">
    <w:nsid w:val="22221A70"/>
    <w:multiLevelType w:val="hybridMultilevel"/>
    <w:lvl w:ilvl="0">
      <w:lvlJc w:val="left"/>
      <w:lvlText w:val="(%1)"/>
      <w:numFmt w:val="lowerLetter"/>
      <w:start w:val="1"/>
    </w:lvl>
  </w:abstractNum>
  <w:abstractNum w:abstractNumId="2">
    <w:nsid w:val="4516DDE9"/>
    <w:multiLevelType w:val="hybridMultilevel"/>
    <w:lvl w:ilvl="0">
      <w:lvlJc w:val="left"/>
      <w:lvlText w:val="(%1)"/>
      <w:numFmt w:val="lowerLetter"/>
      <w:start w:val="1"/>
    </w:lvl>
  </w:abstractNum>
  <w:abstractNum w:abstractNumId="3">
    <w:nsid w:val="3006C83E"/>
    <w:multiLevelType w:val="hybridMultilevel"/>
    <w:lvl w:ilvl="0">
      <w:lvlJc w:val="left"/>
      <w:lvlText w:val="(%1)"/>
      <w:numFmt w:val="lowerLetter"/>
      <w:start w:val="1"/>
    </w:lvl>
  </w:abstractNum>
  <w:abstractNum w:abstractNumId="4">
    <w:nsid w:val="614FD4A1"/>
    <w:multiLevelType w:val="hybridMultilevel"/>
    <w:lvl w:ilvl="0">
      <w:lvlJc w:val="left"/>
      <w:lvlText w:val="(%1)"/>
      <w:numFmt w:val="lowerLetter"/>
      <w:start w:val="1"/>
    </w:lvl>
    <w:lvl w:ilvl="1">
      <w:lvlJc w:val="left"/>
      <w:lvlText w:val="-"/>
      <w:numFmt w:val="bullet"/>
      <w:start w:val="1"/>
    </w:lvl>
  </w:abstractNum>
  <w:abstractNum w:abstractNumId="5">
    <w:nsid w:val="419AC241"/>
    <w:multiLevelType w:val="hybridMultilevel"/>
    <w:lvl w:ilvl="0">
      <w:lvlJc w:val="left"/>
      <w:lvlText w:val="(%1)"/>
      <w:numFmt w:val="lowerLetter"/>
      <w:start w:val="1"/>
    </w:lvl>
  </w:abstractNum>
  <w:abstractNum w:abstractNumId="6">
    <w:nsid w:val="5577F8E1"/>
    <w:multiLevelType w:val="hybridMultilevel"/>
    <w:lvl w:ilvl="0">
      <w:lvlJc w:val="left"/>
      <w:lvlText w:val="(%1)"/>
      <w:numFmt w:val="lowerLetter"/>
      <w:start w:val="1"/>
    </w:lvl>
    <w:lvl w:ilvl="1">
      <w:lvlJc w:val="left"/>
      <w:lvlText w:val="-"/>
      <w:numFmt w:val="bullet"/>
      <w:start w:val="1"/>
    </w:lvl>
  </w:abstractNum>
  <w:abstractNum w:abstractNumId="7">
    <w:nsid w:val="440BADFC"/>
    <w:multiLevelType w:val="hybridMultilevel"/>
    <w:lvl w:ilvl="0">
      <w:lvlJc w:val="left"/>
      <w:lvlText w:val="(%1)"/>
      <w:numFmt w:val="lowerLetter"/>
      <w:start w:val="1"/>
    </w:lvl>
  </w:abstractNum>
  <w:abstractNum w:abstractNumId="8">
    <w:nsid w:val="5072367"/>
    <w:multiLevelType w:val="hybridMultilevel"/>
    <w:lvl w:ilvl="0">
      <w:lvlJc w:val="left"/>
      <w:lvlText w:val="(%1)"/>
      <w:numFmt w:val="lowerLetter"/>
      <w:start w:val="1"/>
    </w:lvl>
  </w:abstractNum>
  <w:abstractNum w:abstractNumId="9">
    <w:nsid w:val="3804823E"/>
    <w:multiLevelType w:val="hybridMultilevel"/>
    <w:lvl w:ilvl="0">
      <w:lvlJc w:val="left"/>
      <w:lvlText w:val="(%1)"/>
      <w:numFmt w:val="lowerLetter"/>
      <w:start w:val="1"/>
    </w:lvl>
  </w:abstractNum>
  <w:abstractNum w:abstractNumId="10">
    <w:nsid w:val="77465F01"/>
    <w:multiLevelType w:val="hybridMultilevel"/>
    <w:lvl w:ilvl="0">
      <w:lvlJc w:val="left"/>
      <w:lvlText w:val="(%1)"/>
      <w:numFmt w:val="lowerLetter"/>
      <w:start w:val="1"/>
    </w:lvl>
  </w:abstractNum>
  <w:abstractNum w:abstractNumId="11">
    <w:nsid w:val="7724C67E"/>
    <w:multiLevelType w:val="hybridMultilevel"/>
    <w:lvl w:ilvl="0">
      <w:lvlJc w:val="left"/>
      <w:lvlText w:val="(%1)"/>
      <w:numFmt w:val="lowerLetter"/>
      <w:start w:val="1"/>
    </w:lvl>
  </w:abstractNum>
  <w:abstractNum w:abstractNumId="12">
    <w:nsid w:val="5C482A97"/>
    <w:multiLevelType w:val="hybridMultilevel"/>
    <w:lvl w:ilvl="0">
      <w:lvlJc w:val="left"/>
      <w:lvlText w:val="(%1)"/>
      <w:numFmt w:val="lowerLetter"/>
      <w:start w:val="1"/>
    </w:lvl>
  </w:abstractNum>
  <w:abstractNum w:abstractNumId="13">
    <w:nsid w:val="2463B9EA"/>
    <w:multiLevelType w:val="hybridMultilevel"/>
    <w:lvl w:ilvl="0">
      <w:lvlJc w:val="left"/>
      <w:lvlText w:val="(%1)"/>
      <w:numFmt w:val="lowerLetter"/>
      <w:start w:val="1"/>
    </w:lvl>
  </w:abstractNum>
  <w:abstractNum w:abstractNumId="14">
    <w:nsid w:val="5E884ADC"/>
    <w:multiLevelType w:val="hybridMultilevel"/>
    <w:lvl w:ilvl="0">
      <w:lvlJc w:val="left"/>
      <w:lvlText w:val="(%1)"/>
      <w:numFmt w:val="lowerLetter"/>
      <w:start w:val="1"/>
    </w:lvl>
  </w:abstractNum>
  <w:abstractNum w:abstractNumId="15">
    <w:nsid w:val="51EAD36B"/>
    <w:multiLevelType w:val="hybridMultilevel"/>
    <w:lvl w:ilvl="0">
      <w:lvlJc w:val="left"/>
      <w:lvlText w:val="(%1)"/>
      <w:numFmt w:val="lowerLetter"/>
      <w:start w:val="1"/>
    </w:lvl>
  </w:abstractNum>
  <w:abstractNum w:abstractNumId="16">
    <w:nsid w:val="2D517796"/>
    <w:multiLevelType w:val="hybridMultilevel"/>
    <w:lvl w:ilvl="0">
      <w:lvlJc w:val="left"/>
      <w:lvlText w:val="(%1)"/>
      <w:numFmt w:val="lowerLetter"/>
      <w:start w:val="1"/>
    </w:lvl>
    <w:lvl w:ilvl="1">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1)"/>
      <w:numFmt w:val="lowerLetter"/>
      <w:start w:val="1"/>
    </w:lvl>
  </w:abstractNum>
  <w:abstractNum w:abstractNumId="19">
    <w:nsid w:val="3855585C"/>
    <w:multiLevelType w:val="hybridMultilevel"/>
    <w:lvl w:ilvl="0">
      <w:lvlJc w:val="left"/>
      <w:lvlText w:val="(%1)"/>
      <w:numFmt w:val="lowerLetter"/>
      <w:start w:val="1"/>
    </w:lvl>
  </w:abstractNum>
  <w:abstractNum w:abstractNumId="20">
    <w:nsid w:val="70A64E2A"/>
    <w:multiLevelType w:val="hybridMultilevel"/>
    <w:lvl w:ilvl="0">
      <w:lvlJc w:val="left"/>
      <w:lvlText w:val="(%1)"/>
      <w:numFmt w:val="lowerLetter"/>
      <w:start w:val="1"/>
    </w:lvl>
    <w:lvl w:ilvl="1">
      <w:lvlJc w:val="left"/>
      <w:lvlText w:val="-"/>
      <w:numFmt w:val="bullet"/>
      <w:start w:val="1"/>
    </w:lvl>
  </w:abstractNum>
  <w:abstractNum w:abstractNumId="21">
    <w:nsid w:val="6A2342EC"/>
    <w:multiLevelType w:val="hybridMultilevel"/>
    <w:lvl w:ilvl="0">
      <w:lvlJc w:val="left"/>
      <w:lvlText w:val="(%1)"/>
      <w:numFmt w:val="lowerLetter"/>
      <w:start w:val="1"/>
    </w:lvl>
  </w:abstractNum>
  <w:abstractNum w:abstractNumId="22">
    <w:nsid w:val="2A487CB0"/>
    <w:multiLevelType w:val="hybridMultilevel"/>
    <w:lvl w:ilvl="0">
      <w:lvlJc w:val="left"/>
      <w:lvlText w:val="•"/>
      <w:numFmt w:val="bullet"/>
      <w:start w:val="1"/>
    </w:lvl>
    <w:lvl w:ilvl="1">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1)"/>
      <w:numFmt w:val="lowerLetter"/>
      <w:start w:val="1"/>
    </w:lvl>
  </w:abstractNum>
  <w:abstractNum w:abstractNumId="26">
    <w:nsid w:val="57E4CCAF"/>
    <w:multiLevelType w:val="hybridMultilevel"/>
    <w:lvl w:ilvl="0">
      <w:lvlJc w:val="left"/>
      <w:lvlText w:val="(%1)"/>
      <w:numFmt w:val="lowerLetter"/>
      <w:start w:val="1"/>
    </w:lvl>
  </w:abstractNum>
  <w:abstractNum w:abstractNumId="27">
    <w:nsid w:val="7A6D8D3C"/>
    <w:multiLevelType w:val="hybridMultilevel"/>
    <w:lvl w:ilvl="0">
      <w:lvlJc w:val="left"/>
      <w:lvlText w:val="(%1)"/>
      <w:numFmt w:val="lowerLetter"/>
      <w:start w:val="1"/>
    </w:lvl>
    <w:lvl w:ilvl="1">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lvl w:ilvl="1">
      <w:lvlJc w:val="left"/>
      <w:lvlText w:val="-"/>
      <w:numFmt w:val="bullet"/>
      <w:start w:val="1"/>
    </w:lvl>
  </w:abstractNum>
  <w:abstractNum w:abstractNumId="30">
    <w:nsid w:val="6DE91B18"/>
    <w:multiLevelType w:val="hybridMultilevel"/>
    <w:lvl w:ilvl="0">
      <w:lvlJc w:val="left"/>
      <w:lvlText w:val="(%1)"/>
      <w:numFmt w:val="lowerLetter"/>
      <w:start w:val="1"/>
    </w:lvl>
  </w:abstractNum>
  <w:abstractNum w:abstractNumId="31">
    <w:nsid w:val="38437FDB"/>
    <w:multiLevelType w:val="hybridMultilevel"/>
    <w:lvl w:ilvl="0">
      <w:lvlJc w:val="left"/>
      <w:lvlText w:val="(%1)"/>
      <w:numFmt w:val="lowerLetter"/>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1)"/>
      <w:numFmt w:val="lowerLetter"/>
      <w:start w:val="1"/>
    </w:lvl>
  </w:abstractNum>
  <w:abstractNum w:abstractNumId="35">
    <w:nsid w:val="579478FE"/>
    <w:multiLevelType w:val="hybridMultilevel"/>
    <w:lvl w:ilvl="0">
      <w:lvlJc w:val="left"/>
      <w:lvlText w:val="(%1)"/>
      <w:numFmt w:val="lowerLetter"/>
      <w:start w:val="1"/>
    </w:lvl>
  </w:abstractNum>
  <w:abstractNum w:abstractNumId="36">
    <w:nsid w:val="749ABB43"/>
    <w:multiLevelType w:val="hybridMultilevel"/>
    <w:lvl w:ilvl="0">
      <w:lvlJc w:val="left"/>
      <w:lvlText w:val="(%1)"/>
      <w:numFmt w:val="lowerLetter"/>
      <w:start w:val="1"/>
    </w:lvl>
  </w:abstractNum>
  <w:abstractNum w:abstractNumId="37">
    <w:nsid w:val="3DC240FB"/>
    <w:multiLevelType w:val="hybridMultilevel"/>
    <w:lvl w:ilvl="0">
      <w:lvlJc w:val="left"/>
      <w:lvlText w:val="(%1)"/>
      <w:numFmt w:val="lowerLetter"/>
      <w:start w:val="1"/>
    </w:lvl>
  </w:abstractNum>
  <w:abstractNum w:abstractNumId="38">
    <w:nsid w:val="1BA026FA"/>
    <w:multiLevelType w:val="hybridMultilevel"/>
    <w:lvl w:ilvl="0">
      <w:lvlJc w:val="left"/>
      <w:lvlText w:val="(%1)"/>
      <w:numFmt w:val="lowerLetter"/>
      <w:start w:val="1"/>
    </w:lvl>
  </w:abstractNum>
  <w:abstractNum w:abstractNumId="39">
    <w:nsid w:val="79A1DEAA"/>
    <w:multiLevelType w:val="hybridMultilevel"/>
    <w:lvl w:ilvl="0">
      <w:lvlJc w:val="left"/>
      <w:lvlText w:val="(%1)"/>
      <w:numFmt w:val="lowerLetter"/>
      <w:start w:val="1"/>
    </w:lvl>
  </w:abstractNum>
  <w:abstractNum w:abstractNumId="40">
    <w:nsid w:val="75C6C33A"/>
    <w:multiLevelType w:val="hybridMultilevel"/>
    <w:lvl w:ilvl="0">
      <w:lvlJc w:val="left"/>
      <w:lvlText w:val="(%1)"/>
      <w:numFmt w:val="lowerLetter"/>
      <w:start w:val="1"/>
    </w:lvl>
  </w:abstractNum>
  <w:abstractNum w:abstractNumId="41">
    <w:nsid w:val="12E685FB"/>
    <w:multiLevelType w:val="hybridMultilevel"/>
    <w:lvl w:ilvl="0">
      <w:lvlJc w:val="left"/>
      <w:lvlText w:val="(%1)"/>
      <w:numFmt w:val="lowerLetter"/>
      <w:start w:val="1"/>
    </w:lvl>
  </w:abstractNum>
  <w:abstractNum w:abstractNumId="42">
    <w:nsid w:val="70C6A529"/>
    <w:multiLevelType w:val="hybridMultilevel"/>
    <w:lvl w:ilvl="0">
      <w:lvlJc w:val="left"/>
      <w:lvlText w:val="(%1)"/>
      <w:numFmt w:val="lowerLetter"/>
      <w:start w:val="1"/>
    </w:lvl>
  </w:abstractNum>
  <w:abstractNum w:abstractNumId="43">
    <w:nsid w:val="520EEDD1"/>
    <w:multiLevelType w:val="hybridMultilevel"/>
    <w:lvl w:ilvl="0">
      <w:lvlJc w:val="left"/>
      <w:lvlText w:val="(%1)"/>
      <w:numFmt w:val="lowerLetter"/>
      <w:start w:val="1"/>
    </w:lvl>
  </w:abstractNum>
  <w:abstractNum w:abstractNumId="44">
    <w:nsid w:val="374A3FE6"/>
    <w:multiLevelType w:val="hybridMultilevel"/>
    <w:lvl w:ilvl="0">
      <w:lvlJc w:val="left"/>
      <w:lvlText w:val="•"/>
      <w:numFmt w:val="bullet"/>
      <w:start w:val="1"/>
    </w:lvl>
    <w:lvl w:ilvl="1">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lvl w:ilvl="1">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lvl w:ilvl="1">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lvl w:ilvl="1">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1)"/>
      <w:numFmt w:val="lowerLetter"/>
      <w:start w:val="1"/>
    </w:lvl>
    <w:lvl w:ilvl="1">
      <w:lvlJc w:val="left"/>
      <w:lvlText w:val="-"/>
      <w:numFmt w:val="bullet"/>
      <w:start w:val="1"/>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lowerLetter"/>
      <w:start w:val="1"/>
    </w:lvl>
    <w:lvl w:ilvl="1">
      <w:lvlJc w:val="left"/>
      <w:lvlText w:val="-"/>
      <w:numFmt w:val="bullet"/>
      <w:start w:val="1"/>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lowerLetter"/>
      <w:start w:val="3"/>
    </w:lvl>
  </w:abstractNum>
  <w:abstractNum w:abstractNumId="58">
    <w:nsid w:val="10233C99"/>
    <w:multiLevelType w:val="hybridMultilevel"/>
    <w:lvl w:ilvl="0">
      <w:lvlJc w:val="left"/>
      <w:lvlText w:val="%1"/>
      <w:numFmt w:val="decimal"/>
      <w:start w:val="104"/>
    </w:lvl>
    <w:lvl w:ilvl="1">
      <w:lvlJc w:val="left"/>
      <w:lvlText w:val="-"/>
      <w:numFmt w:val="bullet"/>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2026-05-05T10:37:14Z</dcterms:created>
  <dcterms:modified xsi:type="dcterms:W3CDTF">2026-05-05T10:37:14Z</dcterms:modified>
</cp:coreProperties>
</file>