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200025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98425</wp:posOffset>
            </wp:positionV>
            <wp:extent cx="1430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5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126365</wp:posOffset>
            </wp:positionV>
            <wp:extent cx="1430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318"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22"/>
          <w:szCs w:val="22"/>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-109220</wp:posOffset>
            </wp:positionV>
            <wp:extent cx="104140" cy="1054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16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quarterly period ended March 31, 2020</w:t>
      </w:r>
    </w:p>
    <w:p>
      <w:pPr>
        <w:spacing w:after="0" w:line="16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144"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22"/>
          <w:szCs w:val="22"/>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-109220</wp:posOffset>
            </wp:positionV>
            <wp:extent cx="104140" cy="1054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16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1-9861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114300</wp:posOffset>
            </wp:positionV>
            <wp:extent cx="14300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M&amp;T BANK CORPORATION</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94615</wp:posOffset>
            </wp:positionV>
            <wp:extent cx="14300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72" w:lineRule="exact"/>
        <w:rPr>
          <w:sz w:val="24"/>
          <w:szCs w:val="24"/>
          <w:color w:val="auto"/>
        </w:rPr>
      </w:pPr>
    </w:p>
    <w:tbl>
      <w:tblPr>
        <w:tblLayout w:type="fixed"/>
        <w:tblInd w:w="980" w:type="dxa"/>
        <w:tblCellMar>
          <w:top w:w="0" w:type="dxa"/>
          <w:left w:w="0" w:type="dxa"/>
          <w:bottom w:w="0" w:type="dxa"/>
          <w:right w:w="0" w:type="dxa"/>
        </w:tblCellMar>
      </w:tblPr>
      <w:tr>
        <w:trPr>
          <w:trHeight w:val="211"/>
        </w:trPr>
        <w:tc>
          <w:tcPr>
            <w:tcW w:w="320" w:type="dxa"/>
            <w:vAlign w:val="bottom"/>
          </w:tcPr>
          <w:p>
            <w:pPr>
              <w:spacing w:after="0"/>
              <w:rPr>
                <w:sz w:val="18"/>
                <w:szCs w:val="18"/>
                <w:color w:val="auto"/>
              </w:rPr>
            </w:pPr>
          </w:p>
        </w:tc>
        <w:tc>
          <w:tcPr>
            <w:tcW w:w="2360" w:type="dxa"/>
            <w:vAlign w:val="bottom"/>
            <w:gridSpan w:val="2"/>
          </w:tcPr>
          <w:p>
            <w:pPr>
              <w:jc w:val="center"/>
              <w:ind w:right="368"/>
              <w:spacing w:after="0"/>
              <w:rPr>
                <w:sz w:val="20"/>
                <w:szCs w:val="20"/>
                <w:color w:val="auto"/>
              </w:rPr>
            </w:pPr>
            <w:r>
              <w:rPr>
                <w:rFonts w:ascii="Arial" w:cs="Arial" w:eastAsia="Arial" w:hAnsi="Arial"/>
                <w:sz w:val="18"/>
                <w:szCs w:val="18"/>
                <w:b w:val="1"/>
                <w:bCs w:val="1"/>
                <w:color w:val="auto"/>
                <w:w w:val="92"/>
              </w:rPr>
              <w:t>New York</w:t>
            </w:r>
          </w:p>
        </w:tc>
        <w:tc>
          <w:tcPr>
            <w:tcW w:w="1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140" w:type="dxa"/>
            <w:vAlign w:val="bottom"/>
            <w:gridSpan w:val="2"/>
          </w:tcPr>
          <w:p>
            <w:pPr>
              <w:jc w:val="right"/>
              <w:ind w:right="1348"/>
              <w:spacing w:after="0"/>
              <w:rPr>
                <w:sz w:val="20"/>
                <w:szCs w:val="20"/>
                <w:color w:val="auto"/>
              </w:rPr>
            </w:pPr>
            <w:r>
              <w:rPr>
                <w:rFonts w:ascii="Arial" w:cs="Arial" w:eastAsia="Arial" w:hAnsi="Arial"/>
                <w:sz w:val="18"/>
                <w:szCs w:val="18"/>
                <w:b w:val="1"/>
                <w:bCs w:val="1"/>
                <w:color w:val="auto"/>
              </w:rPr>
              <w:t>16-0968385</w:t>
            </w:r>
          </w:p>
        </w:tc>
      </w:tr>
      <w:tr>
        <w:trPr>
          <w:trHeight w:val="148"/>
        </w:trPr>
        <w:tc>
          <w:tcPr>
            <w:tcW w:w="320" w:type="dxa"/>
            <w:vAlign w:val="bottom"/>
          </w:tcPr>
          <w:p>
            <w:pPr>
              <w:spacing w:after="0"/>
              <w:rPr>
                <w:sz w:val="12"/>
                <w:szCs w:val="12"/>
                <w:color w:val="auto"/>
              </w:rPr>
            </w:pPr>
          </w:p>
        </w:tc>
        <w:tc>
          <w:tcPr>
            <w:tcW w:w="2360" w:type="dxa"/>
            <w:vAlign w:val="bottom"/>
            <w:gridSpan w:val="2"/>
          </w:tcPr>
          <w:p>
            <w:pPr>
              <w:jc w:val="center"/>
              <w:ind w:right="368"/>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4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20" w:type="dxa"/>
            <w:vAlign w:val="bottom"/>
          </w:tcPr>
          <w:p>
            <w:pPr>
              <w:jc w:val="center"/>
              <w:ind w:right="788"/>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20" w:type="dxa"/>
            <w:vAlign w:val="bottom"/>
          </w:tcPr>
          <w:p>
            <w:pPr>
              <w:spacing w:after="0"/>
              <w:rPr>
                <w:sz w:val="16"/>
                <w:szCs w:val="16"/>
                <w:color w:val="auto"/>
              </w:rPr>
            </w:pPr>
          </w:p>
        </w:tc>
        <w:tc>
          <w:tcPr>
            <w:tcW w:w="2360" w:type="dxa"/>
            <w:vAlign w:val="bottom"/>
            <w:gridSpan w:val="2"/>
          </w:tcPr>
          <w:p>
            <w:pPr>
              <w:jc w:val="center"/>
              <w:ind w:right="368"/>
              <w:spacing w:after="0"/>
              <w:rPr>
                <w:sz w:val="20"/>
                <w:szCs w:val="20"/>
                <w:color w:val="auto"/>
              </w:rPr>
            </w:pPr>
            <w:r>
              <w:rPr>
                <w:rFonts w:ascii="Arial" w:cs="Arial" w:eastAsia="Arial" w:hAnsi="Arial"/>
                <w:sz w:val="14"/>
                <w:szCs w:val="14"/>
                <w:b w:val="1"/>
                <w:bCs w:val="1"/>
                <w:color w:val="auto"/>
                <w:w w:val="94"/>
              </w:rPr>
              <w:t>incorporation or organization)</w:t>
            </w:r>
          </w:p>
        </w:tc>
        <w:tc>
          <w:tcPr>
            <w:tcW w:w="14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20" w:type="dxa"/>
            <w:vAlign w:val="bottom"/>
          </w:tcPr>
          <w:p>
            <w:pPr>
              <w:jc w:val="center"/>
              <w:ind w:right="788"/>
              <w:spacing w:after="0"/>
              <w:rPr>
                <w:sz w:val="20"/>
                <w:szCs w:val="20"/>
                <w:color w:val="auto"/>
              </w:rPr>
            </w:pPr>
            <w:r>
              <w:rPr>
                <w:rFonts w:ascii="Arial" w:cs="Arial" w:eastAsia="Arial" w:hAnsi="Arial"/>
                <w:sz w:val="14"/>
                <w:szCs w:val="14"/>
                <w:b w:val="1"/>
                <w:bCs w:val="1"/>
                <w:color w:val="auto"/>
                <w:w w:val="94"/>
              </w:rPr>
              <w:t>Identification No.)</w:t>
            </w:r>
          </w:p>
        </w:tc>
      </w:tr>
      <w:tr>
        <w:trPr>
          <w:trHeight w:val="304"/>
        </w:trPr>
        <w:tc>
          <w:tcPr>
            <w:tcW w:w="320" w:type="dxa"/>
            <w:vAlign w:val="bottom"/>
          </w:tcPr>
          <w:p>
            <w:pPr>
              <w:spacing w:after="0"/>
              <w:rPr>
                <w:sz w:val="24"/>
                <w:szCs w:val="24"/>
                <w:color w:val="auto"/>
              </w:rPr>
            </w:pPr>
          </w:p>
        </w:tc>
        <w:tc>
          <w:tcPr>
            <w:tcW w:w="2360" w:type="dxa"/>
            <w:vAlign w:val="bottom"/>
            <w:gridSpan w:val="2"/>
          </w:tcPr>
          <w:p>
            <w:pPr>
              <w:jc w:val="center"/>
              <w:ind w:right="368"/>
              <w:spacing w:after="0"/>
              <w:rPr>
                <w:sz w:val="20"/>
                <w:szCs w:val="20"/>
                <w:color w:val="auto"/>
              </w:rPr>
            </w:pPr>
            <w:r>
              <w:rPr>
                <w:rFonts w:ascii="Arial" w:cs="Arial" w:eastAsia="Arial" w:hAnsi="Arial"/>
                <w:sz w:val="18"/>
                <w:szCs w:val="18"/>
                <w:b w:val="1"/>
                <w:bCs w:val="1"/>
                <w:color w:val="auto"/>
                <w:w w:val="97"/>
              </w:rPr>
              <w:t>One M &amp; T Plaza</w:t>
            </w:r>
          </w:p>
        </w:tc>
        <w:tc>
          <w:tcPr>
            <w:tcW w:w="1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211"/>
        </w:trPr>
        <w:tc>
          <w:tcPr>
            <w:tcW w:w="320" w:type="dxa"/>
            <w:vAlign w:val="bottom"/>
          </w:tcPr>
          <w:p>
            <w:pPr>
              <w:spacing w:after="0"/>
              <w:rPr>
                <w:sz w:val="18"/>
                <w:szCs w:val="18"/>
                <w:color w:val="auto"/>
              </w:rPr>
            </w:pPr>
          </w:p>
        </w:tc>
        <w:tc>
          <w:tcPr>
            <w:tcW w:w="2360" w:type="dxa"/>
            <w:vAlign w:val="bottom"/>
            <w:gridSpan w:val="2"/>
          </w:tcPr>
          <w:p>
            <w:pPr>
              <w:jc w:val="center"/>
              <w:ind w:right="368"/>
              <w:spacing w:after="0"/>
              <w:rPr>
                <w:sz w:val="20"/>
                <w:szCs w:val="20"/>
                <w:color w:val="auto"/>
              </w:rPr>
            </w:pPr>
            <w:r>
              <w:rPr>
                <w:rFonts w:ascii="Arial" w:cs="Arial" w:eastAsia="Arial" w:hAnsi="Arial"/>
                <w:sz w:val="18"/>
                <w:szCs w:val="18"/>
                <w:b w:val="1"/>
                <w:bCs w:val="1"/>
                <w:color w:val="auto"/>
                <w:w w:val="93"/>
              </w:rPr>
              <w:t>Buffalo, New York</w:t>
            </w:r>
          </w:p>
        </w:tc>
        <w:tc>
          <w:tcPr>
            <w:tcW w:w="1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140" w:type="dxa"/>
            <w:vAlign w:val="bottom"/>
            <w:gridSpan w:val="2"/>
          </w:tcPr>
          <w:p>
            <w:pPr>
              <w:jc w:val="right"/>
              <w:ind w:right="1548"/>
              <w:spacing w:after="0"/>
              <w:rPr>
                <w:sz w:val="20"/>
                <w:szCs w:val="20"/>
                <w:color w:val="auto"/>
              </w:rPr>
            </w:pPr>
            <w:r>
              <w:rPr>
                <w:rFonts w:ascii="Arial" w:cs="Arial" w:eastAsia="Arial" w:hAnsi="Arial"/>
                <w:sz w:val="18"/>
                <w:szCs w:val="18"/>
                <w:b w:val="1"/>
                <w:bCs w:val="1"/>
                <w:color w:val="auto"/>
              </w:rPr>
              <w:t>14203</w:t>
            </w:r>
          </w:p>
        </w:tc>
      </w:tr>
      <w:tr>
        <w:trPr>
          <w:trHeight w:val="186"/>
        </w:trPr>
        <w:tc>
          <w:tcPr>
            <w:tcW w:w="2680" w:type="dxa"/>
            <w:vAlign w:val="bottom"/>
            <w:gridSpan w:val="3"/>
          </w:tcPr>
          <w:p>
            <w:pPr>
              <w:jc w:val="center"/>
              <w:ind w:right="48"/>
              <w:spacing w:after="0"/>
              <w:rPr>
                <w:sz w:val="20"/>
                <w:szCs w:val="20"/>
                <w:color w:val="auto"/>
              </w:rPr>
            </w:pPr>
            <w:r>
              <w:rPr>
                <w:rFonts w:ascii="Arial" w:cs="Arial" w:eastAsia="Arial" w:hAnsi="Arial"/>
                <w:sz w:val="14"/>
                <w:szCs w:val="14"/>
                <w:b w:val="1"/>
                <w:bCs w:val="1"/>
                <w:color w:val="auto"/>
                <w:w w:val="90"/>
              </w:rPr>
              <w:t>(Address of principal executive offices)</w:t>
            </w:r>
          </w:p>
        </w:tc>
        <w:tc>
          <w:tcPr>
            <w:tcW w:w="14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20" w:type="dxa"/>
            <w:vAlign w:val="bottom"/>
          </w:tcPr>
          <w:p>
            <w:pPr>
              <w:jc w:val="center"/>
              <w:ind w:right="808"/>
              <w:spacing w:after="0"/>
              <w:rPr>
                <w:sz w:val="20"/>
                <w:szCs w:val="20"/>
                <w:color w:val="auto"/>
              </w:rPr>
            </w:pPr>
            <w:r>
              <w:rPr>
                <w:rFonts w:ascii="Arial" w:cs="Arial" w:eastAsia="Arial" w:hAnsi="Arial"/>
                <w:sz w:val="14"/>
                <w:szCs w:val="14"/>
                <w:b w:val="1"/>
                <w:bCs w:val="1"/>
                <w:color w:val="auto"/>
                <w:w w:val="95"/>
              </w:rPr>
              <w:t>(Zip Code)</w:t>
            </w:r>
          </w:p>
        </w:tc>
      </w:tr>
      <w:tr>
        <w:trPr>
          <w:trHeight w:val="256"/>
        </w:trPr>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0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320" w:type="dxa"/>
            <w:vAlign w:val="bottom"/>
          </w:tcPr>
          <w:p>
            <w:pPr>
              <w:spacing w:after="0"/>
              <w:rPr>
                <w:sz w:val="22"/>
                <w:szCs w:val="22"/>
                <w:color w:val="auto"/>
              </w:rPr>
            </w:pPr>
          </w:p>
        </w:tc>
        <w:tc>
          <w:tcPr>
            <w:tcW w:w="2820" w:type="dxa"/>
            <w:vAlign w:val="bottom"/>
          </w:tcPr>
          <w:p>
            <w:pPr>
              <w:spacing w:after="0"/>
              <w:rPr>
                <w:sz w:val="22"/>
                <w:szCs w:val="22"/>
                <w:color w:val="auto"/>
              </w:rPr>
            </w:pPr>
          </w:p>
        </w:tc>
      </w:tr>
      <w:tr>
        <w:trPr>
          <w:trHeight w:val="255"/>
        </w:trPr>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0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(716) 635-4000</w:t>
            </w:r>
          </w:p>
        </w:tc>
        <w:tc>
          <w:tcPr>
            <w:tcW w:w="320" w:type="dxa"/>
            <w:vAlign w:val="bottom"/>
          </w:tcPr>
          <w:p>
            <w:pPr>
              <w:spacing w:after="0"/>
              <w:rPr>
                <w:sz w:val="22"/>
                <w:szCs w:val="22"/>
                <w:color w:val="auto"/>
              </w:rPr>
            </w:pPr>
          </w:p>
        </w:tc>
        <w:tc>
          <w:tcPr>
            <w:tcW w:w="2820" w:type="dxa"/>
            <w:vAlign w:val="bottom"/>
          </w:tcPr>
          <w:p>
            <w:pPr>
              <w:spacing w:after="0"/>
              <w:rPr>
                <w:sz w:val="22"/>
                <w:szCs w:val="22"/>
                <w:color w:val="auto"/>
              </w:rPr>
            </w:pPr>
          </w:p>
        </w:tc>
      </w:tr>
      <w:tr>
        <w:trPr>
          <w:trHeight w:val="217"/>
        </w:trPr>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320" w:type="dxa"/>
            <w:vAlign w:val="bottom"/>
          </w:tcPr>
          <w:p>
            <w:pPr>
              <w:spacing w:after="0"/>
              <w:rPr>
                <w:sz w:val="18"/>
                <w:szCs w:val="18"/>
                <w:color w:val="auto"/>
              </w:rPr>
            </w:pPr>
          </w:p>
        </w:tc>
        <w:tc>
          <w:tcPr>
            <w:tcW w:w="2820" w:type="dxa"/>
            <w:vAlign w:val="bottom"/>
          </w:tcPr>
          <w:p>
            <w:pPr>
              <w:spacing w:after="0"/>
              <w:rPr>
                <w:sz w:val="18"/>
                <w:szCs w:val="18"/>
                <w:color w:val="auto"/>
              </w:rPr>
            </w:pPr>
          </w:p>
        </w:tc>
      </w:tr>
      <w:tr>
        <w:trPr>
          <w:trHeight w:val="228"/>
        </w:trPr>
        <w:tc>
          <w:tcPr>
            <w:tcW w:w="320" w:type="dxa"/>
            <w:vAlign w:val="bottom"/>
          </w:tcPr>
          <w:p>
            <w:pPr>
              <w:spacing w:after="0"/>
              <w:rPr>
                <w:sz w:val="19"/>
                <w:szCs w:val="19"/>
                <w:color w:val="auto"/>
              </w:rPr>
            </w:pPr>
          </w:p>
        </w:tc>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Title of Each Class</w:t>
            </w:r>
          </w:p>
        </w:tc>
        <w:tc>
          <w:tcPr>
            <w:tcW w:w="1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Trading Symbols</w:t>
            </w:r>
          </w:p>
        </w:tc>
        <w:tc>
          <w:tcPr>
            <w:tcW w:w="1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Name of Each Exchange on Which Registered</w:t>
            </w:r>
          </w:p>
        </w:tc>
      </w:tr>
      <w:tr>
        <w:trPr>
          <w:trHeight w:val="176"/>
        </w:trPr>
        <w:tc>
          <w:tcPr>
            <w:tcW w:w="1480" w:type="dxa"/>
            <w:vAlign w:val="bottom"/>
            <w:gridSpan w:val="2"/>
          </w:tcPr>
          <w:p>
            <w:pPr>
              <w:spacing w:after="0"/>
              <w:rPr>
                <w:sz w:val="20"/>
                <w:szCs w:val="20"/>
                <w:color w:val="auto"/>
              </w:rPr>
            </w:pPr>
            <w:r>
              <w:rPr>
                <w:rFonts w:ascii="Arial" w:cs="Arial" w:eastAsia="Arial" w:hAnsi="Arial"/>
                <w:sz w:val="14"/>
                <w:szCs w:val="14"/>
                <w:color w:val="auto"/>
                <w:w w:val="94"/>
              </w:rPr>
              <w:t>Common Stock, $.50 par</w:t>
            </w:r>
          </w:p>
        </w:tc>
        <w:tc>
          <w:tcPr>
            <w:tcW w:w="1200" w:type="dxa"/>
            <w:vAlign w:val="bottom"/>
          </w:tcPr>
          <w:p>
            <w:pPr>
              <w:spacing w:after="0"/>
              <w:rPr>
                <w:sz w:val="20"/>
                <w:szCs w:val="20"/>
                <w:color w:val="auto"/>
              </w:rPr>
            </w:pPr>
            <w:r>
              <w:rPr>
                <w:rFonts w:ascii="Arial" w:cs="Arial" w:eastAsia="Arial" w:hAnsi="Arial"/>
                <w:sz w:val="14"/>
                <w:szCs w:val="14"/>
                <w:color w:val="auto"/>
              </w:rPr>
              <w:t>value</w:t>
            </w:r>
          </w:p>
        </w:tc>
        <w:tc>
          <w:tcPr>
            <w:tcW w:w="1440" w:type="dxa"/>
            <w:vAlign w:val="bottom"/>
          </w:tcPr>
          <w:p>
            <w:pPr>
              <w:spacing w:after="0"/>
              <w:rPr>
                <w:sz w:val="15"/>
                <w:szCs w:val="15"/>
                <w:color w:val="auto"/>
              </w:rPr>
            </w:pPr>
          </w:p>
        </w:tc>
        <w:tc>
          <w:tcPr>
            <w:tcW w:w="2600" w:type="dxa"/>
            <w:vAlign w:val="bottom"/>
            <w:gridSpan w:val="2"/>
          </w:tcPr>
          <w:p>
            <w:pPr>
              <w:jc w:val="center"/>
              <w:ind w:right="1540"/>
              <w:spacing w:after="0"/>
              <w:rPr>
                <w:sz w:val="20"/>
                <w:szCs w:val="20"/>
                <w:color w:val="auto"/>
              </w:rPr>
            </w:pPr>
            <w:r>
              <w:rPr>
                <w:rFonts w:ascii="Arial" w:cs="Arial" w:eastAsia="Arial" w:hAnsi="Arial"/>
                <w:sz w:val="14"/>
                <w:szCs w:val="14"/>
                <w:color w:val="auto"/>
              </w:rPr>
              <w:t>MTB</w:t>
            </w:r>
          </w:p>
        </w:tc>
        <w:tc>
          <w:tcPr>
            <w:tcW w:w="320" w:type="dxa"/>
            <w:vAlign w:val="bottom"/>
          </w:tcPr>
          <w:p>
            <w:pPr>
              <w:spacing w:after="0"/>
              <w:rPr>
                <w:sz w:val="15"/>
                <w:szCs w:val="15"/>
                <w:color w:val="auto"/>
              </w:rPr>
            </w:pPr>
          </w:p>
        </w:tc>
        <w:tc>
          <w:tcPr>
            <w:tcW w:w="2820" w:type="dxa"/>
            <w:vAlign w:val="bottom"/>
          </w:tcPr>
          <w:p>
            <w:pPr>
              <w:ind w:left="580"/>
              <w:spacing w:after="0"/>
              <w:rPr>
                <w:sz w:val="20"/>
                <w:szCs w:val="20"/>
                <w:color w:val="auto"/>
              </w:rPr>
            </w:pPr>
            <w:r>
              <w:rPr>
                <w:rFonts w:ascii="Arial" w:cs="Arial" w:eastAsia="Arial" w:hAnsi="Arial"/>
                <w:sz w:val="14"/>
                <w:szCs w:val="14"/>
                <w:color w:val="auto"/>
              </w:rPr>
              <w:t>New York Stock Exchange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81280</wp:posOffset>
            </wp:positionV>
            <wp:extent cx="14300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16" w:lineRule="exact"/>
        <w:rPr>
          <w:sz w:val="24"/>
          <w:szCs w:val="24"/>
          <w:color w:val="auto"/>
        </w:rPr>
      </w:pPr>
    </w:p>
    <w:p>
      <w:pPr>
        <w:spacing w:after="0" w:line="19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73" w:lineRule="exact"/>
        <w:rPr>
          <w:sz w:val="24"/>
          <w:szCs w:val="24"/>
          <w:color w:val="auto"/>
        </w:rPr>
      </w:pPr>
    </w:p>
    <w:p>
      <w:pPr>
        <w:ind w:right="20"/>
        <w:spacing w:after="0" w:line="19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5"/>
          <w:szCs w:val="15"/>
          <w:color w:val="auto"/>
        </w:rPr>
        <w:t>☒</w:t>
      </w:r>
      <w:r>
        <w:rPr>
          <w:rFonts w:ascii="Arial" w:cs="Arial" w:eastAsia="Arial" w:hAnsi="Arial"/>
          <w:sz w:val="15"/>
          <w:szCs w:val="15"/>
          <w:color w:val="auto"/>
        </w:rPr>
        <w:t xml:space="preserve"> Yes </w:t>
      </w:r>
      <w:r>
        <w:rPr>
          <w:rFonts w:ascii="MS PGothic" w:cs="MS PGothic" w:eastAsia="MS PGothic" w:hAnsi="MS PGothic"/>
          <w:sz w:val="15"/>
          <w:szCs w:val="15"/>
          <w:color w:val="auto"/>
        </w:rPr>
        <w:t>☐</w:t>
      </w:r>
      <w:r>
        <w:rPr>
          <w:rFonts w:ascii="Arial" w:cs="Arial" w:eastAsia="Arial" w:hAnsi="Arial"/>
          <w:sz w:val="15"/>
          <w:szCs w:val="15"/>
          <w:color w:val="auto"/>
        </w:rPr>
        <w:t xml:space="preserve"> No</w:t>
      </w:r>
    </w:p>
    <w:p>
      <w:pPr>
        <w:spacing w:after="0" w:line="73" w:lineRule="exact"/>
        <w:rPr>
          <w:sz w:val="24"/>
          <w:szCs w:val="24"/>
          <w:color w:val="auto"/>
        </w:rPr>
      </w:pPr>
    </w:p>
    <w:p>
      <w:pPr>
        <w:spacing w:after="0" w:line="290"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40" w:lineRule="exact"/>
        <w:rPr>
          <w:sz w:val="24"/>
          <w:szCs w:val="24"/>
          <w:color w:val="auto"/>
        </w:rPr>
      </w:pPr>
    </w:p>
    <w:tbl>
      <w:tblPr>
        <w:tblLayout w:type="fixed"/>
        <w:tblInd w:w="0" w:type="dxa"/>
        <w:tblCellMar>
          <w:top w:w="0" w:type="dxa"/>
          <w:left w:w="0" w:type="dxa"/>
          <w:bottom w:w="0" w:type="dxa"/>
          <w:right w:w="0" w:type="dxa"/>
        </w:tblCellMar>
      </w:tblPr>
      <w:tr>
        <w:trPr>
          <w:trHeight w:val="202"/>
        </w:trPr>
        <w:tc>
          <w:tcPr>
            <w:tcW w:w="234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3340" w:type="dxa"/>
            <w:vAlign w:val="bottom"/>
          </w:tcPr>
          <w:p>
            <w:pPr>
              <w:ind w:left="640"/>
              <w:spacing w:after="0" w:line="151" w:lineRule="exact"/>
              <w:rPr>
                <w:sz w:val="20"/>
                <w:szCs w:val="20"/>
                <w:color w:val="auto"/>
              </w:rPr>
            </w:pPr>
            <w:r>
              <w:rPr>
                <w:rFonts w:ascii="MS PGothic" w:cs="MS PGothic" w:eastAsia="MS PGothic" w:hAnsi="MS PGothic"/>
                <w:sz w:val="15"/>
                <w:szCs w:val="15"/>
                <w:color w:val="auto"/>
              </w:rPr>
              <w:t>☒</w:t>
            </w:r>
          </w:p>
        </w:tc>
        <w:tc>
          <w:tcPr>
            <w:tcW w:w="4800" w:type="dxa"/>
            <w:vAlign w:val="bottom"/>
          </w:tcPr>
          <w:p>
            <w:pPr>
              <w:ind w:left="2540"/>
              <w:spacing w:after="0"/>
              <w:rPr>
                <w:sz w:val="20"/>
                <w:szCs w:val="20"/>
                <w:color w:val="auto"/>
              </w:rPr>
            </w:pPr>
            <w:r>
              <w:rPr>
                <w:rFonts w:ascii="Arial" w:cs="Arial" w:eastAsia="Arial" w:hAnsi="Arial"/>
                <w:sz w:val="15"/>
                <w:szCs w:val="15"/>
                <w:color w:val="auto"/>
              </w:rPr>
              <w:t>Accelerated filer</w:t>
            </w:r>
          </w:p>
        </w:tc>
        <w:tc>
          <w:tcPr>
            <w:tcW w:w="720" w:type="dxa"/>
            <w:vAlign w:val="bottom"/>
          </w:tcPr>
          <w:p>
            <w:pPr>
              <w:ind w:left="58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02"/>
        </w:trPr>
        <w:tc>
          <w:tcPr>
            <w:tcW w:w="2340" w:type="dxa"/>
            <w:vAlign w:val="bottom"/>
          </w:tcPr>
          <w:p>
            <w:pPr>
              <w:spacing w:after="0"/>
              <w:rPr>
                <w:sz w:val="20"/>
                <w:szCs w:val="20"/>
                <w:color w:val="auto"/>
              </w:rPr>
            </w:pPr>
            <w:r>
              <w:rPr>
                <w:rFonts w:ascii="Arial" w:cs="Arial" w:eastAsia="Arial" w:hAnsi="Arial"/>
                <w:sz w:val="15"/>
                <w:szCs w:val="15"/>
                <w:color w:val="auto"/>
              </w:rPr>
              <w:t>Non-accelerated filer</w:t>
            </w:r>
          </w:p>
        </w:tc>
        <w:tc>
          <w:tcPr>
            <w:tcW w:w="3340" w:type="dxa"/>
            <w:vAlign w:val="bottom"/>
          </w:tcPr>
          <w:p>
            <w:pPr>
              <w:ind w:left="640"/>
              <w:spacing w:after="0" w:line="151" w:lineRule="exact"/>
              <w:rPr>
                <w:sz w:val="20"/>
                <w:szCs w:val="20"/>
                <w:color w:val="auto"/>
              </w:rPr>
            </w:pPr>
            <w:r>
              <w:rPr>
                <w:rFonts w:ascii="MS PGothic" w:cs="MS PGothic" w:eastAsia="MS PGothic" w:hAnsi="MS PGothic"/>
                <w:sz w:val="15"/>
                <w:szCs w:val="15"/>
                <w:color w:val="auto"/>
              </w:rPr>
              <w:t>☐</w:t>
            </w:r>
          </w:p>
        </w:tc>
        <w:tc>
          <w:tcPr>
            <w:tcW w:w="4800" w:type="dxa"/>
            <w:vAlign w:val="bottom"/>
          </w:tcPr>
          <w:p>
            <w:pPr>
              <w:ind w:left="2540"/>
              <w:spacing w:after="0"/>
              <w:rPr>
                <w:sz w:val="20"/>
                <w:szCs w:val="20"/>
                <w:color w:val="auto"/>
              </w:rPr>
            </w:pPr>
            <w:r>
              <w:rPr>
                <w:rFonts w:ascii="Arial" w:cs="Arial" w:eastAsia="Arial" w:hAnsi="Arial"/>
                <w:sz w:val="15"/>
                <w:szCs w:val="15"/>
                <w:color w:val="auto"/>
              </w:rPr>
              <w:t>Smaller reporting company</w:t>
            </w:r>
          </w:p>
        </w:tc>
        <w:tc>
          <w:tcPr>
            <w:tcW w:w="720" w:type="dxa"/>
            <w:vAlign w:val="bottom"/>
          </w:tcPr>
          <w:p>
            <w:pPr>
              <w:ind w:left="58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40"/>
        </w:trPr>
        <w:tc>
          <w:tcPr>
            <w:tcW w:w="2340" w:type="dxa"/>
            <w:vAlign w:val="bottom"/>
          </w:tcPr>
          <w:p>
            <w:pPr>
              <w:spacing w:after="0"/>
              <w:rPr>
                <w:sz w:val="20"/>
                <w:szCs w:val="20"/>
                <w:color w:val="auto"/>
              </w:rPr>
            </w:pPr>
            <w:r>
              <w:rPr>
                <w:rFonts w:ascii="Arial" w:cs="Arial" w:eastAsia="Arial" w:hAnsi="Arial"/>
                <w:sz w:val="15"/>
                <w:szCs w:val="15"/>
                <w:color w:val="auto"/>
              </w:rPr>
              <w:t>Emerging growth company</w:t>
            </w:r>
          </w:p>
        </w:tc>
        <w:tc>
          <w:tcPr>
            <w:tcW w:w="3340" w:type="dxa"/>
            <w:vAlign w:val="bottom"/>
          </w:tcPr>
          <w:p>
            <w:pPr>
              <w:ind w:left="640"/>
              <w:spacing w:after="0" w:line="151" w:lineRule="exact"/>
              <w:rPr>
                <w:sz w:val="20"/>
                <w:szCs w:val="20"/>
                <w:color w:val="auto"/>
              </w:rPr>
            </w:pPr>
            <w:r>
              <w:rPr>
                <w:rFonts w:ascii="MS PGothic" w:cs="MS PGothic" w:eastAsia="MS PGothic" w:hAnsi="MS PGothic"/>
                <w:sz w:val="15"/>
                <w:szCs w:val="15"/>
                <w:color w:val="auto"/>
              </w:rPr>
              <w:t>☐</w:t>
            </w:r>
          </w:p>
        </w:tc>
        <w:tc>
          <w:tcPr>
            <w:tcW w:w="4800" w:type="dxa"/>
            <w:vAlign w:val="bottom"/>
          </w:tcPr>
          <w:p>
            <w:pPr>
              <w:spacing w:after="0"/>
              <w:rPr>
                <w:sz w:val="20"/>
                <w:szCs w:val="20"/>
                <w:color w:val="auto"/>
              </w:rPr>
            </w:pPr>
          </w:p>
        </w:tc>
        <w:tc>
          <w:tcPr>
            <w:tcW w:w="720" w:type="dxa"/>
            <w:vAlign w:val="bottom"/>
          </w:tcPr>
          <w:p>
            <w:pPr>
              <w:spacing w:after="0"/>
              <w:rPr>
                <w:sz w:val="20"/>
                <w:szCs w:val="20"/>
                <w:color w:val="auto"/>
              </w:rPr>
            </w:pPr>
          </w:p>
        </w:tc>
      </w:tr>
    </w:tbl>
    <w:p>
      <w:pPr>
        <w:spacing w:after="0" w:line="73" w:lineRule="exact"/>
        <w:rPr>
          <w:sz w:val="24"/>
          <w:szCs w:val="24"/>
          <w:color w:val="auto"/>
        </w:rPr>
      </w:pPr>
    </w:p>
    <w:p>
      <w:pPr>
        <w:ind w:right="20"/>
        <w:spacing w:after="0" w:line="193"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57" w:lineRule="exact"/>
        <w:rPr>
          <w:sz w:val="24"/>
          <w:szCs w:val="24"/>
          <w:color w:val="auto"/>
        </w:rPr>
      </w:pPr>
    </w:p>
    <w:p>
      <w:pPr>
        <w:spacing w:after="0" w:line="173" w:lineRule="exact"/>
        <w:tabs>
          <w:tab w:leader="none" w:pos="712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MS PGothic" w:cs="MS PGothic" w:eastAsia="MS PGothic" w:hAnsi="MS PGothic"/>
          <w:sz w:val="15"/>
          <w:szCs w:val="15"/>
          <w:color w:val="auto"/>
        </w:rPr>
        <w:t xml:space="preserve">☐ </w:t>
      </w:r>
      <w:r>
        <w:rPr>
          <w:rFonts w:ascii="Arial" w:cs="Arial" w:eastAsia="Arial" w:hAnsi="Arial"/>
          <w:sz w:val="15"/>
          <w:szCs w:val="15"/>
          <w:color w:val="auto"/>
        </w:rPr>
        <w:t>Yes</w:t>
      </w:r>
      <w:r>
        <w:rPr>
          <w:rFonts w:ascii="MS PGothic" w:cs="MS PGothic" w:eastAsia="MS PGothic" w:hAnsi="MS PGothic"/>
          <w:sz w:val="15"/>
          <w:szCs w:val="15"/>
          <w:color w:val="auto"/>
        </w:rPr>
        <w:t xml:space="preserve">  ☒ </w:t>
      </w:r>
      <w:r>
        <w:rPr>
          <w:rFonts w:ascii="Arial" w:cs="Arial" w:eastAsia="Arial" w:hAnsi="Arial"/>
          <w:sz w:val="15"/>
          <w:szCs w:val="15"/>
          <w:color w:val="auto"/>
        </w:rPr>
        <w:t>No</w:t>
      </w:r>
    </w:p>
    <w:p>
      <w:pPr>
        <w:spacing w:after="0" w:line="140" w:lineRule="exact"/>
        <w:rPr>
          <w:sz w:val="24"/>
          <w:szCs w:val="24"/>
          <w:color w:val="auto"/>
        </w:rPr>
      </w:pPr>
    </w:p>
    <w:p>
      <w:pPr>
        <w:spacing w:after="0"/>
        <w:rPr>
          <w:sz w:val="20"/>
          <w:szCs w:val="20"/>
          <w:color w:val="auto"/>
        </w:rPr>
      </w:pPr>
      <w:r>
        <w:rPr>
          <w:rFonts w:ascii="Arial" w:cs="Arial" w:eastAsia="Arial" w:hAnsi="Arial"/>
          <w:sz w:val="15"/>
          <w:szCs w:val="15"/>
          <w:color w:val="auto"/>
        </w:rPr>
        <w:t>Number of shares of the registrant's Common Stock, $0.50 par value, outstanding as of the close of business on April 30, 2020: 128,272,673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121285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352425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8"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7"/>
              </w:rPr>
              <w:t>M&amp;T BANK CORPORATION</w:t>
            </w:r>
          </w:p>
        </w:tc>
        <w:tc>
          <w:tcPr>
            <w:tcW w:w="4100" w:type="dxa"/>
            <w:vAlign w:val="bottom"/>
            <w:gridSpan w:val="3"/>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1"/>
        </w:trPr>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700" w:type="dxa"/>
            <w:vAlign w:val="bottom"/>
            <w:gridSpan w:val="5"/>
          </w:tcPr>
          <w:p>
            <w:pPr>
              <w:jc w:val="center"/>
              <w:ind w:right="4780"/>
              <w:spacing w:after="0"/>
              <w:rPr>
                <w:sz w:val="20"/>
                <w:szCs w:val="20"/>
                <w:color w:val="auto"/>
              </w:rPr>
            </w:pPr>
            <w:r>
              <w:rPr>
                <w:rFonts w:ascii="Arial" w:cs="Arial" w:eastAsia="Arial" w:hAnsi="Arial"/>
                <w:sz w:val="18"/>
                <w:szCs w:val="18"/>
                <w:color w:val="auto"/>
                <w:w w:val="93"/>
              </w:rPr>
              <w:t>FORM 10-Q</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6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color w:val="auto"/>
                <w:w w:val="90"/>
              </w:rPr>
              <w:t>For the Quarterly Period Ended March 31, 2020</w:t>
            </w:r>
          </w:p>
        </w:tc>
        <w:tc>
          <w:tcPr>
            <w:tcW w:w="3500" w:type="dxa"/>
            <w:vAlign w:val="bottom"/>
            <w:gridSpan w:val="2"/>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10860" w:type="dxa"/>
            <w:vAlign w:val="bottom"/>
            <w:gridSpan w:val="12"/>
          </w:tcPr>
          <w:p>
            <w:pPr>
              <w:spacing w:after="0"/>
              <w:rPr>
                <w:sz w:val="20"/>
                <w:szCs w:val="20"/>
                <w:color w:val="auto"/>
              </w:rPr>
            </w:pPr>
            <w:r>
              <w:rPr>
                <w:rFonts w:ascii="Arial" w:cs="Arial" w:eastAsia="Arial" w:hAnsi="Arial"/>
                <w:sz w:val="18"/>
                <w:szCs w:val="18"/>
                <w:color w:val="auto"/>
              </w:rPr>
              <w:t>Table of Contents of Information Required in Report</w:t>
            </w:r>
          </w:p>
        </w:tc>
        <w:tc>
          <w:tcPr>
            <w:tcW w:w="380" w:type="dxa"/>
            <w:vAlign w:val="bottom"/>
          </w:tcPr>
          <w:p>
            <w:pPr>
              <w:jc w:val="right"/>
              <w:spacing w:after="0"/>
              <w:rPr>
                <w:sz w:val="20"/>
                <w:szCs w:val="20"/>
                <w:color w:val="auto"/>
              </w:rPr>
            </w:pPr>
            <w:r>
              <w:rPr>
                <w:rFonts w:ascii="Arial" w:cs="Arial" w:eastAsia="Arial" w:hAnsi="Arial"/>
                <w:sz w:val="18"/>
                <w:szCs w:val="18"/>
                <w:color w:val="auto"/>
                <w:w w:val="80"/>
              </w:rPr>
              <w:t>Page</w:t>
            </w:r>
          </w:p>
        </w:tc>
        <w:tc>
          <w:tcPr>
            <w:tcW w:w="0" w:type="dxa"/>
            <w:vAlign w:val="bottom"/>
          </w:tcPr>
          <w:p>
            <w:pPr>
              <w:spacing w:after="0"/>
              <w:rPr>
                <w:sz w:val="1"/>
                <w:szCs w:val="1"/>
                <w:color w:val="auto"/>
              </w:rPr>
            </w:pPr>
          </w:p>
        </w:tc>
      </w:tr>
      <w:tr>
        <w:trPr>
          <w:trHeight w:val="20"/>
        </w:trPr>
        <w:tc>
          <w:tcPr>
            <w:tcW w:w="3800" w:type="dxa"/>
            <w:vAlign w:val="bottom"/>
            <w:tcBorders>
              <w:top w:val="single" w:sz="8" w:color="auto"/>
              <w:bottom w:val="single" w:sz="8" w:color="auto"/>
            </w:tcBorders>
            <w:gridSpan w:val="4"/>
            <w:vMerge w:val="restart"/>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Part I. FINANCIAL INFORMATION</w:t>
              </w:r>
            </w:hyperlink>
          </w:p>
        </w:tc>
        <w:tc>
          <w:tcPr>
            <w:tcW w:w="7060" w:type="dxa"/>
            <w:vAlign w:val="bottom"/>
            <w:gridSpan w:val="8"/>
            <w:vMerge w:val="restart"/>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1"/>
        </w:trPr>
        <w:tc>
          <w:tcPr>
            <w:tcW w:w="3800" w:type="dxa"/>
            <w:vAlign w:val="bottom"/>
            <w:gridSpan w:val="4"/>
            <w:vMerge w:val="continue"/>
          </w:tcPr>
          <w:p>
            <w:pPr>
              <w:spacing w:after="0"/>
              <w:rPr>
                <w:sz w:val="24"/>
                <w:szCs w:val="24"/>
                <w:color w:val="auto"/>
              </w:rPr>
            </w:pPr>
          </w:p>
        </w:tc>
        <w:tc>
          <w:tcPr>
            <w:tcW w:w="7060" w:type="dxa"/>
            <w:vAlign w:val="bottom"/>
            <w:gridSpan w:val="8"/>
            <w:vMerge w:val="continue"/>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1280" w:type="dxa"/>
            <w:vAlign w:val="bottom"/>
          </w:tcPr>
          <w:p>
            <w:pPr>
              <w:ind w:left="220"/>
              <w:spacing w:after="0"/>
              <w:rPr>
                <w:sz w:val="20"/>
                <w:szCs w:val="20"/>
                <w:color w:val="auto"/>
              </w:rPr>
            </w:pPr>
            <w:r>
              <w:rPr>
                <w:rFonts w:ascii="Arial" w:cs="Arial" w:eastAsia="Arial" w:hAnsi="Arial"/>
                <w:sz w:val="18"/>
                <w:szCs w:val="18"/>
                <w:color w:val="auto"/>
              </w:rPr>
              <w:t>Item 1.</w:t>
            </w:r>
          </w:p>
        </w:tc>
        <w:tc>
          <w:tcPr>
            <w:tcW w:w="9580" w:type="dxa"/>
            <w:vAlign w:val="bottom"/>
            <w:gridSpan w:val="11"/>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Statements.</w:t>
              </w:r>
            </w:hyperlink>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1280" w:type="dxa"/>
            <w:vAlign w:val="bottom"/>
          </w:tcPr>
          <w:p>
            <w:pPr>
              <w:spacing w:after="0"/>
              <w:rPr>
                <w:sz w:val="24"/>
                <w:szCs w:val="24"/>
                <w:color w:val="auto"/>
              </w:rPr>
            </w:pPr>
          </w:p>
        </w:tc>
        <w:tc>
          <w:tcPr>
            <w:tcW w:w="9580" w:type="dxa"/>
            <w:vAlign w:val="bottom"/>
            <w:gridSpan w:val="11"/>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CONSOLIDATED BALANCE SHEET – March 31, 2020 and December 31, 2019</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37"/>
        </w:trPr>
        <w:tc>
          <w:tcPr>
            <w:tcW w:w="1280" w:type="dxa"/>
            <w:vAlign w:val="bottom"/>
          </w:tcPr>
          <w:p>
            <w:pPr>
              <w:spacing w:after="0"/>
              <w:rPr>
                <w:sz w:val="24"/>
                <w:szCs w:val="24"/>
                <w:color w:val="auto"/>
              </w:rPr>
            </w:pPr>
          </w:p>
        </w:tc>
        <w:tc>
          <w:tcPr>
            <w:tcW w:w="9580" w:type="dxa"/>
            <w:vAlign w:val="bottom"/>
            <w:gridSpan w:val="11"/>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CONSOLIDATED STATEMENT OF INCOME – Three months ended March 31, 2020 and 2019</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37"/>
        </w:trPr>
        <w:tc>
          <w:tcPr>
            <w:tcW w:w="1280" w:type="dxa"/>
            <w:vAlign w:val="bottom"/>
          </w:tcPr>
          <w:p>
            <w:pPr>
              <w:spacing w:after="0"/>
              <w:rPr>
                <w:sz w:val="24"/>
                <w:szCs w:val="24"/>
                <w:color w:val="auto"/>
              </w:rPr>
            </w:pPr>
          </w:p>
        </w:tc>
        <w:tc>
          <w:tcPr>
            <w:tcW w:w="9580" w:type="dxa"/>
            <w:vAlign w:val="bottom"/>
            <w:gridSpan w:val="11"/>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CONSOLIDATED STATEMENT OF COMPREHENSIVE INCOME – Three months ended March 31, 2020 and 2019</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37"/>
        </w:trPr>
        <w:tc>
          <w:tcPr>
            <w:tcW w:w="1280" w:type="dxa"/>
            <w:vAlign w:val="bottom"/>
          </w:tcPr>
          <w:p>
            <w:pPr>
              <w:spacing w:after="0"/>
              <w:rPr>
                <w:sz w:val="24"/>
                <w:szCs w:val="24"/>
                <w:color w:val="auto"/>
              </w:rPr>
            </w:pPr>
          </w:p>
        </w:tc>
        <w:tc>
          <w:tcPr>
            <w:tcW w:w="9580" w:type="dxa"/>
            <w:vAlign w:val="bottom"/>
            <w:gridSpan w:val="11"/>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CONSOLIDATED STATEMENT OF CASH FLOWS – Three months ended March 31, 2020 and 2019</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97"/>
        </w:trPr>
        <w:tc>
          <w:tcPr>
            <w:tcW w:w="1280" w:type="dxa"/>
            <w:vAlign w:val="bottom"/>
          </w:tcPr>
          <w:p>
            <w:pPr>
              <w:spacing w:after="0"/>
              <w:rPr>
                <w:sz w:val="24"/>
                <w:szCs w:val="24"/>
                <w:color w:val="auto"/>
              </w:rPr>
            </w:pPr>
          </w:p>
        </w:tc>
        <w:tc>
          <w:tcPr>
            <w:tcW w:w="9580" w:type="dxa"/>
            <w:vAlign w:val="bottom"/>
            <w:gridSpan w:val="11"/>
          </w:tcPr>
          <w:p>
            <w:pPr>
              <w:spacing w:after="0"/>
              <w:rPr>
                <w:rFonts w:ascii="Arial" w:cs="Arial" w:eastAsia="Arial" w:hAnsi="Arial"/>
                <w:sz w:val="18"/>
                <w:szCs w:val="18"/>
                <w:color w:val="0000EE"/>
                <w:w w:val="97"/>
              </w:rPr>
            </w:pPr>
            <w:hyperlink w:anchor="page7">
              <w:r>
                <w:rPr>
                  <w:rFonts w:ascii="Arial" w:cs="Arial" w:eastAsia="Arial" w:hAnsi="Arial"/>
                  <w:sz w:val="18"/>
                  <w:szCs w:val="18"/>
                  <w:color w:val="0000EE"/>
                  <w:w w:val="97"/>
                </w:rPr>
                <w:t>CONSOLIDATED STATEMENT OF CHANGES IN SHAREHOLDERS' EQUITY – Three months ended March 31, 2020 and</w:t>
              </w:r>
            </w:hyperlink>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520" w:type="dxa"/>
            <w:vAlign w:val="bottom"/>
            <w:tcBorders>
              <w:top w:val="single" w:sz="8" w:color="0000EE"/>
            </w:tcBorders>
            <w:gridSpan w:val="3"/>
          </w:tcPr>
          <w:p>
            <w:pPr>
              <w:ind w:left="220"/>
              <w:spacing w:after="0" w:line="195" w:lineRule="exact"/>
              <w:rPr>
                <w:rFonts w:ascii="Arial" w:cs="Arial" w:eastAsia="Arial" w:hAnsi="Arial"/>
                <w:sz w:val="18"/>
                <w:szCs w:val="18"/>
                <w:color w:val="0000EE"/>
              </w:rPr>
            </w:pPr>
            <w:hyperlink w:anchor="page7">
              <w:r>
                <w:rPr>
                  <w:rFonts w:ascii="Arial" w:cs="Arial" w:eastAsia="Arial" w:hAnsi="Arial"/>
                  <w:sz w:val="18"/>
                  <w:szCs w:val="18"/>
                  <w:color w:val="0000EE"/>
                </w:rPr>
                <w:t>2019</w:t>
              </w:r>
            </w:hyperlink>
          </w:p>
        </w:tc>
        <w:tc>
          <w:tcPr>
            <w:tcW w:w="10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3120" w:type="dxa"/>
            <w:vAlign w:val="bottom"/>
            <w:tcBorders>
              <w:top w:val="single" w:sz="8" w:color="0000EE"/>
            </w:tcBorders>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jc w:val="right"/>
              <w:spacing w:after="0" w:line="195"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000" w:type="dxa"/>
            <w:vAlign w:val="bottom"/>
            <w:gridSpan w:val="9"/>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280" w:type="dxa"/>
            <w:vAlign w:val="bottom"/>
          </w:tcPr>
          <w:p>
            <w:pPr>
              <w:spacing w:after="0"/>
              <w:rPr>
                <w:sz w:val="24"/>
                <w:szCs w:val="24"/>
                <w:color w:val="auto"/>
              </w:rPr>
            </w:pPr>
          </w:p>
        </w:tc>
        <w:tc>
          <w:tcPr>
            <w:tcW w:w="9580" w:type="dxa"/>
            <w:vAlign w:val="bottom"/>
            <w:gridSpan w:val="11"/>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NOTES TO FINANCIAL STATEMENTS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37"/>
        </w:trPr>
        <w:tc>
          <w:tcPr>
            <w:tcW w:w="1280" w:type="dxa"/>
            <w:vAlign w:val="bottom"/>
          </w:tcPr>
          <w:p>
            <w:pPr>
              <w:ind w:left="220"/>
              <w:spacing w:after="0"/>
              <w:rPr>
                <w:sz w:val="20"/>
                <w:szCs w:val="20"/>
                <w:color w:val="auto"/>
              </w:rPr>
            </w:pPr>
            <w:r>
              <w:rPr>
                <w:rFonts w:ascii="Arial" w:cs="Arial" w:eastAsia="Arial" w:hAnsi="Arial"/>
                <w:sz w:val="18"/>
                <w:szCs w:val="18"/>
                <w:color w:val="auto"/>
              </w:rPr>
              <w:t>Item 2.</w:t>
            </w:r>
          </w:p>
        </w:tc>
        <w:tc>
          <w:tcPr>
            <w:tcW w:w="9580" w:type="dxa"/>
            <w:vAlign w:val="bottom"/>
            <w:gridSpan w:val="11"/>
          </w:tcPr>
          <w:p>
            <w:pPr>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Management's Discussion and Analysis of Financial Condition and Results of Operations.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337"/>
        </w:trPr>
        <w:tc>
          <w:tcPr>
            <w:tcW w:w="1280" w:type="dxa"/>
            <w:vAlign w:val="bottom"/>
          </w:tcPr>
          <w:p>
            <w:pPr>
              <w:ind w:left="220"/>
              <w:spacing w:after="0"/>
              <w:rPr>
                <w:sz w:val="20"/>
                <w:szCs w:val="20"/>
                <w:color w:val="auto"/>
              </w:rPr>
            </w:pPr>
            <w:r>
              <w:rPr>
                <w:rFonts w:ascii="Arial" w:cs="Arial" w:eastAsia="Arial" w:hAnsi="Arial"/>
                <w:sz w:val="18"/>
                <w:szCs w:val="18"/>
                <w:color w:val="auto"/>
              </w:rPr>
              <w:t>Item 3.</w:t>
            </w:r>
          </w:p>
        </w:tc>
        <w:tc>
          <w:tcPr>
            <w:tcW w:w="9580" w:type="dxa"/>
            <w:vAlign w:val="bottom"/>
            <w:gridSpan w:val="11"/>
          </w:tcPr>
          <w:p>
            <w:pPr>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Quantitative and Qualitative Disclosures About Market Risk.</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337"/>
        </w:trPr>
        <w:tc>
          <w:tcPr>
            <w:tcW w:w="1280" w:type="dxa"/>
            <w:vAlign w:val="bottom"/>
          </w:tcPr>
          <w:p>
            <w:pPr>
              <w:ind w:left="220"/>
              <w:spacing w:after="0"/>
              <w:rPr>
                <w:sz w:val="20"/>
                <w:szCs w:val="20"/>
                <w:color w:val="auto"/>
              </w:rPr>
            </w:pPr>
            <w:r>
              <w:rPr>
                <w:rFonts w:ascii="Arial" w:cs="Arial" w:eastAsia="Arial" w:hAnsi="Arial"/>
                <w:sz w:val="18"/>
                <w:szCs w:val="18"/>
                <w:color w:val="auto"/>
              </w:rPr>
              <w:t>Item 4.</w:t>
            </w:r>
          </w:p>
        </w:tc>
        <w:tc>
          <w:tcPr>
            <w:tcW w:w="9580" w:type="dxa"/>
            <w:vAlign w:val="bottom"/>
            <w:gridSpan w:val="11"/>
          </w:tcPr>
          <w:p>
            <w:pPr>
              <w:spacing w:after="0"/>
              <w:rPr>
                <w:rFonts w:ascii="Arial" w:cs="Arial" w:eastAsia="Arial" w:hAnsi="Arial"/>
                <w:sz w:val="18"/>
                <w:szCs w:val="18"/>
                <w:color w:val="0000EE"/>
              </w:rPr>
            </w:pPr>
            <w:hyperlink w:anchor="page81">
              <w:r>
                <w:rPr>
                  <w:rFonts w:ascii="Arial" w:cs="Arial" w:eastAsia="Arial" w:hAnsi="Arial"/>
                  <w:sz w:val="18"/>
                  <w:szCs w:val="18"/>
                  <w:u w:val="single" w:color="auto"/>
                  <w:color w:val="0000EE"/>
                </w:rPr>
                <w:t>Controls and Procedures</w:t>
              </w:r>
              <w:r>
                <w:rPr>
                  <w:rFonts w:ascii="Arial" w:cs="Arial" w:eastAsia="Arial" w:hAnsi="Arial"/>
                  <w:sz w:val="18"/>
                  <w:szCs w:val="18"/>
                  <w:color w:val="0000EE"/>
                </w:rPr>
                <w:t>.</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337"/>
        </w:trPr>
        <w:tc>
          <w:tcPr>
            <w:tcW w:w="10860" w:type="dxa"/>
            <w:vAlign w:val="bottom"/>
            <w:gridSpan w:val="12"/>
          </w:tcPr>
          <w:p>
            <w:pPr>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Part II. OTHER INFORMATION</w:t>
              </w:r>
            </w:hyperlink>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1280" w:type="dxa"/>
            <w:vAlign w:val="bottom"/>
          </w:tcPr>
          <w:p>
            <w:pPr>
              <w:ind w:left="220"/>
              <w:spacing w:after="0"/>
              <w:rPr>
                <w:sz w:val="20"/>
                <w:szCs w:val="20"/>
                <w:color w:val="auto"/>
              </w:rPr>
            </w:pPr>
            <w:r>
              <w:rPr>
                <w:rFonts w:ascii="Arial" w:cs="Arial" w:eastAsia="Arial" w:hAnsi="Arial"/>
                <w:sz w:val="18"/>
                <w:szCs w:val="18"/>
                <w:color w:val="auto"/>
              </w:rPr>
              <w:t>Item 1.</w:t>
            </w:r>
          </w:p>
        </w:tc>
        <w:tc>
          <w:tcPr>
            <w:tcW w:w="9580" w:type="dxa"/>
            <w:vAlign w:val="bottom"/>
            <w:gridSpan w:val="11"/>
          </w:tcPr>
          <w:p>
            <w:pPr>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Legal Proceedings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337"/>
        </w:trPr>
        <w:tc>
          <w:tcPr>
            <w:tcW w:w="1280" w:type="dxa"/>
            <w:vAlign w:val="bottom"/>
          </w:tcPr>
          <w:p>
            <w:pPr>
              <w:ind w:left="220"/>
              <w:spacing w:after="0"/>
              <w:rPr>
                <w:sz w:val="20"/>
                <w:szCs w:val="20"/>
                <w:color w:val="auto"/>
              </w:rPr>
            </w:pPr>
            <w:r>
              <w:rPr>
                <w:rFonts w:ascii="Arial" w:cs="Arial" w:eastAsia="Arial" w:hAnsi="Arial"/>
                <w:sz w:val="18"/>
                <w:szCs w:val="18"/>
                <w:color w:val="auto"/>
              </w:rPr>
              <w:t>Item 1A.</w:t>
            </w:r>
          </w:p>
        </w:tc>
        <w:tc>
          <w:tcPr>
            <w:tcW w:w="9580" w:type="dxa"/>
            <w:vAlign w:val="bottom"/>
            <w:gridSpan w:val="11"/>
          </w:tcPr>
          <w:p>
            <w:pPr>
              <w:spacing w:after="0"/>
              <w:rPr>
                <w:rFonts w:ascii="Arial" w:cs="Arial" w:eastAsia="Arial" w:hAnsi="Arial"/>
                <w:sz w:val="18"/>
                <w:szCs w:val="18"/>
                <w:color w:val="0000EE"/>
              </w:rPr>
            </w:pPr>
            <w:hyperlink w:anchor="page82">
              <w:r>
                <w:rPr>
                  <w:rFonts w:ascii="Arial" w:cs="Arial" w:eastAsia="Arial" w:hAnsi="Arial"/>
                  <w:sz w:val="18"/>
                  <w:szCs w:val="18"/>
                  <w:u w:val="single" w:color="auto"/>
                  <w:color w:val="0000EE"/>
                </w:rPr>
                <w:t>Risk Factors</w:t>
              </w:r>
            </w:hyperlink>
            <w:r>
              <w:rPr>
                <w:rFonts w:ascii="Arial" w:cs="Arial" w:eastAsia="Arial" w:hAnsi="Arial"/>
                <w:sz w:val="18"/>
                <w:szCs w:val="18"/>
                <w:color w:val="000000"/>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337"/>
        </w:trPr>
        <w:tc>
          <w:tcPr>
            <w:tcW w:w="1280" w:type="dxa"/>
            <w:vAlign w:val="bottom"/>
          </w:tcPr>
          <w:p>
            <w:pPr>
              <w:ind w:left="220"/>
              <w:spacing w:after="0"/>
              <w:rPr>
                <w:sz w:val="20"/>
                <w:szCs w:val="20"/>
                <w:color w:val="auto"/>
              </w:rPr>
            </w:pPr>
            <w:r>
              <w:rPr>
                <w:rFonts w:ascii="Arial" w:cs="Arial" w:eastAsia="Arial" w:hAnsi="Arial"/>
                <w:sz w:val="18"/>
                <w:szCs w:val="18"/>
                <w:color w:val="auto"/>
              </w:rPr>
              <w:t>Item 2.</w:t>
            </w:r>
          </w:p>
        </w:tc>
        <w:tc>
          <w:tcPr>
            <w:tcW w:w="9580" w:type="dxa"/>
            <w:vAlign w:val="bottom"/>
            <w:gridSpan w:val="11"/>
          </w:tcPr>
          <w:p>
            <w:pPr>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Unregistered Sales of Equity Securities and Use of Proceeds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337"/>
        </w:trPr>
        <w:tc>
          <w:tcPr>
            <w:tcW w:w="1280" w:type="dxa"/>
            <w:vAlign w:val="bottom"/>
          </w:tcPr>
          <w:p>
            <w:pPr>
              <w:ind w:left="220"/>
              <w:spacing w:after="0"/>
              <w:rPr>
                <w:sz w:val="20"/>
                <w:szCs w:val="20"/>
                <w:color w:val="auto"/>
              </w:rPr>
            </w:pPr>
            <w:r>
              <w:rPr>
                <w:rFonts w:ascii="Arial" w:cs="Arial" w:eastAsia="Arial" w:hAnsi="Arial"/>
                <w:sz w:val="18"/>
                <w:szCs w:val="18"/>
                <w:color w:val="auto"/>
              </w:rPr>
              <w:t>Item 3.</w:t>
            </w:r>
          </w:p>
        </w:tc>
        <w:tc>
          <w:tcPr>
            <w:tcW w:w="9580" w:type="dxa"/>
            <w:vAlign w:val="bottom"/>
            <w:gridSpan w:val="11"/>
          </w:tcPr>
          <w:p>
            <w:pPr>
              <w:spacing w:after="0"/>
              <w:rPr>
                <w:rFonts w:ascii="Arial" w:cs="Arial" w:eastAsia="Arial" w:hAnsi="Arial"/>
                <w:sz w:val="18"/>
                <w:szCs w:val="18"/>
                <w:color w:val="0000EE"/>
              </w:rPr>
            </w:pPr>
            <w:hyperlink w:anchor="page84">
              <w:r>
                <w:rPr>
                  <w:rFonts w:ascii="Arial" w:cs="Arial" w:eastAsia="Arial" w:hAnsi="Arial"/>
                  <w:sz w:val="18"/>
                  <w:szCs w:val="18"/>
                  <w:u w:val="single" w:color="auto"/>
                  <w:color w:val="0000EE"/>
                </w:rPr>
                <w:t>Defaults Upon Senior Securities</w:t>
              </w:r>
              <w:r>
                <w:rPr>
                  <w:rFonts w:ascii="Arial" w:cs="Arial" w:eastAsia="Arial" w:hAnsi="Arial"/>
                  <w:sz w:val="18"/>
                  <w:szCs w:val="18"/>
                  <w:color w:val="0000EE"/>
                </w:rPr>
                <w:t>.</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337"/>
        </w:trPr>
        <w:tc>
          <w:tcPr>
            <w:tcW w:w="1280" w:type="dxa"/>
            <w:vAlign w:val="bottom"/>
          </w:tcPr>
          <w:p>
            <w:pPr>
              <w:ind w:left="220"/>
              <w:spacing w:after="0"/>
              <w:rPr>
                <w:sz w:val="20"/>
                <w:szCs w:val="20"/>
                <w:color w:val="auto"/>
              </w:rPr>
            </w:pPr>
            <w:r>
              <w:rPr>
                <w:rFonts w:ascii="Arial" w:cs="Arial" w:eastAsia="Arial" w:hAnsi="Arial"/>
                <w:sz w:val="18"/>
                <w:szCs w:val="18"/>
                <w:color w:val="auto"/>
              </w:rPr>
              <w:t>Item 4.</w:t>
            </w:r>
          </w:p>
        </w:tc>
        <w:tc>
          <w:tcPr>
            <w:tcW w:w="9580" w:type="dxa"/>
            <w:vAlign w:val="bottom"/>
            <w:gridSpan w:val="11"/>
          </w:tcPr>
          <w:p>
            <w:pPr>
              <w:spacing w:after="0"/>
              <w:rPr>
                <w:rFonts w:ascii="Arial" w:cs="Arial" w:eastAsia="Arial" w:hAnsi="Arial"/>
                <w:sz w:val="18"/>
                <w:szCs w:val="18"/>
                <w:color w:val="0000EE"/>
              </w:rPr>
            </w:pPr>
            <w:hyperlink w:anchor="page84">
              <w:r>
                <w:rPr>
                  <w:rFonts w:ascii="Arial" w:cs="Arial" w:eastAsia="Arial" w:hAnsi="Arial"/>
                  <w:sz w:val="18"/>
                  <w:szCs w:val="18"/>
                  <w:u w:val="single" w:color="auto"/>
                  <w:color w:val="0000EE"/>
                </w:rPr>
                <w:t>Mine Safety Disclosures</w:t>
              </w:r>
              <w:r>
                <w:rPr>
                  <w:rFonts w:ascii="Arial" w:cs="Arial" w:eastAsia="Arial" w:hAnsi="Arial"/>
                  <w:sz w:val="18"/>
                  <w:szCs w:val="18"/>
                  <w:color w:val="0000EE"/>
                </w:rPr>
                <w:t>.</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337"/>
        </w:trPr>
        <w:tc>
          <w:tcPr>
            <w:tcW w:w="1280" w:type="dxa"/>
            <w:vAlign w:val="bottom"/>
          </w:tcPr>
          <w:p>
            <w:pPr>
              <w:ind w:left="220"/>
              <w:spacing w:after="0"/>
              <w:rPr>
                <w:sz w:val="20"/>
                <w:szCs w:val="20"/>
                <w:color w:val="auto"/>
              </w:rPr>
            </w:pPr>
            <w:r>
              <w:rPr>
                <w:rFonts w:ascii="Arial" w:cs="Arial" w:eastAsia="Arial" w:hAnsi="Arial"/>
                <w:sz w:val="18"/>
                <w:szCs w:val="18"/>
                <w:color w:val="auto"/>
              </w:rPr>
              <w:t>Item 5.</w:t>
            </w:r>
          </w:p>
        </w:tc>
        <w:tc>
          <w:tcPr>
            <w:tcW w:w="9580" w:type="dxa"/>
            <w:vAlign w:val="bottom"/>
            <w:gridSpan w:val="11"/>
          </w:tcPr>
          <w:p>
            <w:pPr>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Other Information.</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337"/>
        </w:trPr>
        <w:tc>
          <w:tcPr>
            <w:tcW w:w="1280" w:type="dxa"/>
            <w:vAlign w:val="bottom"/>
          </w:tcPr>
          <w:p>
            <w:pPr>
              <w:ind w:left="220"/>
              <w:spacing w:after="0"/>
              <w:rPr>
                <w:sz w:val="20"/>
                <w:szCs w:val="20"/>
                <w:color w:val="auto"/>
              </w:rPr>
            </w:pPr>
            <w:r>
              <w:rPr>
                <w:rFonts w:ascii="Arial" w:cs="Arial" w:eastAsia="Arial" w:hAnsi="Arial"/>
                <w:sz w:val="18"/>
                <w:szCs w:val="18"/>
                <w:color w:val="auto"/>
              </w:rPr>
              <w:t>Item 6.</w:t>
            </w:r>
          </w:p>
        </w:tc>
        <w:tc>
          <w:tcPr>
            <w:tcW w:w="9580" w:type="dxa"/>
            <w:vAlign w:val="bottom"/>
            <w:gridSpan w:val="11"/>
          </w:tcPr>
          <w:p>
            <w:pPr>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Exhibits.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337"/>
        </w:trPr>
        <w:tc>
          <w:tcPr>
            <w:tcW w:w="1280" w:type="dxa"/>
            <w:vAlign w:val="bottom"/>
          </w:tcPr>
          <w:p>
            <w:pPr>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SIGNATURES</w:t>
              </w:r>
            </w:hyperlink>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769"/>
        </w:trPr>
        <w:tc>
          <w:tcPr>
            <w:tcW w:w="1280" w:type="dxa"/>
            <w:vAlign w:val="bottom"/>
          </w:tcPr>
          <w:p>
            <w:pPr>
              <w:spacing w:after="0"/>
              <w:rPr>
                <w:sz w:val="24"/>
                <w:szCs w:val="24"/>
                <w:color w:val="auto"/>
              </w:rPr>
            </w:pPr>
          </w:p>
        </w:tc>
        <w:tc>
          <w:tcPr>
            <w:tcW w:w="4800" w:type="dxa"/>
            <w:vAlign w:val="bottom"/>
            <w:gridSpan w:val="7"/>
          </w:tcPr>
          <w:p>
            <w:pPr>
              <w:jc w:val="center"/>
              <w:ind w:left="3810"/>
              <w:spacing w:after="0"/>
              <w:rPr>
                <w:sz w:val="20"/>
                <w:szCs w:val="20"/>
                <w:color w:val="auto"/>
              </w:rPr>
            </w:pPr>
            <w:r>
              <w:rPr>
                <w:rFonts w:ascii="Arial" w:cs="Arial" w:eastAsia="Arial" w:hAnsi="Arial"/>
                <w:sz w:val="18"/>
                <w:szCs w:val="18"/>
                <w:color w:val="auto"/>
                <w:w w:val="93"/>
              </w:rPr>
              <w:t>- 2 -</w:t>
            </w: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9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31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-7620</wp:posOffset>
            </wp:positionV>
            <wp:extent cx="825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25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1"/>
          <w:szCs w:val="21"/>
          <w:color w:val="auto"/>
        </w:rPr>
        <w:t>PART I. FINANCIAL INFORMATION</w:t>
      </w:r>
    </w:p>
    <w:p>
      <w:pPr>
        <w:spacing w:after="0" w:line="109" w:lineRule="exact"/>
        <w:rPr>
          <w:sz w:val="20"/>
          <w:szCs w:val="20"/>
          <w:color w:val="auto"/>
        </w:rPr>
      </w:pPr>
    </w:p>
    <w:p>
      <w:pPr>
        <w:spacing w:after="0"/>
        <w:rPr>
          <w:sz w:val="20"/>
          <w:szCs w:val="20"/>
          <w:color w:val="auto"/>
        </w:rPr>
      </w:pPr>
      <w:r>
        <w:rPr>
          <w:rFonts w:ascii="Arial" w:cs="Arial" w:eastAsia="Arial" w:hAnsi="Arial"/>
          <w:sz w:val="21"/>
          <w:szCs w:val="21"/>
          <w:color w:val="auto"/>
        </w:rPr>
        <w:t>Item 1. Financial Statements.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M&amp;T BANK CORPORATION AND SUBSIDIARIES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CONSOLIDATED BALANCE SHEET (Unaudited)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90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(Dollars in thousands, except per share)</w:t>
            </w: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64"/>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r>
      <w:tr>
        <w:trPr>
          <w:trHeight w:val="209"/>
        </w:trPr>
        <w:tc>
          <w:tcPr>
            <w:tcW w:w="79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175"/>
        </w:trPr>
        <w:tc>
          <w:tcPr>
            <w:tcW w:w="7900" w:type="dxa"/>
            <w:vAlign w:val="bottom"/>
          </w:tcPr>
          <w:p>
            <w:pPr>
              <w:spacing w:after="0"/>
              <w:rPr>
                <w:sz w:val="20"/>
                <w:szCs w:val="20"/>
                <w:color w:val="auto"/>
              </w:rPr>
            </w:pPr>
            <w:r>
              <w:rPr>
                <w:rFonts w:ascii="Arial" w:cs="Arial" w:eastAsia="Arial" w:hAnsi="Arial"/>
                <w:sz w:val="15"/>
                <w:szCs w:val="15"/>
                <w:color w:val="auto"/>
              </w:rPr>
              <w:t>Cash and due from banks</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1,298,192</w:t>
            </w:r>
          </w:p>
        </w:tc>
        <w:tc>
          <w:tcPr>
            <w:tcW w:w="440" w:type="dxa"/>
            <w:vAlign w:val="bottom"/>
          </w:tcPr>
          <w:p>
            <w:pPr>
              <w:spacing w:after="0"/>
              <w:rPr>
                <w:sz w:val="15"/>
                <w:szCs w:val="15"/>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1,432,805</w:t>
            </w:r>
          </w:p>
        </w:tc>
        <w:tc>
          <w:tcPr>
            <w:tcW w:w="120" w:type="dxa"/>
            <w:vAlign w:val="bottom"/>
          </w:tcPr>
          <w:p>
            <w:pPr>
              <w:spacing w:after="0"/>
              <w:rPr>
                <w:sz w:val="15"/>
                <w:szCs w:val="15"/>
                <w:color w:val="auto"/>
              </w:rPr>
            </w:pPr>
          </w:p>
        </w:tc>
      </w:tr>
      <w:tr>
        <w:trPr>
          <w:trHeight w:val="175"/>
        </w:trPr>
        <w:tc>
          <w:tcPr>
            <w:tcW w:w="7900" w:type="dxa"/>
            <w:vAlign w:val="bottom"/>
            <w:shd w:val="clear" w:color="auto" w:fill="CFF0FC"/>
          </w:tcPr>
          <w:p>
            <w:pPr>
              <w:spacing w:after="0"/>
              <w:rPr>
                <w:sz w:val="20"/>
                <w:szCs w:val="20"/>
                <w:color w:val="auto"/>
              </w:rPr>
            </w:pPr>
            <w:r>
              <w:rPr>
                <w:rFonts w:ascii="Arial" w:cs="Arial" w:eastAsia="Arial" w:hAnsi="Arial"/>
                <w:sz w:val="15"/>
                <w:szCs w:val="15"/>
                <w:color w:val="auto"/>
              </w:rPr>
              <w:t>Interest-bearing deposits at banks</w:t>
            </w:r>
          </w:p>
        </w:tc>
        <w:tc>
          <w:tcPr>
            <w:tcW w:w="24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8,896,307</w:t>
            </w:r>
          </w:p>
        </w:tc>
        <w:tc>
          <w:tcPr>
            <w:tcW w:w="4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7,190,154</w:t>
            </w:r>
          </w:p>
        </w:tc>
        <w:tc>
          <w:tcPr>
            <w:tcW w:w="120" w:type="dxa"/>
            <w:vAlign w:val="bottom"/>
            <w:shd w:val="clear" w:color="auto" w:fill="CFF0FC"/>
          </w:tcPr>
          <w:p>
            <w:pPr>
              <w:spacing w:after="0"/>
              <w:rPr>
                <w:sz w:val="15"/>
                <w:szCs w:val="15"/>
                <w:color w:val="auto"/>
              </w:rPr>
            </w:pPr>
          </w:p>
        </w:tc>
      </w:tr>
      <w:tr>
        <w:trPr>
          <w:trHeight w:val="175"/>
        </w:trPr>
        <w:tc>
          <w:tcPr>
            <w:tcW w:w="7900" w:type="dxa"/>
            <w:vAlign w:val="bottom"/>
          </w:tcPr>
          <w:p>
            <w:pPr>
              <w:spacing w:after="0"/>
              <w:rPr>
                <w:sz w:val="20"/>
                <w:szCs w:val="20"/>
                <w:color w:val="auto"/>
              </w:rPr>
            </w:pPr>
            <w:r>
              <w:rPr>
                <w:rFonts w:ascii="Arial" w:cs="Arial" w:eastAsia="Arial" w:hAnsi="Arial"/>
                <w:sz w:val="15"/>
                <w:szCs w:val="15"/>
                <w:color w:val="auto"/>
              </w:rPr>
              <w:t>Federal funds sold</w:t>
            </w:r>
          </w:p>
        </w:tc>
        <w:tc>
          <w:tcPr>
            <w:tcW w:w="240" w:type="dxa"/>
            <w:vAlign w:val="bottom"/>
          </w:tcPr>
          <w:p>
            <w:pPr>
              <w:spacing w:after="0"/>
              <w:rPr>
                <w:sz w:val="15"/>
                <w:szCs w:val="15"/>
                <w:color w:val="auto"/>
              </w:rPr>
            </w:pPr>
          </w:p>
        </w:tc>
        <w:tc>
          <w:tcPr>
            <w:tcW w:w="1580" w:type="dxa"/>
            <w:vAlign w:val="bottom"/>
            <w:gridSpan w:val="2"/>
          </w:tcPr>
          <w:p>
            <w:pPr>
              <w:jc w:val="right"/>
              <w:ind w:right="4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3,500</w:t>
            </w:r>
          </w:p>
        </w:tc>
        <w:tc>
          <w:tcPr>
            <w:tcW w:w="120" w:type="dxa"/>
            <w:vAlign w:val="bottom"/>
          </w:tcPr>
          <w:p>
            <w:pPr>
              <w:spacing w:after="0"/>
              <w:rPr>
                <w:sz w:val="15"/>
                <w:szCs w:val="15"/>
                <w:color w:val="auto"/>
              </w:rPr>
            </w:pPr>
          </w:p>
        </w:tc>
      </w:tr>
      <w:tr>
        <w:trPr>
          <w:trHeight w:val="175"/>
        </w:trPr>
        <w:tc>
          <w:tcPr>
            <w:tcW w:w="7900" w:type="dxa"/>
            <w:vAlign w:val="bottom"/>
            <w:shd w:val="clear" w:color="auto" w:fill="CFF0FC"/>
          </w:tcPr>
          <w:p>
            <w:pPr>
              <w:spacing w:after="0"/>
              <w:rPr>
                <w:sz w:val="20"/>
                <w:szCs w:val="20"/>
                <w:color w:val="auto"/>
              </w:rPr>
            </w:pPr>
            <w:r>
              <w:rPr>
                <w:rFonts w:ascii="Arial" w:cs="Arial" w:eastAsia="Arial" w:hAnsi="Arial"/>
                <w:sz w:val="15"/>
                <w:szCs w:val="15"/>
                <w:color w:val="auto"/>
              </w:rPr>
              <w:t>Trading account</w:t>
            </w:r>
          </w:p>
        </w:tc>
        <w:tc>
          <w:tcPr>
            <w:tcW w:w="24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1,224,291</w:t>
            </w:r>
          </w:p>
        </w:tc>
        <w:tc>
          <w:tcPr>
            <w:tcW w:w="4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470,129</w:t>
            </w:r>
          </w:p>
        </w:tc>
        <w:tc>
          <w:tcPr>
            <w:tcW w:w="120" w:type="dxa"/>
            <w:vAlign w:val="bottom"/>
            <w:shd w:val="clear" w:color="auto" w:fill="CFF0FC"/>
          </w:tcPr>
          <w:p>
            <w:pPr>
              <w:spacing w:after="0"/>
              <w:rPr>
                <w:sz w:val="15"/>
                <w:szCs w:val="15"/>
                <w:color w:val="auto"/>
              </w:rPr>
            </w:pPr>
          </w:p>
        </w:tc>
      </w:tr>
      <w:tr>
        <w:trPr>
          <w:trHeight w:val="162"/>
        </w:trPr>
        <w:tc>
          <w:tcPr>
            <w:tcW w:w="7900" w:type="dxa"/>
            <w:vAlign w:val="bottom"/>
          </w:tcPr>
          <w:p>
            <w:pPr>
              <w:spacing w:after="0" w:line="162" w:lineRule="exact"/>
              <w:rPr>
                <w:sz w:val="20"/>
                <w:szCs w:val="20"/>
                <w:color w:val="auto"/>
              </w:rPr>
            </w:pPr>
            <w:r>
              <w:rPr>
                <w:rFonts w:ascii="Arial" w:cs="Arial" w:eastAsia="Arial" w:hAnsi="Arial"/>
                <w:sz w:val="15"/>
                <w:szCs w:val="15"/>
                <w:color w:val="auto"/>
              </w:rPr>
              <w:t>Investment securities (includes pledged securities that can be sold or repledged of</w:t>
            </w: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5"/>
        </w:trPr>
        <w:tc>
          <w:tcPr>
            <w:tcW w:w="7900" w:type="dxa"/>
            <w:vAlign w:val="bottom"/>
          </w:tcPr>
          <w:p>
            <w:pPr>
              <w:ind w:left="120"/>
              <w:spacing w:after="0"/>
              <w:rPr>
                <w:sz w:val="20"/>
                <w:szCs w:val="20"/>
                <w:color w:val="auto"/>
              </w:rPr>
            </w:pPr>
            <w:r>
              <w:rPr>
                <w:rFonts w:ascii="Arial" w:cs="Arial" w:eastAsia="Arial" w:hAnsi="Arial"/>
                <w:sz w:val="15"/>
                <w:szCs w:val="15"/>
                <w:color w:val="auto"/>
              </w:rPr>
              <w:t>$195,217 at March 31, 2020; $200,339 at December 31, 2019)</w:t>
            </w: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62"/>
        </w:trPr>
        <w:tc>
          <w:tcPr>
            <w:tcW w:w="7900" w:type="dxa"/>
            <w:vAlign w:val="bottom"/>
            <w:shd w:val="clear" w:color="auto" w:fill="CFF0FC"/>
          </w:tcPr>
          <w:p>
            <w:pPr>
              <w:ind w:left="260"/>
              <w:spacing w:after="0" w:line="162" w:lineRule="exact"/>
              <w:rPr>
                <w:sz w:val="20"/>
                <w:szCs w:val="20"/>
                <w:color w:val="auto"/>
              </w:rPr>
            </w:pPr>
            <w:r>
              <w:rPr>
                <w:rFonts w:ascii="Arial" w:cs="Arial" w:eastAsia="Arial" w:hAnsi="Arial"/>
                <w:sz w:val="15"/>
                <w:szCs w:val="15"/>
                <w:color w:val="auto"/>
              </w:rPr>
              <w:t>Available for sale (cost: $5,948,056 at March 31, 2020;</w:t>
            </w:r>
          </w:p>
        </w:tc>
        <w:tc>
          <w:tcPr>
            <w:tcW w:w="24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75"/>
        </w:trPr>
        <w:tc>
          <w:tcPr>
            <w:tcW w:w="7900" w:type="dxa"/>
            <w:vAlign w:val="bottom"/>
            <w:shd w:val="clear" w:color="auto" w:fill="CFF0FC"/>
          </w:tcPr>
          <w:p>
            <w:pPr>
              <w:ind w:left="360"/>
              <w:spacing w:after="0"/>
              <w:rPr>
                <w:sz w:val="20"/>
                <w:szCs w:val="20"/>
                <w:color w:val="auto"/>
              </w:rPr>
            </w:pPr>
            <w:r>
              <w:rPr>
                <w:rFonts w:ascii="Arial" w:cs="Arial" w:eastAsia="Arial" w:hAnsi="Arial"/>
                <w:sz w:val="15"/>
                <w:szCs w:val="15"/>
                <w:color w:val="auto"/>
              </w:rPr>
              <w:t>$6,258,276 at December 31, 2019)</w:t>
            </w:r>
          </w:p>
        </w:tc>
        <w:tc>
          <w:tcPr>
            <w:tcW w:w="24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6,139,979</w:t>
            </w:r>
          </w:p>
        </w:tc>
        <w:tc>
          <w:tcPr>
            <w:tcW w:w="4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6,318,776</w:t>
            </w:r>
          </w:p>
        </w:tc>
        <w:tc>
          <w:tcPr>
            <w:tcW w:w="120" w:type="dxa"/>
            <w:vAlign w:val="bottom"/>
            <w:shd w:val="clear" w:color="auto" w:fill="CFF0FC"/>
          </w:tcPr>
          <w:p>
            <w:pPr>
              <w:spacing w:after="0"/>
              <w:rPr>
                <w:sz w:val="15"/>
                <w:szCs w:val="15"/>
                <w:color w:val="auto"/>
              </w:rPr>
            </w:pPr>
          </w:p>
        </w:tc>
      </w:tr>
      <w:tr>
        <w:trPr>
          <w:trHeight w:val="162"/>
        </w:trPr>
        <w:tc>
          <w:tcPr>
            <w:tcW w:w="7900" w:type="dxa"/>
            <w:vAlign w:val="bottom"/>
          </w:tcPr>
          <w:p>
            <w:pPr>
              <w:ind w:left="260"/>
              <w:spacing w:after="0" w:line="162" w:lineRule="exact"/>
              <w:rPr>
                <w:sz w:val="20"/>
                <w:szCs w:val="20"/>
                <w:color w:val="auto"/>
              </w:rPr>
            </w:pPr>
            <w:r>
              <w:rPr>
                <w:rFonts w:ascii="Arial" w:cs="Arial" w:eastAsia="Arial" w:hAnsi="Arial"/>
                <w:sz w:val="15"/>
                <w:szCs w:val="15"/>
                <w:color w:val="auto"/>
              </w:rPr>
              <w:t>Held to maturity (fair value: $2,397,849 at March 31, 2020;</w:t>
            </w: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5"/>
        </w:trPr>
        <w:tc>
          <w:tcPr>
            <w:tcW w:w="7900" w:type="dxa"/>
            <w:vAlign w:val="bottom"/>
          </w:tcPr>
          <w:p>
            <w:pPr>
              <w:ind w:left="360"/>
              <w:spacing w:after="0"/>
              <w:rPr>
                <w:sz w:val="20"/>
                <w:szCs w:val="20"/>
                <w:color w:val="auto"/>
              </w:rPr>
            </w:pPr>
            <w:r>
              <w:rPr>
                <w:rFonts w:ascii="Arial" w:cs="Arial" w:eastAsia="Arial" w:hAnsi="Arial"/>
                <w:sz w:val="15"/>
                <w:szCs w:val="15"/>
                <w:color w:val="auto"/>
              </w:rPr>
              <w:t>$2,699,206 at December 31, 2019)</w:t>
            </w:r>
          </w:p>
        </w:tc>
        <w:tc>
          <w:tcPr>
            <w:tcW w:w="2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2,300,642</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2,656,917</w:t>
            </w:r>
          </w:p>
        </w:tc>
        <w:tc>
          <w:tcPr>
            <w:tcW w:w="120" w:type="dxa"/>
            <w:vAlign w:val="bottom"/>
          </w:tcPr>
          <w:p>
            <w:pPr>
              <w:spacing w:after="0"/>
              <w:rPr>
                <w:sz w:val="15"/>
                <w:szCs w:val="15"/>
                <w:color w:val="auto"/>
              </w:rPr>
            </w:pPr>
          </w:p>
        </w:tc>
      </w:tr>
      <w:tr>
        <w:trPr>
          <w:trHeight w:val="162"/>
        </w:trPr>
        <w:tc>
          <w:tcPr>
            <w:tcW w:w="7900" w:type="dxa"/>
            <w:vAlign w:val="bottom"/>
            <w:shd w:val="clear" w:color="auto" w:fill="CFF0FC"/>
          </w:tcPr>
          <w:p>
            <w:pPr>
              <w:ind w:left="260"/>
              <w:spacing w:after="0" w:line="162" w:lineRule="exact"/>
              <w:rPr>
                <w:sz w:val="20"/>
                <w:szCs w:val="20"/>
                <w:color w:val="auto"/>
              </w:rPr>
            </w:pPr>
            <w:r>
              <w:rPr>
                <w:rFonts w:ascii="Arial" w:cs="Arial" w:eastAsia="Arial" w:hAnsi="Arial"/>
                <w:sz w:val="15"/>
                <w:szCs w:val="15"/>
                <w:color w:val="auto"/>
              </w:rPr>
              <w:t>Equity and other securities (cost: $502,234 at March 31, 2020;</w:t>
            </w:r>
          </w:p>
        </w:tc>
        <w:tc>
          <w:tcPr>
            <w:tcW w:w="24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75"/>
        </w:trPr>
        <w:tc>
          <w:tcPr>
            <w:tcW w:w="7900" w:type="dxa"/>
            <w:vAlign w:val="bottom"/>
            <w:shd w:val="clear" w:color="auto" w:fill="CFF0FC"/>
          </w:tcPr>
          <w:p>
            <w:pPr>
              <w:ind w:left="360"/>
              <w:spacing w:after="0"/>
              <w:rPr>
                <w:sz w:val="20"/>
                <w:szCs w:val="20"/>
                <w:color w:val="auto"/>
              </w:rPr>
            </w:pPr>
            <w:r>
              <w:rPr>
                <w:rFonts w:ascii="Arial" w:cs="Arial" w:eastAsia="Arial" w:hAnsi="Arial"/>
                <w:sz w:val="15"/>
                <w:szCs w:val="15"/>
                <w:color w:val="auto"/>
              </w:rPr>
              <w:t>$487,041 at December 31, 2019)</w:t>
            </w:r>
          </w:p>
        </w:tc>
        <w:tc>
          <w:tcPr>
            <w:tcW w:w="24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515,969</w:t>
            </w:r>
          </w:p>
        </w:tc>
        <w:tc>
          <w:tcPr>
            <w:tcW w:w="440" w:type="dxa"/>
            <w:vAlign w:val="bottom"/>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521,558</w:t>
            </w:r>
          </w:p>
        </w:tc>
        <w:tc>
          <w:tcPr>
            <w:tcW w:w="120" w:type="dxa"/>
            <w:vAlign w:val="bottom"/>
            <w:shd w:val="clear" w:color="auto" w:fill="CFF0FC"/>
          </w:tcPr>
          <w:p>
            <w:pPr>
              <w:spacing w:after="0"/>
              <w:rPr>
                <w:sz w:val="15"/>
                <w:szCs w:val="15"/>
                <w:color w:val="auto"/>
              </w:rPr>
            </w:pPr>
          </w:p>
        </w:tc>
      </w:tr>
      <w:tr>
        <w:trPr>
          <w:trHeight w:val="169"/>
        </w:trPr>
        <w:tc>
          <w:tcPr>
            <w:tcW w:w="7900" w:type="dxa"/>
            <w:vAlign w:val="bottom"/>
            <w:tcBorders>
              <w:bottom w:val="single" w:sz="8" w:color="CFF0FC"/>
            </w:tcBorders>
          </w:tcPr>
          <w:p>
            <w:pPr>
              <w:ind w:left="500"/>
              <w:spacing w:after="0" w:line="169" w:lineRule="exact"/>
              <w:rPr>
                <w:sz w:val="20"/>
                <w:szCs w:val="20"/>
                <w:color w:val="auto"/>
              </w:rPr>
            </w:pPr>
            <w:r>
              <w:rPr>
                <w:rFonts w:ascii="Arial" w:cs="Arial" w:eastAsia="Arial" w:hAnsi="Arial"/>
                <w:sz w:val="15"/>
                <w:szCs w:val="15"/>
                <w:color w:val="auto"/>
              </w:rPr>
              <w:t>Total investment securities</w:t>
            </w: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8,956,590</w:t>
            </w:r>
          </w:p>
        </w:tc>
        <w:tc>
          <w:tcPr>
            <w:tcW w:w="44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9,497,251</w:t>
            </w:r>
          </w:p>
        </w:tc>
        <w:tc>
          <w:tcPr>
            <w:tcW w:w="120" w:type="dxa"/>
            <w:vAlign w:val="bottom"/>
            <w:tcBorders>
              <w:bottom w:val="single" w:sz="8" w:color="CFF0FC"/>
            </w:tcBorders>
          </w:tcPr>
          <w:p>
            <w:pPr>
              <w:spacing w:after="0"/>
              <w:rPr>
                <w:sz w:val="14"/>
                <w:szCs w:val="14"/>
                <w:color w:val="auto"/>
              </w:rPr>
            </w:pPr>
          </w:p>
        </w:tc>
      </w:tr>
      <w:tr>
        <w:trPr>
          <w:trHeight w:val="169"/>
        </w:trPr>
        <w:tc>
          <w:tcPr>
            <w:tcW w:w="790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Loans and leases</w:t>
            </w:r>
          </w:p>
        </w:tc>
        <w:tc>
          <w:tcPr>
            <w:tcW w:w="24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94,408,178</w:t>
            </w:r>
          </w:p>
        </w:tc>
        <w:tc>
          <w:tcPr>
            <w:tcW w:w="4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91,188,525</w:t>
            </w:r>
          </w:p>
        </w:tc>
        <w:tc>
          <w:tcPr>
            <w:tcW w:w="120" w:type="dxa"/>
            <w:vAlign w:val="bottom"/>
            <w:shd w:val="clear" w:color="auto" w:fill="CFF0FC"/>
          </w:tcPr>
          <w:p>
            <w:pPr>
              <w:spacing w:after="0"/>
              <w:rPr>
                <w:sz w:val="14"/>
                <w:szCs w:val="14"/>
                <w:color w:val="auto"/>
              </w:rPr>
            </w:pPr>
          </w:p>
        </w:tc>
      </w:tr>
      <w:tr>
        <w:trPr>
          <w:trHeight w:val="175"/>
        </w:trPr>
        <w:tc>
          <w:tcPr>
            <w:tcW w:w="7900" w:type="dxa"/>
            <w:vAlign w:val="bottom"/>
          </w:tcPr>
          <w:p>
            <w:pPr>
              <w:ind w:left="260"/>
              <w:spacing w:after="0"/>
              <w:rPr>
                <w:sz w:val="20"/>
                <w:szCs w:val="20"/>
                <w:color w:val="auto"/>
              </w:rPr>
            </w:pPr>
            <w:r>
              <w:rPr>
                <w:rFonts w:ascii="Arial" w:cs="Arial" w:eastAsia="Arial" w:hAnsi="Arial"/>
                <w:sz w:val="15"/>
                <w:szCs w:val="15"/>
                <w:color w:val="auto"/>
              </w:rPr>
              <w:t>Unearned discount</w:t>
            </w:r>
          </w:p>
        </w:tc>
        <w:tc>
          <w:tcPr>
            <w:tcW w:w="240" w:type="dxa"/>
            <w:vAlign w:val="bottom"/>
          </w:tcPr>
          <w:p>
            <w:pPr>
              <w:spacing w:after="0"/>
              <w:rPr>
                <w:sz w:val="15"/>
                <w:szCs w:val="15"/>
                <w:color w:val="auto"/>
              </w:rPr>
            </w:pPr>
          </w:p>
        </w:tc>
        <w:tc>
          <w:tcPr>
            <w:tcW w:w="1580" w:type="dxa"/>
            <w:vAlign w:val="bottom"/>
            <w:gridSpan w:val="2"/>
          </w:tcPr>
          <w:p>
            <w:pPr>
              <w:jc w:val="right"/>
              <w:ind w:right="380"/>
              <w:spacing w:after="0"/>
              <w:rPr>
                <w:sz w:val="20"/>
                <w:szCs w:val="20"/>
                <w:color w:val="auto"/>
              </w:rPr>
            </w:pPr>
            <w:r>
              <w:rPr>
                <w:rFonts w:ascii="Arial" w:cs="Arial" w:eastAsia="Arial" w:hAnsi="Arial"/>
                <w:sz w:val="15"/>
                <w:szCs w:val="15"/>
                <w:color w:val="auto"/>
              </w:rPr>
              <w:t>(265,903)</w:t>
            </w:r>
          </w:p>
        </w:tc>
        <w:tc>
          <w:tcPr>
            <w:tcW w:w="180" w:type="dxa"/>
            <w:vAlign w:val="bottom"/>
          </w:tcPr>
          <w:p>
            <w:pPr>
              <w:spacing w:after="0"/>
              <w:rPr>
                <w:sz w:val="15"/>
                <w:szCs w:val="15"/>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5"/>
                <w:szCs w:val="15"/>
                <w:color w:val="auto"/>
              </w:rPr>
              <w:t>(265,656)</w:t>
            </w:r>
          </w:p>
        </w:tc>
      </w:tr>
      <w:tr>
        <w:trPr>
          <w:trHeight w:val="169"/>
        </w:trPr>
        <w:tc>
          <w:tcPr>
            <w:tcW w:w="7900" w:type="dxa"/>
            <w:vAlign w:val="bottom"/>
            <w:tcBorders>
              <w:top w:val="single" w:sz="8" w:color="CFF0FC"/>
            </w:tcBorders>
            <w:shd w:val="clear" w:color="auto" w:fill="CFF0FC"/>
          </w:tcPr>
          <w:p>
            <w:pPr>
              <w:ind w:left="380"/>
              <w:spacing w:after="0" w:line="169" w:lineRule="exact"/>
              <w:rPr>
                <w:sz w:val="20"/>
                <w:szCs w:val="20"/>
                <w:color w:val="auto"/>
              </w:rPr>
            </w:pPr>
            <w:r>
              <w:rPr>
                <w:rFonts w:ascii="Arial" w:cs="Arial" w:eastAsia="Arial" w:hAnsi="Arial"/>
                <w:sz w:val="15"/>
                <w:szCs w:val="15"/>
                <w:color w:val="auto"/>
              </w:rPr>
              <w:t>Loans and leases, net of unearned discount</w:t>
            </w:r>
          </w:p>
        </w:tc>
        <w:tc>
          <w:tcPr>
            <w:tcW w:w="240" w:type="dxa"/>
            <w:vAlign w:val="bottom"/>
            <w:tcBorders>
              <w:top w:val="single" w:sz="8" w:color="auto"/>
            </w:tcBorders>
            <w:shd w:val="clear" w:color="auto" w:fill="CFF0FC"/>
          </w:tcPr>
          <w:p>
            <w:pPr>
              <w:spacing w:after="0"/>
              <w:rPr>
                <w:sz w:val="14"/>
                <w:szCs w:val="14"/>
                <w:color w:val="auto"/>
              </w:rPr>
            </w:pPr>
          </w:p>
        </w:tc>
        <w:tc>
          <w:tcPr>
            <w:tcW w:w="114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94,142,275</w:t>
            </w:r>
          </w:p>
        </w:tc>
        <w:tc>
          <w:tcPr>
            <w:tcW w:w="440" w:type="dxa"/>
            <w:vAlign w:val="bottom"/>
            <w:tcBorders>
              <w:top w:val="single" w:sz="8" w:color="CFF0FC"/>
            </w:tcBorders>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122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90,922,869</w:t>
            </w:r>
          </w:p>
        </w:tc>
        <w:tc>
          <w:tcPr>
            <w:tcW w:w="120" w:type="dxa"/>
            <w:vAlign w:val="bottom"/>
            <w:tcBorders>
              <w:top w:val="single" w:sz="8" w:color="CFF0FC"/>
            </w:tcBorders>
            <w:shd w:val="clear" w:color="auto" w:fill="CFF0FC"/>
          </w:tcPr>
          <w:p>
            <w:pPr>
              <w:spacing w:after="0"/>
              <w:rPr>
                <w:sz w:val="14"/>
                <w:szCs w:val="14"/>
                <w:color w:val="auto"/>
              </w:rPr>
            </w:pPr>
          </w:p>
        </w:tc>
      </w:tr>
      <w:tr>
        <w:trPr>
          <w:trHeight w:val="175"/>
        </w:trPr>
        <w:tc>
          <w:tcPr>
            <w:tcW w:w="7900" w:type="dxa"/>
            <w:vAlign w:val="bottom"/>
          </w:tcPr>
          <w:p>
            <w:pPr>
              <w:ind w:left="260"/>
              <w:spacing w:after="0"/>
              <w:rPr>
                <w:sz w:val="20"/>
                <w:szCs w:val="20"/>
                <w:color w:val="auto"/>
              </w:rPr>
            </w:pPr>
            <w:r>
              <w:rPr>
                <w:rFonts w:ascii="Arial" w:cs="Arial" w:eastAsia="Arial" w:hAnsi="Arial"/>
                <w:sz w:val="15"/>
                <w:szCs w:val="15"/>
                <w:color w:val="auto"/>
              </w:rPr>
              <w:t>Allowance for credit losses</w:t>
            </w:r>
          </w:p>
        </w:tc>
        <w:tc>
          <w:tcPr>
            <w:tcW w:w="240" w:type="dxa"/>
            <w:vAlign w:val="bottom"/>
          </w:tcPr>
          <w:p>
            <w:pPr>
              <w:spacing w:after="0"/>
              <w:rPr>
                <w:sz w:val="15"/>
                <w:szCs w:val="15"/>
                <w:color w:val="auto"/>
              </w:rPr>
            </w:pPr>
          </w:p>
        </w:tc>
        <w:tc>
          <w:tcPr>
            <w:tcW w:w="1580" w:type="dxa"/>
            <w:vAlign w:val="bottom"/>
            <w:gridSpan w:val="2"/>
          </w:tcPr>
          <w:p>
            <w:pPr>
              <w:jc w:val="right"/>
              <w:ind w:right="380"/>
              <w:spacing w:after="0"/>
              <w:rPr>
                <w:sz w:val="20"/>
                <w:szCs w:val="20"/>
                <w:color w:val="auto"/>
              </w:rPr>
            </w:pPr>
            <w:r>
              <w:rPr>
                <w:rFonts w:ascii="Arial" w:cs="Arial" w:eastAsia="Arial" w:hAnsi="Arial"/>
                <w:sz w:val="15"/>
                <w:szCs w:val="15"/>
                <w:color w:val="auto"/>
              </w:rPr>
              <w:t>(1,384,366)</w:t>
            </w:r>
          </w:p>
        </w:tc>
        <w:tc>
          <w:tcPr>
            <w:tcW w:w="180" w:type="dxa"/>
            <w:vAlign w:val="bottom"/>
          </w:tcPr>
          <w:p>
            <w:pPr>
              <w:spacing w:after="0"/>
              <w:rPr>
                <w:sz w:val="15"/>
                <w:szCs w:val="15"/>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5"/>
                <w:szCs w:val="15"/>
                <w:color w:val="auto"/>
              </w:rPr>
              <w:t>(1,051,071)</w:t>
            </w:r>
          </w:p>
        </w:tc>
      </w:tr>
      <w:tr>
        <w:trPr>
          <w:trHeight w:val="169"/>
        </w:trPr>
        <w:tc>
          <w:tcPr>
            <w:tcW w:w="7900" w:type="dxa"/>
            <w:vAlign w:val="bottom"/>
            <w:tcBorders>
              <w:top w:val="single" w:sz="8" w:color="CFF0FC"/>
            </w:tcBorders>
            <w:shd w:val="clear" w:color="auto" w:fill="CFF0FC"/>
          </w:tcPr>
          <w:p>
            <w:pPr>
              <w:ind w:left="380"/>
              <w:spacing w:after="0" w:line="169" w:lineRule="exact"/>
              <w:rPr>
                <w:sz w:val="20"/>
                <w:szCs w:val="20"/>
                <w:color w:val="auto"/>
              </w:rPr>
            </w:pPr>
            <w:r>
              <w:rPr>
                <w:rFonts w:ascii="Arial" w:cs="Arial" w:eastAsia="Arial" w:hAnsi="Arial"/>
                <w:sz w:val="15"/>
                <w:szCs w:val="15"/>
                <w:color w:val="auto"/>
              </w:rPr>
              <w:t>Loans and leases, net</w:t>
            </w:r>
          </w:p>
        </w:tc>
        <w:tc>
          <w:tcPr>
            <w:tcW w:w="240" w:type="dxa"/>
            <w:vAlign w:val="bottom"/>
            <w:tcBorders>
              <w:top w:val="single" w:sz="8" w:color="auto"/>
              <w:bottom w:val="single" w:sz="8" w:color="auto"/>
            </w:tcBorders>
            <w:shd w:val="clear" w:color="auto" w:fill="CFF0FC"/>
          </w:tcPr>
          <w:p>
            <w:pPr>
              <w:spacing w:after="0"/>
              <w:rPr>
                <w:sz w:val="14"/>
                <w:szCs w:val="14"/>
                <w:color w:val="auto"/>
              </w:rPr>
            </w:pPr>
          </w:p>
        </w:tc>
        <w:tc>
          <w:tcPr>
            <w:tcW w:w="11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92,757,909</w:t>
            </w:r>
          </w:p>
        </w:tc>
        <w:tc>
          <w:tcPr>
            <w:tcW w:w="440" w:type="dxa"/>
            <w:vAlign w:val="bottom"/>
            <w:tcBorders>
              <w:top w:val="single" w:sz="8" w:color="CFF0FC"/>
            </w:tcBorders>
            <w:shd w:val="clear" w:color="auto" w:fill="CFF0FC"/>
          </w:tcPr>
          <w:p>
            <w:pPr>
              <w:spacing w:after="0"/>
              <w:rPr>
                <w:sz w:val="14"/>
                <w:szCs w:val="14"/>
                <w:color w:val="auto"/>
              </w:rPr>
            </w:pPr>
          </w:p>
        </w:tc>
        <w:tc>
          <w:tcPr>
            <w:tcW w:w="180" w:type="dxa"/>
            <w:vAlign w:val="bottom"/>
            <w:tcBorders>
              <w:top w:val="single" w:sz="8" w:color="auto"/>
              <w:bottom w:val="single" w:sz="8" w:color="auto"/>
            </w:tcBorders>
            <w:shd w:val="clear" w:color="auto" w:fill="CFF0FC"/>
          </w:tcPr>
          <w:p>
            <w:pPr>
              <w:spacing w:after="0"/>
              <w:rPr>
                <w:sz w:val="14"/>
                <w:szCs w:val="14"/>
                <w:color w:val="auto"/>
              </w:rPr>
            </w:pPr>
          </w:p>
        </w:tc>
        <w:tc>
          <w:tcPr>
            <w:tcW w:w="12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89,871,798</w:t>
            </w:r>
          </w:p>
        </w:tc>
        <w:tc>
          <w:tcPr>
            <w:tcW w:w="120" w:type="dxa"/>
            <w:vAlign w:val="bottom"/>
            <w:tcBorders>
              <w:top w:val="single" w:sz="8" w:color="CFF0FC"/>
            </w:tcBorders>
            <w:shd w:val="clear" w:color="auto" w:fill="CFF0FC"/>
          </w:tcPr>
          <w:p>
            <w:pPr>
              <w:spacing w:after="0"/>
              <w:rPr>
                <w:sz w:val="14"/>
                <w:szCs w:val="14"/>
                <w:color w:val="auto"/>
              </w:rPr>
            </w:pPr>
          </w:p>
        </w:tc>
      </w:tr>
      <w:tr>
        <w:trPr>
          <w:trHeight w:val="169"/>
        </w:trPr>
        <w:tc>
          <w:tcPr>
            <w:tcW w:w="7900" w:type="dxa"/>
            <w:vAlign w:val="bottom"/>
          </w:tcPr>
          <w:p>
            <w:pPr>
              <w:spacing w:after="0" w:line="169" w:lineRule="exact"/>
              <w:rPr>
                <w:sz w:val="20"/>
                <w:szCs w:val="20"/>
                <w:color w:val="auto"/>
              </w:rPr>
            </w:pPr>
            <w:r>
              <w:rPr>
                <w:rFonts w:ascii="Arial" w:cs="Arial" w:eastAsia="Arial" w:hAnsi="Arial"/>
                <w:sz w:val="15"/>
                <w:szCs w:val="15"/>
                <w:color w:val="auto"/>
              </w:rPr>
              <w:t>Premises and equipment</w:t>
            </w:r>
          </w:p>
        </w:tc>
        <w:tc>
          <w:tcPr>
            <w:tcW w:w="240" w:type="dxa"/>
            <w:vAlign w:val="bottom"/>
          </w:tcPr>
          <w:p>
            <w:pPr>
              <w:spacing w:after="0"/>
              <w:rPr>
                <w:sz w:val="14"/>
                <w:szCs w:val="14"/>
                <w:color w:val="auto"/>
              </w:rPr>
            </w:pPr>
          </w:p>
        </w:tc>
        <w:tc>
          <w:tcPr>
            <w:tcW w:w="1140" w:type="dxa"/>
            <w:vAlign w:val="bottom"/>
          </w:tcPr>
          <w:p>
            <w:pPr>
              <w:jc w:val="right"/>
              <w:spacing w:after="0" w:line="169" w:lineRule="exact"/>
              <w:rPr>
                <w:sz w:val="20"/>
                <w:szCs w:val="20"/>
                <w:color w:val="auto"/>
              </w:rPr>
            </w:pPr>
            <w:r>
              <w:rPr>
                <w:rFonts w:ascii="Arial" w:cs="Arial" w:eastAsia="Arial" w:hAnsi="Arial"/>
                <w:sz w:val="15"/>
                <w:szCs w:val="15"/>
                <w:color w:val="auto"/>
              </w:rPr>
              <w:t>1,154,558</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right"/>
              <w:spacing w:after="0" w:line="169" w:lineRule="exact"/>
              <w:rPr>
                <w:sz w:val="20"/>
                <w:szCs w:val="20"/>
                <w:color w:val="auto"/>
              </w:rPr>
            </w:pPr>
            <w:r>
              <w:rPr>
                <w:rFonts w:ascii="Arial" w:cs="Arial" w:eastAsia="Arial" w:hAnsi="Arial"/>
                <w:sz w:val="15"/>
                <w:szCs w:val="15"/>
                <w:color w:val="auto"/>
              </w:rPr>
              <w:t>1,140,924</w:t>
            </w:r>
          </w:p>
        </w:tc>
        <w:tc>
          <w:tcPr>
            <w:tcW w:w="120" w:type="dxa"/>
            <w:vAlign w:val="bottom"/>
          </w:tcPr>
          <w:p>
            <w:pPr>
              <w:spacing w:after="0"/>
              <w:rPr>
                <w:sz w:val="14"/>
                <w:szCs w:val="14"/>
                <w:color w:val="auto"/>
              </w:rPr>
            </w:pPr>
          </w:p>
        </w:tc>
      </w:tr>
      <w:tr>
        <w:trPr>
          <w:trHeight w:val="175"/>
        </w:trPr>
        <w:tc>
          <w:tcPr>
            <w:tcW w:w="7900" w:type="dxa"/>
            <w:vAlign w:val="bottom"/>
            <w:shd w:val="clear" w:color="auto" w:fill="CFF0FC"/>
          </w:tcPr>
          <w:p>
            <w:pPr>
              <w:spacing w:after="0"/>
              <w:rPr>
                <w:sz w:val="20"/>
                <w:szCs w:val="20"/>
                <w:color w:val="auto"/>
              </w:rPr>
            </w:pPr>
            <w:r>
              <w:rPr>
                <w:rFonts w:ascii="Arial" w:cs="Arial" w:eastAsia="Arial" w:hAnsi="Arial"/>
                <w:sz w:val="15"/>
                <w:szCs w:val="15"/>
                <w:color w:val="auto"/>
              </w:rPr>
              <w:t>Goodwill</w:t>
            </w:r>
          </w:p>
        </w:tc>
        <w:tc>
          <w:tcPr>
            <w:tcW w:w="24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4,593,112</w:t>
            </w:r>
          </w:p>
        </w:tc>
        <w:tc>
          <w:tcPr>
            <w:tcW w:w="4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4,593,112</w:t>
            </w:r>
          </w:p>
        </w:tc>
        <w:tc>
          <w:tcPr>
            <w:tcW w:w="120" w:type="dxa"/>
            <w:vAlign w:val="bottom"/>
            <w:shd w:val="clear" w:color="auto" w:fill="CFF0FC"/>
          </w:tcPr>
          <w:p>
            <w:pPr>
              <w:spacing w:after="0"/>
              <w:rPr>
                <w:sz w:val="15"/>
                <w:szCs w:val="15"/>
                <w:color w:val="auto"/>
              </w:rPr>
            </w:pPr>
          </w:p>
        </w:tc>
      </w:tr>
      <w:tr>
        <w:trPr>
          <w:trHeight w:val="175"/>
        </w:trPr>
        <w:tc>
          <w:tcPr>
            <w:tcW w:w="7900" w:type="dxa"/>
            <w:vAlign w:val="bottom"/>
          </w:tcPr>
          <w:p>
            <w:pPr>
              <w:spacing w:after="0"/>
              <w:rPr>
                <w:sz w:val="20"/>
                <w:szCs w:val="20"/>
                <w:color w:val="auto"/>
              </w:rPr>
            </w:pPr>
            <w:r>
              <w:rPr>
                <w:rFonts w:ascii="Arial" w:cs="Arial" w:eastAsia="Arial" w:hAnsi="Arial"/>
                <w:sz w:val="15"/>
                <w:szCs w:val="15"/>
                <w:color w:val="auto"/>
              </w:rPr>
              <w:t>Core deposit and other intangible assets</w:t>
            </w:r>
          </w:p>
        </w:tc>
        <w:tc>
          <w:tcPr>
            <w:tcW w:w="2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25,121</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29,034</w:t>
            </w:r>
          </w:p>
        </w:tc>
        <w:tc>
          <w:tcPr>
            <w:tcW w:w="120" w:type="dxa"/>
            <w:vAlign w:val="bottom"/>
          </w:tcPr>
          <w:p>
            <w:pPr>
              <w:spacing w:after="0"/>
              <w:rPr>
                <w:sz w:val="15"/>
                <w:szCs w:val="15"/>
                <w:color w:val="auto"/>
              </w:rPr>
            </w:pPr>
          </w:p>
        </w:tc>
      </w:tr>
      <w:tr>
        <w:trPr>
          <w:trHeight w:val="175"/>
        </w:trPr>
        <w:tc>
          <w:tcPr>
            <w:tcW w:w="7900" w:type="dxa"/>
            <w:vAlign w:val="bottom"/>
            <w:shd w:val="clear" w:color="auto" w:fill="CFF0FC"/>
          </w:tcPr>
          <w:p>
            <w:pPr>
              <w:spacing w:after="0"/>
              <w:rPr>
                <w:sz w:val="20"/>
                <w:szCs w:val="20"/>
                <w:color w:val="auto"/>
              </w:rPr>
            </w:pPr>
            <w:r>
              <w:rPr>
                <w:rFonts w:ascii="Arial" w:cs="Arial" w:eastAsia="Arial" w:hAnsi="Arial"/>
                <w:sz w:val="15"/>
                <w:szCs w:val="15"/>
                <w:color w:val="auto"/>
              </w:rPr>
              <w:t>Accrued interest and other assets</w:t>
            </w:r>
          </w:p>
        </w:tc>
        <w:tc>
          <w:tcPr>
            <w:tcW w:w="24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5,671,753</w:t>
            </w:r>
          </w:p>
        </w:tc>
        <w:tc>
          <w:tcPr>
            <w:tcW w:w="440" w:type="dxa"/>
            <w:vAlign w:val="bottom"/>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5,644,050</w:t>
            </w:r>
          </w:p>
        </w:tc>
        <w:tc>
          <w:tcPr>
            <w:tcW w:w="120" w:type="dxa"/>
            <w:vAlign w:val="bottom"/>
            <w:shd w:val="clear" w:color="auto" w:fill="CFF0FC"/>
          </w:tcPr>
          <w:p>
            <w:pPr>
              <w:spacing w:after="0"/>
              <w:rPr>
                <w:sz w:val="15"/>
                <w:szCs w:val="15"/>
                <w:color w:val="auto"/>
              </w:rPr>
            </w:pPr>
          </w:p>
        </w:tc>
      </w:tr>
      <w:tr>
        <w:trPr>
          <w:trHeight w:val="209"/>
        </w:trPr>
        <w:tc>
          <w:tcPr>
            <w:tcW w:w="7900" w:type="dxa"/>
            <w:vAlign w:val="bottom"/>
            <w:tcBorders>
              <w:bottom w:val="single" w:sz="8" w:color="CFF0FC"/>
            </w:tcBorders>
          </w:tcPr>
          <w:p>
            <w:pPr>
              <w:ind w:left="500"/>
              <w:spacing w:after="0" w:line="169" w:lineRule="exact"/>
              <w:rPr>
                <w:sz w:val="20"/>
                <w:szCs w:val="20"/>
                <w:color w:val="auto"/>
              </w:rPr>
            </w:pPr>
            <w:r>
              <w:rPr>
                <w:rFonts w:ascii="Arial" w:cs="Arial" w:eastAsia="Arial" w:hAnsi="Arial"/>
                <w:sz w:val="15"/>
                <w:szCs w:val="15"/>
                <w:color w:val="auto"/>
              </w:rPr>
              <w:t>Total assets</w:t>
            </w:r>
          </w:p>
        </w:tc>
        <w:tc>
          <w:tcPr>
            <w:tcW w:w="240" w:type="dxa"/>
            <w:vAlign w:val="bottom"/>
            <w:tcBorders>
              <w:bottom w:val="single" w:sz="8" w:color="auto"/>
            </w:tcBorders>
          </w:tcPr>
          <w:p>
            <w:pPr>
              <w:jc w:val="right"/>
              <w:ind w:right="84"/>
              <w:spacing w:after="0" w:line="169" w:lineRule="exact"/>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124,577,833</w:t>
            </w:r>
          </w:p>
        </w:tc>
        <w:tc>
          <w:tcPr>
            <w:tcW w:w="44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jc w:val="right"/>
              <w:ind w:right="24"/>
              <w:spacing w:after="0" w:line="169" w:lineRule="exact"/>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119,872,757</w:t>
            </w:r>
          </w:p>
        </w:tc>
        <w:tc>
          <w:tcPr>
            <w:tcW w:w="120" w:type="dxa"/>
            <w:vAlign w:val="bottom"/>
            <w:tcBorders>
              <w:bottom w:val="single" w:sz="8" w:color="CFF0FC"/>
            </w:tcBorders>
          </w:tcPr>
          <w:p>
            <w:pPr>
              <w:spacing w:after="0"/>
              <w:rPr>
                <w:sz w:val="18"/>
                <w:szCs w:val="18"/>
                <w:color w:val="auto"/>
              </w:rPr>
            </w:pPr>
          </w:p>
        </w:tc>
      </w:tr>
      <w:tr>
        <w:trPr>
          <w:trHeight w:val="196"/>
        </w:trPr>
        <w:tc>
          <w:tcPr>
            <w:tcW w:w="79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Liabilities</w:t>
            </w:r>
          </w:p>
        </w:tc>
        <w:tc>
          <w:tcPr>
            <w:tcW w:w="2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175"/>
        </w:trPr>
        <w:tc>
          <w:tcPr>
            <w:tcW w:w="7900" w:type="dxa"/>
            <w:vAlign w:val="bottom"/>
          </w:tcPr>
          <w:p>
            <w:pPr>
              <w:spacing w:after="0"/>
              <w:rPr>
                <w:sz w:val="20"/>
                <w:szCs w:val="20"/>
                <w:color w:val="auto"/>
              </w:rPr>
            </w:pPr>
            <w:r>
              <w:rPr>
                <w:rFonts w:ascii="Arial" w:cs="Arial" w:eastAsia="Arial" w:hAnsi="Arial"/>
                <w:sz w:val="15"/>
                <w:szCs w:val="15"/>
                <w:color w:val="auto"/>
              </w:rPr>
              <w:t>Noninterest-bearing deposits</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35,554,715</w:t>
            </w:r>
          </w:p>
        </w:tc>
        <w:tc>
          <w:tcPr>
            <w:tcW w:w="440" w:type="dxa"/>
            <w:vAlign w:val="bottom"/>
          </w:tcPr>
          <w:p>
            <w:pPr>
              <w:spacing w:after="0"/>
              <w:rPr>
                <w:sz w:val="15"/>
                <w:szCs w:val="15"/>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32,396,407</w:t>
            </w:r>
          </w:p>
        </w:tc>
        <w:tc>
          <w:tcPr>
            <w:tcW w:w="120" w:type="dxa"/>
            <w:vAlign w:val="bottom"/>
          </w:tcPr>
          <w:p>
            <w:pPr>
              <w:spacing w:after="0"/>
              <w:rPr>
                <w:sz w:val="15"/>
                <w:szCs w:val="15"/>
                <w:color w:val="auto"/>
              </w:rPr>
            </w:pPr>
          </w:p>
        </w:tc>
      </w:tr>
      <w:tr>
        <w:trPr>
          <w:trHeight w:val="175"/>
        </w:trPr>
        <w:tc>
          <w:tcPr>
            <w:tcW w:w="7900" w:type="dxa"/>
            <w:vAlign w:val="bottom"/>
            <w:shd w:val="clear" w:color="auto" w:fill="CFF0FC"/>
          </w:tcPr>
          <w:p>
            <w:pPr>
              <w:spacing w:after="0"/>
              <w:rPr>
                <w:sz w:val="20"/>
                <w:szCs w:val="20"/>
                <w:color w:val="auto"/>
              </w:rPr>
            </w:pPr>
            <w:r>
              <w:rPr>
                <w:rFonts w:ascii="Arial" w:cs="Arial" w:eastAsia="Arial" w:hAnsi="Arial"/>
                <w:sz w:val="15"/>
                <w:szCs w:val="15"/>
                <w:color w:val="auto"/>
              </w:rPr>
              <w:t>Savings and interest-checking deposits</w:t>
            </w:r>
          </w:p>
        </w:tc>
        <w:tc>
          <w:tcPr>
            <w:tcW w:w="24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57,956,331</w:t>
            </w:r>
          </w:p>
        </w:tc>
        <w:tc>
          <w:tcPr>
            <w:tcW w:w="4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54,932,162</w:t>
            </w:r>
          </w:p>
        </w:tc>
        <w:tc>
          <w:tcPr>
            <w:tcW w:w="120" w:type="dxa"/>
            <w:vAlign w:val="bottom"/>
            <w:shd w:val="clear" w:color="auto" w:fill="CFF0FC"/>
          </w:tcPr>
          <w:p>
            <w:pPr>
              <w:spacing w:after="0"/>
              <w:rPr>
                <w:sz w:val="15"/>
                <w:szCs w:val="15"/>
                <w:color w:val="auto"/>
              </w:rPr>
            </w:pPr>
          </w:p>
        </w:tc>
      </w:tr>
      <w:tr>
        <w:trPr>
          <w:trHeight w:val="175"/>
        </w:trPr>
        <w:tc>
          <w:tcPr>
            <w:tcW w:w="7900" w:type="dxa"/>
            <w:vAlign w:val="bottom"/>
          </w:tcPr>
          <w:p>
            <w:pPr>
              <w:spacing w:after="0"/>
              <w:rPr>
                <w:sz w:val="20"/>
                <w:szCs w:val="20"/>
                <w:color w:val="auto"/>
              </w:rPr>
            </w:pPr>
            <w:r>
              <w:rPr>
                <w:rFonts w:ascii="Arial" w:cs="Arial" w:eastAsia="Arial" w:hAnsi="Arial"/>
                <w:sz w:val="15"/>
                <w:szCs w:val="15"/>
                <w:color w:val="auto"/>
              </w:rPr>
              <w:t>Time deposits</w:t>
            </w:r>
          </w:p>
        </w:tc>
        <w:tc>
          <w:tcPr>
            <w:tcW w:w="2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5,454,341</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5,757,456</w:t>
            </w:r>
          </w:p>
        </w:tc>
        <w:tc>
          <w:tcPr>
            <w:tcW w:w="120" w:type="dxa"/>
            <w:vAlign w:val="bottom"/>
          </w:tcPr>
          <w:p>
            <w:pPr>
              <w:spacing w:after="0"/>
              <w:rPr>
                <w:sz w:val="15"/>
                <w:szCs w:val="15"/>
                <w:color w:val="auto"/>
              </w:rPr>
            </w:pPr>
          </w:p>
        </w:tc>
      </w:tr>
      <w:tr>
        <w:trPr>
          <w:trHeight w:val="175"/>
        </w:trPr>
        <w:tc>
          <w:tcPr>
            <w:tcW w:w="7900" w:type="dxa"/>
            <w:vAlign w:val="bottom"/>
            <w:shd w:val="clear" w:color="auto" w:fill="CFF0FC"/>
          </w:tcPr>
          <w:p>
            <w:pPr>
              <w:spacing w:after="0"/>
              <w:rPr>
                <w:sz w:val="20"/>
                <w:szCs w:val="20"/>
                <w:color w:val="auto"/>
              </w:rPr>
            </w:pPr>
            <w:r>
              <w:rPr>
                <w:rFonts w:ascii="Arial" w:cs="Arial" w:eastAsia="Arial" w:hAnsi="Arial"/>
                <w:sz w:val="15"/>
                <w:szCs w:val="15"/>
                <w:color w:val="auto"/>
              </w:rPr>
              <w:t>Deposits at Cayman Islands office</w:t>
            </w:r>
          </w:p>
        </w:tc>
        <w:tc>
          <w:tcPr>
            <w:tcW w:w="24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1,217,921</w:t>
            </w:r>
          </w:p>
        </w:tc>
        <w:tc>
          <w:tcPr>
            <w:tcW w:w="440" w:type="dxa"/>
            <w:vAlign w:val="bottom"/>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1,684,044</w:t>
            </w:r>
          </w:p>
        </w:tc>
        <w:tc>
          <w:tcPr>
            <w:tcW w:w="120" w:type="dxa"/>
            <w:vAlign w:val="bottom"/>
            <w:shd w:val="clear" w:color="auto" w:fill="CFF0FC"/>
          </w:tcPr>
          <w:p>
            <w:pPr>
              <w:spacing w:after="0"/>
              <w:rPr>
                <w:sz w:val="15"/>
                <w:szCs w:val="15"/>
                <w:color w:val="auto"/>
              </w:rPr>
            </w:pPr>
          </w:p>
        </w:tc>
      </w:tr>
      <w:tr>
        <w:trPr>
          <w:trHeight w:val="169"/>
        </w:trPr>
        <w:tc>
          <w:tcPr>
            <w:tcW w:w="7900" w:type="dxa"/>
            <w:vAlign w:val="bottom"/>
            <w:tcBorders>
              <w:bottom w:val="single" w:sz="8" w:color="CFF0FC"/>
            </w:tcBorders>
          </w:tcPr>
          <w:p>
            <w:pPr>
              <w:ind w:left="500"/>
              <w:spacing w:after="0" w:line="169" w:lineRule="exact"/>
              <w:rPr>
                <w:sz w:val="20"/>
                <w:szCs w:val="20"/>
                <w:color w:val="auto"/>
              </w:rPr>
            </w:pPr>
            <w:r>
              <w:rPr>
                <w:rFonts w:ascii="Arial" w:cs="Arial" w:eastAsia="Arial" w:hAnsi="Arial"/>
                <w:sz w:val="15"/>
                <w:szCs w:val="15"/>
                <w:color w:val="auto"/>
              </w:rPr>
              <w:t>Total deposits</w:t>
            </w: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100,183,308</w:t>
            </w:r>
          </w:p>
        </w:tc>
        <w:tc>
          <w:tcPr>
            <w:tcW w:w="44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94,770,069</w:t>
            </w:r>
          </w:p>
        </w:tc>
        <w:tc>
          <w:tcPr>
            <w:tcW w:w="120" w:type="dxa"/>
            <w:vAlign w:val="bottom"/>
            <w:tcBorders>
              <w:bottom w:val="single" w:sz="8" w:color="CFF0FC"/>
            </w:tcBorders>
          </w:tcPr>
          <w:p>
            <w:pPr>
              <w:spacing w:after="0"/>
              <w:rPr>
                <w:sz w:val="14"/>
                <w:szCs w:val="14"/>
                <w:color w:val="auto"/>
              </w:rPr>
            </w:pPr>
          </w:p>
        </w:tc>
      </w:tr>
      <w:tr>
        <w:trPr>
          <w:trHeight w:val="169"/>
        </w:trPr>
        <w:tc>
          <w:tcPr>
            <w:tcW w:w="790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Short-term borrowings</w:t>
            </w:r>
          </w:p>
        </w:tc>
        <w:tc>
          <w:tcPr>
            <w:tcW w:w="24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59,180</w:t>
            </w:r>
          </w:p>
        </w:tc>
        <w:tc>
          <w:tcPr>
            <w:tcW w:w="4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62,363</w:t>
            </w:r>
          </w:p>
        </w:tc>
        <w:tc>
          <w:tcPr>
            <w:tcW w:w="120" w:type="dxa"/>
            <w:vAlign w:val="bottom"/>
            <w:shd w:val="clear" w:color="auto" w:fill="CFF0FC"/>
          </w:tcPr>
          <w:p>
            <w:pPr>
              <w:spacing w:after="0"/>
              <w:rPr>
                <w:sz w:val="14"/>
                <w:szCs w:val="14"/>
                <w:color w:val="auto"/>
              </w:rPr>
            </w:pPr>
          </w:p>
        </w:tc>
      </w:tr>
      <w:tr>
        <w:trPr>
          <w:trHeight w:val="175"/>
        </w:trPr>
        <w:tc>
          <w:tcPr>
            <w:tcW w:w="7900" w:type="dxa"/>
            <w:vAlign w:val="bottom"/>
          </w:tcPr>
          <w:p>
            <w:pPr>
              <w:spacing w:after="0"/>
              <w:rPr>
                <w:sz w:val="20"/>
                <w:szCs w:val="20"/>
                <w:color w:val="auto"/>
              </w:rPr>
            </w:pPr>
            <w:r>
              <w:rPr>
                <w:rFonts w:ascii="Arial" w:cs="Arial" w:eastAsia="Arial" w:hAnsi="Arial"/>
                <w:sz w:val="15"/>
                <w:szCs w:val="15"/>
                <w:color w:val="auto"/>
              </w:rPr>
              <w:t>Accrued interest and other liabilities</w:t>
            </w:r>
          </w:p>
        </w:tc>
        <w:tc>
          <w:tcPr>
            <w:tcW w:w="2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2,198,116</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2,337,490</w:t>
            </w:r>
          </w:p>
        </w:tc>
        <w:tc>
          <w:tcPr>
            <w:tcW w:w="120" w:type="dxa"/>
            <w:vAlign w:val="bottom"/>
          </w:tcPr>
          <w:p>
            <w:pPr>
              <w:spacing w:after="0"/>
              <w:rPr>
                <w:sz w:val="15"/>
                <w:szCs w:val="15"/>
                <w:color w:val="auto"/>
              </w:rPr>
            </w:pPr>
          </w:p>
        </w:tc>
      </w:tr>
      <w:tr>
        <w:trPr>
          <w:trHeight w:val="175"/>
        </w:trPr>
        <w:tc>
          <w:tcPr>
            <w:tcW w:w="7900" w:type="dxa"/>
            <w:vAlign w:val="bottom"/>
            <w:shd w:val="clear" w:color="auto" w:fill="CFF0FC"/>
          </w:tcPr>
          <w:p>
            <w:pPr>
              <w:spacing w:after="0"/>
              <w:rPr>
                <w:sz w:val="20"/>
                <w:szCs w:val="20"/>
                <w:color w:val="auto"/>
              </w:rPr>
            </w:pPr>
            <w:r>
              <w:rPr>
                <w:rFonts w:ascii="Arial" w:cs="Arial" w:eastAsia="Arial" w:hAnsi="Arial"/>
                <w:sz w:val="15"/>
                <w:szCs w:val="15"/>
                <w:color w:val="auto"/>
              </w:rPr>
              <w:t>Long-term borrowings</w:t>
            </w:r>
          </w:p>
        </w:tc>
        <w:tc>
          <w:tcPr>
            <w:tcW w:w="24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6,321,435</w:t>
            </w:r>
          </w:p>
        </w:tc>
        <w:tc>
          <w:tcPr>
            <w:tcW w:w="440" w:type="dxa"/>
            <w:vAlign w:val="bottom"/>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6,986,186</w:t>
            </w:r>
          </w:p>
        </w:tc>
        <w:tc>
          <w:tcPr>
            <w:tcW w:w="120" w:type="dxa"/>
            <w:vAlign w:val="bottom"/>
            <w:shd w:val="clear" w:color="auto" w:fill="CFF0FC"/>
          </w:tcPr>
          <w:p>
            <w:pPr>
              <w:spacing w:after="0"/>
              <w:rPr>
                <w:sz w:val="15"/>
                <w:szCs w:val="15"/>
                <w:color w:val="auto"/>
              </w:rPr>
            </w:pPr>
          </w:p>
        </w:tc>
      </w:tr>
      <w:tr>
        <w:trPr>
          <w:trHeight w:val="169"/>
        </w:trPr>
        <w:tc>
          <w:tcPr>
            <w:tcW w:w="7900" w:type="dxa"/>
            <w:vAlign w:val="bottom"/>
            <w:tcBorders>
              <w:bottom w:val="single" w:sz="8" w:color="CFF0FC"/>
            </w:tcBorders>
          </w:tcPr>
          <w:p>
            <w:pPr>
              <w:ind w:left="500"/>
              <w:spacing w:after="0" w:line="169" w:lineRule="exact"/>
              <w:rPr>
                <w:sz w:val="20"/>
                <w:szCs w:val="20"/>
                <w:color w:val="auto"/>
              </w:rPr>
            </w:pPr>
            <w:r>
              <w:rPr>
                <w:rFonts w:ascii="Arial" w:cs="Arial" w:eastAsia="Arial" w:hAnsi="Arial"/>
                <w:sz w:val="15"/>
                <w:szCs w:val="15"/>
                <w:color w:val="auto"/>
              </w:rPr>
              <w:t>Total liabilities</w:t>
            </w: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108,762,039</w:t>
            </w:r>
          </w:p>
        </w:tc>
        <w:tc>
          <w:tcPr>
            <w:tcW w:w="44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104,156,108</w:t>
            </w:r>
          </w:p>
        </w:tc>
        <w:tc>
          <w:tcPr>
            <w:tcW w:w="120" w:type="dxa"/>
            <w:vAlign w:val="bottom"/>
            <w:tcBorders>
              <w:bottom w:val="single" w:sz="8" w:color="CFF0FC"/>
            </w:tcBorders>
          </w:tcPr>
          <w:p>
            <w:pPr>
              <w:spacing w:after="0"/>
              <w:rPr>
                <w:sz w:val="14"/>
                <w:szCs w:val="14"/>
                <w:color w:val="auto"/>
              </w:rPr>
            </w:pPr>
          </w:p>
        </w:tc>
      </w:tr>
      <w:tr>
        <w:trPr>
          <w:trHeight w:val="209"/>
        </w:trPr>
        <w:tc>
          <w:tcPr>
            <w:tcW w:w="79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Shareholders' equity</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162"/>
        </w:trPr>
        <w:tc>
          <w:tcPr>
            <w:tcW w:w="7900" w:type="dxa"/>
            <w:vAlign w:val="bottom"/>
          </w:tcPr>
          <w:p>
            <w:pPr>
              <w:spacing w:after="0" w:line="162" w:lineRule="exact"/>
              <w:rPr>
                <w:sz w:val="20"/>
                <w:szCs w:val="20"/>
                <w:color w:val="auto"/>
              </w:rPr>
            </w:pPr>
            <w:r>
              <w:rPr>
                <w:rFonts w:ascii="Arial" w:cs="Arial" w:eastAsia="Arial" w:hAnsi="Arial"/>
                <w:sz w:val="15"/>
                <w:szCs w:val="15"/>
                <w:color w:val="auto"/>
              </w:rPr>
              <w:t>Preferred stock, $1.00 par, 1,000,000 shares authorized;</w:t>
            </w: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7900" w:type="dxa"/>
            <w:vAlign w:val="bottom"/>
          </w:tcPr>
          <w:p>
            <w:pPr>
              <w:ind w:left="120"/>
              <w:spacing w:after="0" w:line="162" w:lineRule="exact"/>
              <w:rPr>
                <w:sz w:val="20"/>
                <w:szCs w:val="20"/>
                <w:color w:val="auto"/>
              </w:rPr>
            </w:pPr>
            <w:r>
              <w:rPr>
                <w:rFonts w:ascii="Arial" w:cs="Arial" w:eastAsia="Arial" w:hAnsi="Arial"/>
                <w:sz w:val="15"/>
                <w:szCs w:val="15"/>
                <w:color w:val="auto"/>
              </w:rPr>
              <w:t>Issued and outstanding: Liquidation preference of $1,000 per</w:t>
            </w: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7900" w:type="dxa"/>
            <w:vAlign w:val="bottom"/>
          </w:tcPr>
          <w:p>
            <w:pPr>
              <w:ind w:left="120"/>
              <w:spacing w:after="0" w:line="162" w:lineRule="exact"/>
              <w:rPr>
                <w:sz w:val="20"/>
                <w:szCs w:val="20"/>
                <w:color w:val="auto"/>
              </w:rPr>
            </w:pPr>
            <w:r>
              <w:rPr>
                <w:rFonts w:ascii="Arial" w:cs="Arial" w:eastAsia="Arial" w:hAnsi="Arial"/>
                <w:sz w:val="15"/>
                <w:szCs w:val="15"/>
                <w:color w:val="auto"/>
              </w:rPr>
              <w:t>share: 350,000 shares at March 31, 2020 and December 31, 2019; Liquidation preference of</w:t>
            </w: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5"/>
        </w:trPr>
        <w:tc>
          <w:tcPr>
            <w:tcW w:w="7900" w:type="dxa"/>
            <w:vAlign w:val="bottom"/>
          </w:tcPr>
          <w:p>
            <w:pPr>
              <w:ind w:left="120"/>
              <w:spacing w:after="0"/>
              <w:rPr>
                <w:sz w:val="20"/>
                <w:szCs w:val="20"/>
                <w:color w:val="auto"/>
              </w:rPr>
            </w:pPr>
            <w:r>
              <w:rPr>
                <w:rFonts w:ascii="Arial" w:cs="Arial" w:eastAsia="Arial" w:hAnsi="Arial"/>
                <w:sz w:val="15"/>
                <w:szCs w:val="15"/>
                <w:color w:val="auto"/>
              </w:rPr>
              <w:t>$10,000 per share: 90,000 shares at March 31, 2020 and December 31, 2019</w:t>
            </w:r>
          </w:p>
        </w:tc>
        <w:tc>
          <w:tcPr>
            <w:tcW w:w="2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1,250,000</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1,250,000</w:t>
            </w:r>
          </w:p>
        </w:tc>
        <w:tc>
          <w:tcPr>
            <w:tcW w:w="120" w:type="dxa"/>
            <w:vAlign w:val="bottom"/>
          </w:tcPr>
          <w:p>
            <w:pPr>
              <w:spacing w:after="0"/>
              <w:rPr>
                <w:sz w:val="15"/>
                <w:szCs w:val="15"/>
                <w:color w:val="auto"/>
              </w:rPr>
            </w:pPr>
          </w:p>
        </w:tc>
      </w:tr>
      <w:tr>
        <w:trPr>
          <w:trHeight w:val="162"/>
        </w:trPr>
        <w:tc>
          <w:tcPr>
            <w:tcW w:w="7900" w:type="dxa"/>
            <w:vAlign w:val="bottom"/>
            <w:shd w:val="clear" w:color="auto" w:fill="CFF0FC"/>
          </w:tcPr>
          <w:p>
            <w:pPr>
              <w:spacing w:after="0" w:line="162" w:lineRule="exact"/>
              <w:rPr>
                <w:sz w:val="20"/>
                <w:szCs w:val="20"/>
                <w:color w:val="auto"/>
              </w:rPr>
            </w:pPr>
            <w:r>
              <w:rPr>
                <w:rFonts w:ascii="Arial" w:cs="Arial" w:eastAsia="Arial" w:hAnsi="Arial"/>
                <w:sz w:val="15"/>
                <w:szCs w:val="15"/>
                <w:color w:val="auto"/>
              </w:rPr>
              <w:t>Common stock, $.50 par, 250,000,000 shares authorized,</w:t>
            </w:r>
          </w:p>
        </w:tc>
        <w:tc>
          <w:tcPr>
            <w:tcW w:w="24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75"/>
        </w:trPr>
        <w:tc>
          <w:tcPr>
            <w:tcW w:w="7900" w:type="dxa"/>
            <w:vAlign w:val="bottom"/>
            <w:shd w:val="clear" w:color="auto" w:fill="CFF0FC"/>
          </w:tcPr>
          <w:p>
            <w:pPr>
              <w:ind w:left="120"/>
              <w:spacing w:after="0"/>
              <w:rPr>
                <w:sz w:val="20"/>
                <w:szCs w:val="20"/>
                <w:color w:val="auto"/>
              </w:rPr>
            </w:pPr>
            <w:r>
              <w:rPr>
                <w:rFonts w:ascii="Arial" w:cs="Arial" w:eastAsia="Arial" w:hAnsi="Arial"/>
                <w:sz w:val="15"/>
                <w:szCs w:val="15"/>
                <w:color w:val="auto"/>
              </w:rPr>
              <w:t>159,741,898 shares issued at March 31, 2020 and December 31, 2019</w:t>
            </w:r>
          </w:p>
        </w:tc>
        <w:tc>
          <w:tcPr>
            <w:tcW w:w="24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79,871</w:t>
            </w:r>
          </w:p>
        </w:tc>
        <w:tc>
          <w:tcPr>
            <w:tcW w:w="4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79,871</w:t>
            </w:r>
          </w:p>
        </w:tc>
        <w:tc>
          <w:tcPr>
            <w:tcW w:w="120" w:type="dxa"/>
            <w:vAlign w:val="bottom"/>
            <w:shd w:val="clear" w:color="auto" w:fill="CFF0FC"/>
          </w:tcPr>
          <w:p>
            <w:pPr>
              <w:spacing w:after="0"/>
              <w:rPr>
                <w:sz w:val="15"/>
                <w:szCs w:val="15"/>
                <w:color w:val="auto"/>
              </w:rPr>
            </w:pPr>
          </w:p>
        </w:tc>
      </w:tr>
      <w:tr>
        <w:trPr>
          <w:trHeight w:val="162"/>
        </w:trPr>
        <w:tc>
          <w:tcPr>
            <w:tcW w:w="7900" w:type="dxa"/>
            <w:vAlign w:val="bottom"/>
          </w:tcPr>
          <w:p>
            <w:pPr>
              <w:spacing w:after="0" w:line="162" w:lineRule="exact"/>
              <w:rPr>
                <w:sz w:val="20"/>
                <w:szCs w:val="20"/>
                <w:color w:val="auto"/>
              </w:rPr>
            </w:pPr>
            <w:r>
              <w:rPr>
                <w:rFonts w:ascii="Arial" w:cs="Arial" w:eastAsia="Arial" w:hAnsi="Arial"/>
                <w:sz w:val="15"/>
                <w:szCs w:val="15"/>
                <w:color w:val="auto"/>
              </w:rPr>
              <w:t>Common stock issuable, 17,641 shares at March 31, 2020;</w:t>
            </w: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5"/>
        </w:trPr>
        <w:tc>
          <w:tcPr>
            <w:tcW w:w="7900" w:type="dxa"/>
            <w:vAlign w:val="bottom"/>
          </w:tcPr>
          <w:p>
            <w:pPr>
              <w:ind w:left="120"/>
              <w:spacing w:after="0"/>
              <w:rPr>
                <w:sz w:val="20"/>
                <w:szCs w:val="20"/>
                <w:color w:val="auto"/>
              </w:rPr>
            </w:pPr>
            <w:r>
              <w:rPr>
                <w:rFonts w:ascii="Arial" w:cs="Arial" w:eastAsia="Arial" w:hAnsi="Arial"/>
                <w:sz w:val="15"/>
                <w:szCs w:val="15"/>
                <w:color w:val="auto"/>
              </w:rPr>
              <w:t>21,534 shares at December 31, 2019</w:t>
            </w:r>
          </w:p>
        </w:tc>
        <w:tc>
          <w:tcPr>
            <w:tcW w:w="2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1,292</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1,566</w:t>
            </w:r>
          </w:p>
        </w:tc>
        <w:tc>
          <w:tcPr>
            <w:tcW w:w="120" w:type="dxa"/>
            <w:vAlign w:val="bottom"/>
          </w:tcPr>
          <w:p>
            <w:pPr>
              <w:spacing w:after="0"/>
              <w:rPr>
                <w:sz w:val="15"/>
                <w:szCs w:val="15"/>
                <w:color w:val="auto"/>
              </w:rPr>
            </w:pPr>
          </w:p>
        </w:tc>
      </w:tr>
      <w:tr>
        <w:trPr>
          <w:trHeight w:val="175"/>
        </w:trPr>
        <w:tc>
          <w:tcPr>
            <w:tcW w:w="7900" w:type="dxa"/>
            <w:vAlign w:val="bottom"/>
            <w:shd w:val="clear" w:color="auto" w:fill="CFF0FC"/>
          </w:tcPr>
          <w:p>
            <w:pPr>
              <w:spacing w:after="0"/>
              <w:rPr>
                <w:sz w:val="20"/>
                <w:szCs w:val="20"/>
                <w:color w:val="auto"/>
              </w:rPr>
            </w:pPr>
            <w:r>
              <w:rPr>
                <w:rFonts w:ascii="Arial" w:cs="Arial" w:eastAsia="Arial" w:hAnsi="Arial"/>
                <w:sz w:val="15"/>
                <w:szCs w:val="15"/>
                <w:color w:val="auto"/>
              </w:rPr>
              <w:t>Additional paid-in capital</w:t>
            </w:r>
          </w:p>
        </w:tc>
        <w:tc>
          <w:tcPr>
            <w:tcW w:w="24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6,588,407</w:t>
            </w:r>
          </w:p>
        </w:tc>
        <w:tc>
          <w:tcPr>
            <w:tcW w:w="4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6,593,539</w:t>
            </w:r>
          </w:p>
        </w:tc>
        <w:tc>
          <w:tcPr>
            <w:tcW w:w="120" w:type="dxa"/>
            <w:vAlign w:val="bottom"/>
            <w:shd w:val="clear" w:color="auto" w:fill="CFF0FC"/>
          </w:tcPr>
          <w:p>
            <w:pPr>
              <w:spacing w:after="0"/>
              <w:rPr>
                <w:sz w:val="15"/>
                <w:szCs w:val="15"/>
                <w:color w:val="auto"/>
              </w:rPr>
            </w:pPr>
          </w:p>
        </w:tc>
      </w:tr>
      <w:tr>
        <w:trPr>
          <w:trHeight w:val="175"/>
        </w:trPr>
        <w:tc>
          <w:tcPr>
            <w:tcW w:w="7900" w:type="dxa"/>
            <w:vAlign w:val="bottom"/>
          </w:tcPr>
          <w:p>
            <w:pPr>
              <w:spacing w:after="0"/>
              <w:rPr>
                <w:sz w:val="20"/>
                <w:szCs w:val="20"/>
                <w:color w:val="auto"/>
              </w:rPr>
            </w:pPr>
            <w:r>
              <w:rPr>
                <w:rFonts w:ascii="Arial" w:cs="Arial" w:eastAsia="Arial" w:hAnsi="Arial"/>
                <w:sz w:val="15"/>
                <w:szCs w:val="15"/>
                <w:color w:val="auto"/>
              </w:rPr>
              <w:t>Retained earnings</w:t>
            </w:r>
          </w:p>
        </w:tc>
        <w:tc>
          <w:tcPr>
            <w:tcW w:w="2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12,837,390</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12,820,916</w:t>
            </w:r>
          </w:p>
        </w:tc>
        <w:tc>
          <w:tcPr>
            <w:tcW w:w="120" w:type="dxa"/>
            <w:vAlign w:val="bottom"/>
          </w:tcPr>
          <w:p>
            <w:pPr>
              <w:spacing w:after="0"/>
              <w:rPr>
                <w:sz w:val="15"/>
                <w:szCs w:val="15"/>
                <w:color w:val="auto"/>
              </w:rPr>
            </w:pPr>
          </w:p>
        </w:tc>
      </w:tr>
      <w:tr>
        <w:trPr>
          <w:trHeight w:val="175"/>
        </w:trPr>
        <w:tc>
          <w:tcPr>
            <w:tcW w:w="7900" w:type="dxa"/>
            <w:vAlign w:val="bottom"/>
            <w:shd w:val="clear" w:color="auto" w:fill="CFF0FC"/>
          </w:tcPr>
          <w:p>
            <w:pPr>
              <w:spacing w:after="0"/>
              <w:rPr>
                <w:sz w:val="20"/>
                <w:szCs w:val="20"/>
                <w:color w:val="auto"/>
              </w:rPr>
            </w:pPr>
            <w:r>
              <w:rPr>
                <w:rFonts w:ascii="Arial" w:cs="Arial" w:eastAsia="Arial" w:hAnsi="Arial"/>
                <w:sz w:val="15"/>
                <w:szCs w:val="15"/>
                <w:color w:val="auto"/>
              </w:rPr>
              <w:t>Accumulated other comprehensive income (loss), net</w:t>
            </w:r>
          </w:p>
        </w:tc>
        <w:tc>
          <w:tcPr>
            <w:tcW w:w="24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209,833</w:t>
            </w:r>
          </w:p>
        </w:tc>
        <w:tc>
          <w:tcPr>
            <w:tcW w:w="4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(206,680)</w:t>
            </w:r>
          </w:p>
        </w:tc>
      </w:tr>
      <w:tr>
        <w:trPr>
          <w:trHeight w:val="162"/>
        </w:trPr>
        <w:tc>
          <w:tcPr>
            <w:tcW w:w="7900" w:type="dxa"/>
            <w:vAlign w:val="bottom"/>
          </w:tcPr>
          <w:p>
            <w:pPr>
              <w:spacing w:after="0" w:line="162" w:lineRule="exact"/>
              <w:rPr>
                <w:sz w:val="20"/>
                <w:szCs w:val="20"/>
                <w:color w:val="auto"/>
              </w:rPr>
            </w:pPr>
            <w:r>
              <w:rPr>
                <w:rFonts w:ascii="Arial" w:cs="Arial" w:eastAsia="Arial" w:hAnsi="Arial"/>
                <w:sz w:val="15"/>
                <w:szCs w:val="15"/>
                <w:color w:val="auto"/>
              </w:rPr>
              <w:t>Treasury stock — common, at cost — 31,477,259 shares at March 31, 2020;</w:t>
            </w: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5"/>
        </w:trPr>
        <w:tc>
          <w:tcPr>
            <w:tcW w:w="7900" w:type="dxa"/>
            <w:vAlign w:val="bottom"/>
          </w:tcPr>
          <w:p>
            <w:pPr>
              <w:ind w:left="160"/>
              <w:spacing w:after="0"/>
              <w:rPr>
                <w:sz w:val="20"/>
                <w:szCs w:val="20"/>
                <w:color w:val="auto"/>
              </w:rPr>
            </w:pPr>
            <w:r>
              <w:rPr>
                <w:rFonts w:ascii="Arial" w:cs="Arial" w:eastAsia="Arial" w:hAnsi="Arial"/>
                <w:sz w:val="15"/>
                <w:szCs w:val="15"/>
                <w:color w:val="auto"/>
              </w:rPr>
              <w:t>29,174,402 shares at December 31, 2019</w:t>
            </w:r>
          </w:p>
        </w:tc>
        <w:tc>
          <w:tcPr>
            <w:tcW w:w="240" w:type="dxa"/>
            <w:vAlign w:val="bottom"/>
          </w:tcPr>
          <w:p>
            <w:pPr>
              <w:spacing w:after="0"/>
              <w:rPr>
                <w:sz w:val="15"/>
                <w:szCs w:val="15"/>
                <w:color w:val="auto"/>
              </w:rPr>
            </w:pPr>
          </w:p>
        </w:tc>
        <w:tc>
          <w:tcPr>
            <w:tcW w:w="1580" w:type="dxa"/>
            <w:vAlign w:val="bottom"/>
            <w:gridSpan w:val="2"/>
          </w:tcPr>
          <w:p>
            <w:pPr>
              <w:jc w:val="right"/>
              <w:ind w:right="380"/>
              <w:spacing w:after="0"/>
              <w:rPr>
                <w:sz w:val="20"/>
                <w:szCs w:val="20"/>
                <w:color w:val="auto"/>
              </w:rPr>
            </w:pPr>
            <w:r>
              <w:rPr>
                <w:rFonts w:ascii="Arial" w:cs="Arial" w:eastAsia="Arial" w:hAnsi="Arial"/>
                <w:sz w:val="15"/>
                <w:szCs w:val="15"/>
                <w:color w:val="auto"/>
              </w:rPr>
              <w:t>(5,150,999)</w:t>
            </w:r>
          </w:p>
        </w:tc>
        <w:tc>
          <w:tcPr>
            <w:tcW w:w="180" w:type="dxa"/>
            <w:vAlign w:val="bottom"/>
          </w:tcPr>
          <w:p>
            <w:pPr>
              <w:spacing w:after="0"/>
              <w:rPr>
                <w:sz w:val="15"/>
                <w:szCs w:val="15"/>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5"/>
                <w:szCs w:val="15"/>
                <w:color w:val="auto"/>
              </w:rPr>
              <w:t>(4,822,563)</w:t>
            </w:r>
          </w:p>
        </w:tc>
      </w:tr>
      <w:tr>
        <w:trPr>
          <w:trHeight w:val="169"/>
        </w:trPr>
        <w:tc>
          <w:tcPr>
            <w:tcW w:w="7900" w:type="dxa"/>
            <w:vAlign w:val="bottom"/>
            <w:tcBorders>
              <w:top w:val="single" w:sz="8" w:color="CFF0FC"/>
            </w:tcBorders>
            <w:shd w:val="clear" w:color="auto" w:fill="CFF0FC"/>
          </w:tcPr>
          <w:p>
            <w:pPr>
              <w:ind w:left="500"/>
              <w:spacing w:after="0" w:line="169" w:lineRule="exact"/>
              <w:rPr>
                <w:sz w:val="20"/>
                <w:szCs w:val="20"/>
                <w:color w:val="auto"/>
              </w:rPr>
            </w:pPr>
            <w:r>
              <w:rPr>
                <w:rFonts w:ascii="Arial" w:cs="Arial" w:eastAsia="Arial" w:hAnsi="Arial"/>
                <w:sz w:val="15"/>
                <w:szCs w:val="15"/>
                <w:color w:val="auto"/>
              </w:rPr>
              <w:t>Total shareholders’ equity</w:t>
            </w:r>
          </w:p>
        </w:tc>
        <w:tc>
          <w:tcPr>
            <w:tcW w:w="240" w:type="dxa"/>
            <w:vAlign w:val="bottom"/>
            <w:tcBorders>
              <w:top w:val="single" w:sz="8" w:color="auto"/>
              <w:bottom w:val="single" w:sz="8" w:color="auto"/>
            </w:tcBorders>
            <w:shd w:val="clear" w:color="auto" w:fill="CFF0FC"/>
          </w:tcPr>
          <w:p>
            <w:pPr>
              <w:spacing w:after="0"/>
              <w:rPr>
                <w:sz w:val="14"/>
                <w:szCs w:val="14"/>
                <w:color w:val="auto"/>
              </w:rPr>
            </w:pPr>
          </w:p>
        </w:tc>
        <w:tc>
          <w:tcPr>
            <w:tcW w:w="11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15,815,794</w:t>
            </w:r>
          </w:p>
        </w:tc>
        <w:tc>
          <w:tcPr>
            <w:tcW w:w="440" w:type="dxa"/>
            <w:vAlign w:val="bottom"/>
            <w:tcBorders>
              <w:top w:val="single" w:sz="8" w:color="CFF0FC"/>
            </w:tcBorders>
            <w:shd w:val="clear" w:color="auto" w:fill="CFF0FC"/>
          </w:tcPr>
          <w:p>
            <w:pPr>
              <w:spacing w:after="0"/>
              <w:rPr>
                <w:sz w:val="14"/>
                <w:szCs w:val="14"/>
                <w:color w:val="auto"/>
              </w:rPr>
            </w:pPr>
          </w:p>
        </w:tc>
        <w:tc>
          <w:tcPr>
            <w:tcW w:w="180" w:type="dxa"/>
            <w:vAlign w:val="bottom"/>
            <w:tcBorders>
              <w:top w:val="single" w:sz="8" w:color="auto"/>
              <w:bottom w:val="single" w:sz="8" w:color="auto"/>
            </w:tcBorders>
            <w:shd w:val="clear" w:color="auto" w:fill="CFF0FC"/>
          </w:tcPr>
          <w:p>
            <w:pPr>
              <w:spacing w:after="0"/>
              <w:rPr>
                <w:sz w:val="14"/>
                <w:szCs w:val="14"/>
                <w:color w:val="auto"/>
              </w:rPr>
            </w:pPr>
          </w:p>
        </w:tc>
        <w:tc>
          <w:tcPr>
            <w:tcW w:w="12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15,716,649</w:t>
            </w:r>
          </w:p>
        </w:tc>
        <w:tc>
          <w:tcPr>
            <w:tcW w:w="120" w:type="dxa"/>
            <w:vAlign w:val="bottom"/>
            <w:tcBorders>
              <w:top w:val="single" w:sz="8" w:color="CFF0FC"/>
            </w:tcBorders>
            <w:shd w:val="clear" w:color="auto" w:fill="CFF0FC"/>
          </w:tcPr>
          <w:p>
            <w:pPr>
              <w:spacing w:after="0"/>
              <w:rPr>
                <w:sz w:val="14"/>
                <w:szCs w:val="14"/>
                <w:color w:val="auto"/>
              </w:rPr>
            </w:pPr>
          </w:p>
        </w:tc>
      </w:tr>
      <w:tr>
        <w:trPr>
          <w:trHeight w:val="169"/>
        </w:trPr>
        <w:tc>
          <w:tcPr>
            <w:tcW w:w="7900" w:type="dxa"/>
            <w:vAlign w:val="bottom"/>
          </w:tcPr>
          <w:p>
            <w:pPr>
              <w:ind w:left="500"/>
              <w:spacing w:after="0" w:line="169" w:lineRule="exact"/>
              <w:rPr>
                <w:sz w:val="20"/>
                <w:szCs w:val="20"/>
                <w:color w:val="auto"/>
              </w:rPr>
            </w:pPr>
            <w:r>
              <w:rPr>
                <w:rFonts w:ascii="Arial" w:cs="Arial" w:eastAsia="Arial" w:hAnsi="Arial"/>
                <w:sz w:val="15"/>
                <w:szCs w:val="15"/>
                <w:color w:val="auto"/>
              </w:rPr>
              <w:t>Total liabilities and shareholders’ equity</w:t>
            </w:r>
          </w:p>
        </w:tc>
        <w:tc>
          <w:tcPr>
            <w:tcW w:w="240" w:type="dxa"/>
            <w:vAlign w:val="bottom"/>
            <w:tcBorders>
              <w:bottom w:val="single" w:sz="8" w:color="auto"/>
            </w:tcBorders>
          </w:tcPr>
          <w:p>
            <w:pPr>
              <w:jc w:val="right"/>
              <w:ind w:right="84"/>
              <w:spacing w:after="0" w:line="169" w:lineRule="exact"/>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124,577,833</w:t>
            </w:r>
          </w:p>
        </w:tc>
        <w:tc>
          <w:tcPr>
            <w:tcW w:w="440" w:type="dxa"/>
            <w:vAlign w:val="bottom"/>
          </w:tcPr>
          <w:p>
            <w:pPr>
              <w:spacing w:after="0"/>
              <w:rPr>
                <w:sz w:val="14"/>
                <w:szCs w:val="14"/>
                <w:color w:val="auto"/>
              </w:rPr>
            </w:pPr>
          </w:p>
        </w:tc>
        <w:tc>
          <w:tcPr>
            <w:tcW w:w="180" w:type="dxa"/>
            <w:vAlign w:val="bottom"/>
            <w:tcBorders>
              <w:bottom w:val="single" w:sz="8" w:color="auto"/>
            </w:tcBorders>
          </w:tcPr>
          <w:p>
            <w:pPr>
              <w:jc w:val="right"/>
              <w:ind w:right="24"/>
              <w:spacing w:after="0" w:line="169" w:lineRule="exact"/>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119,872,757</w:t>
            </w:r>
          </w:p>
        </w:tc>
        <w:tc>
          <w:tcPr>
            <w:tcW w:w="120" w:type="dxa"/>
            <w:vAlign w:val="bottom"/>
          </w:tcPr>
          <w:p>
            <w:pPr>
              <w:spacing w:after="0"/>
              <w:rPr>
                <w:sz w:val="14"/>
                <w:szCs w:val="14"/>
                <w:color w:val="auto"/>
              </w:rPr>
            </w:pPr>
          </w:p>
        </w:tc>
      </w:tr>
      <w:tr>
        <w:trPr>
          <w:trHeight w:val="20"/>
        </w:trPr>
        <w:tc>
          <w:tcPr>
            <w:tcW w:w="7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8" w:lineRule="exact"/>
        <w:rPr>
          <w:sz w:val="20"/>
          <w:szCs w:val="20"/>
          <w:color w:val="auto"/>
        </w:rPr>
      </w:pPr>
    </w:p>
    <w:p>
      <w:pPr>
        <w:jc w:val="center"/>
        <w:spacing w:after="0"/>
        <w:rPr>
          <w:sz w:val="20"/>
          <w:szCs w:val="20"/>
          <w:color w:val="auto"/>
        </w:rPr>
      </w:pPr>
      <w:r>
        <w:rPr>
          <w:rFonts w:ascii="Arial" w:cs="Arial" w:eastAsia="Arial" w:hAnsi="Arial"/>
          <w:sz w:val="21"/>
          <w:szCs w:val="21"/>
          <w:i w:val="1"/>
          <w:iCs w:val="1"/>
          <w:color w:val="auto"/>
        </w:rPr>
        <w:t>See accompanying notes to financial statements</w:t>
      </w:r>
      <w:r>
        <w:rPr>
          <w:rFonts w:ascii="Arial" w:cs="Arial" w:eastAsia="Arial" w:hAnsi="Arial"/>
          <w:sz w:val="10"/>
          <w:szCs w:val="10"/>
          <w:color w:val="auto"/>
        </w:rPr>
        <w: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21"/>
          <w:szCs w:val="21"/>
          <w:color w:val="auto"/>
        </w:rPr>
        <w:t>M&amp;T BANK CORPORATION AND SUBSIDIARIES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CONSOLIDATED STATEMENT OF INCOME (Unaudited)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40" w:type="dxa"/>
            <w:vAlign w:val="bottom"/>
            <w:gridSpan w:val="6"/>
          </w:tcPr>
          <w:p>
            <w:pPr>
              <w:ind w:left="24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71"/>
        </w:trPr>
        <w:tc>
          <w:tcPr>
            <w:tcW w:w="7860" w:type="dxa"/>
            <w:vAlign w:val="bottom"/>
          </w:tcPr>
          <w:p>
            <w:pPr>
              <w:spacing w:after="0"/>
              <w:rPr>
                <w:sz w:val="20"/>
                <w:szCs w:val="20"/>
                <w:color w:val="auto"/>
              </w:rPr>
            </w:pPr>
            <w:r>
              <w:rPr>
                <w:rFonts w:ascii="Arial" w:cs="Arial" w:eastAsia="Arial" w:hAnsi="Arial"/>
                <w:sz w:val="14"/>
                <w:szCs w:val="14"/>
                <w:b w:val="1"/>
                <w:bCs w:val="1"/>
                <w:color w:val="auto"/>
              </w:rPr>
              <w:t>(In thousands, except per share)</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860" w:type="dxa"/>
            <w:vAlign w:val="bottom"/>
          </w:tcPr>
          <w:p>
            <w:pPr>
              <w:spacing w:after="0"/>
              <w:rPr>
                <w:sz w:val="20"/>
                <w:szCs w:val="20"/>
                <w:color w:val="auto"/>
              </w:rPr>
            </w:pPr>
            <w:r>
              <w:rPr>
                <w:rFonts w:ascii="Arial" w:cs="Arial" w:eastAsia="Arial" w:hAnsi="Arial"/>
                <w:sz w:val="18"/>
                <w:szCs w:val="18"/>
                <w:b w:val="1"/>
                <w:bCs w:val="1"/>
                <w:color w:val="auto"/>
              </w:rPr>
              <w:t>Interest income</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Loans and leases, including fees</w:t>
            </w:r>
          </w:p>
        </w:tc>
        <w:tc>
          <w:tcPr>
            <w:tcW w:w="54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1,046,821</w:t>
            </w:r>
          </w:p>
        </w:tc>
        <w:tc>
          <w:tcPr>
            <w:tcW w:w="22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147"/>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1,117,913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tcPr>
          <w:p>
            <w:pPr>
              <w:spacing w:after="0"/>
              <w:rPr>
                <w:sz w:val="20"/>
                <w:szCs w:val="20"/>
                <w:color w:val="auto"/>
              </w:rPr>
            </w:pPr>
            <w:r>
              <w:rPr>
                <w:rFonts w:ascii="Arial" w:cs="Arial" w:eastAsia="Arial" w:hAnsi="Arial"/>
                <w:sz w:val="18"/>
                <w:szCs w:val="18"/>
                <w:color w:val="auto"/>
              </w:rPr>
              <w:t>Investment securities</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Fully taxable</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50,110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80,411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tcPr>
          <w:p>
            <w:pPr>
              <w:ind w:left="260"/>
              <w:spacing w:after="0"/>
              <w:rPr>
                <w:sz w:val="20"/>
                <w:szCs w:val="20"/>
                <w:color w:val="auto"/>
              </w:rPr>
            </w:pPr>
            <w:r>
              <w:rPr>
                <w:rFonts w:ascii="Arial" w:cs="Arial" w:eastAsia="Arial" w:hAnsi="Arial"/>
                <w:sz w:val="18"/>
                <w:szCs w:val="18"/>
                <w:color w:val="auto"/>
              </w:rPr>
              <w:t>Exempt from federal taxes</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Deposits at banks</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18,966</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4,447</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interest income</w:t>
            </w:r>
          </w:p>
        </w:tc>
        <w:tc>
          <w:tcPr>
            <w:tcW w:w="2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1,120,419</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1,226,309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tcPr>
          <w:p>
            <w:pPr>
              <w:spacing w:after="0"/>
              <w:rPr>
                <w:sz w:val="20"/>
                <w:szCs w:val="20"/>
                <w:color w:val="auto"/>
              </w:rPr>
            </w:pPr>
            <w:r>
              <w:rPr>
                <w:rFonts w:ascii="Arial" w:cs="Arial" w:eastAsia="Arial" w:hAnsi="Arial"/>
                <w:sz w:val="18"/>
                <w:szCs w:val="18"/>
                <w:b w:val="1"/>
                <w:bCs w:val="1"/>
                <w:color w:val="auto"/>
              </w:rPr>
              <w:t>Interest expense</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Savings and interest-checking deposits</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78,002</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76,138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tcPr>
          <w:p>
            <w:pPr>
              <w:spacing w:after="0"/>
              <w:rPr>
                <w:sz w:val="20"/>
                <w:szCs w:val="20"/>
                <w:color w:val="auto"/>
              </w:rPr>
            </w:pPr>
            <w:r>
              <w:rPr>
                <w:rFonts w:ascii="Arial" w:cs="Arial" w:eastAsia="Arial" w:hAnsi="Arial"/>
                <w:sz w:val="18"/>
                <w:szCs w:val="18"/>
                <w:color w:val="auto"/>
              </w:rPr>
              <w:t>Time deposits</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21,872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21,081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Deposits at Cayman Islands office</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3,419</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tcPr>
          <w:p>
            <w:pPr>
              <w:spacing w:after="0"/>
              <w:rPr>
                <w:sz w:val="20"/>
                <w:szCs w:val="20"/>
                <w:color w:val="auto"/>
              </w:rPr>
            </w:pPr>
            <w:r>
              <w:rPr>
                <w:rFonts w:ascii="Arial" w:cs="Arial" w:eastAsia="Arial" w:hAnsi="Arial"/>
                <w:sz w:val="18"/>
                <w:szCs w:val="18"/>
                <w:color w:val="auto"/>
              </w:rPr>
              <w:t>Short-term borrowings</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Long-term borrowings</w:t>
            </w:r>
          </w:p>
        </w:tc>
        <w:tc>
          <w:tcPr>
            <w:tcW w:w="2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40,298</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67,579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interest expense</w:t>
            </w:r>
          </w:p>
        </w:tc>
        <w:tc>
          <w:tcPr>
            <w:tcW w:w="2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143,614</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176,249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Net interest income</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976,805</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1,050,060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Provision for credit losses</w:t>
            </w:r>
          </w:p>
        </w:tc>
        <w:tc>
          <w:tcPr>
            <w:tcW w:w="2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250,000</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22,000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Net interest income after provision for credit losses</w:t>
            </w:r>
          </w:p>
        </w:tc>
        <w:tc>
          <w:tcPr>
            <w:tcW w:w="2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726,805</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1,028,060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tcPr>
          <w:p>
            <w:pPr>
              <w:spacing w:after="0"/>
              <w:rPr>
                <w:sz w:val="20"/>
                <w:szCs w:val="20"/>
                <w:color w:val="auto"/>
              </w:rPr>
            </w:pPr>
            <w:r>
              <w:rPr>
                <w:rFonts w:ascii="Arial" w:cs="Arial" w:eastAsia="Arial" w:hAnsi="Arial"/>
                <w:sz w:val="18"/>
                <w:szCs w:val="18"/>
                <w:b w:val="1"/>
                <w:bCs w:val="1"/>
                <w:color w:val="auto"/>
              </w:rPr>
              <w:t>Other income</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Mortgage banking revenues</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127,909</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95,311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tcPr>
          <w:p>
            <w:pPr>
              <w:spacing w:after="0"/>
              <w:rPr>
                <w:sz w:val="20"/>
                <w:szCs w:val="20"/>
                <w:color w:val="auto"/>
              </w:rPr>
            </w:pPr>
            <w:r>
              <w:rPr>
                <w:rFonts w:ascii="Arial" w:cs="Arial" w:eastAsia="Arial" w:hAnsi="Arial"/>
                <w:sz w:val="18"/>
                <w:szCs w:val="18"/>
                <w:color w:val="auto"/>
              </w:rPr>
              <w:t>Service charges on deposit accounts</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106,161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103,112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Trust income</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148,751</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132,786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tcPr>
          <w:p>
            <w:pPr>
              <w:spacing w:after="0"/>
              <w:rPr>
                <w:sz w:val="20"/>
                <w:szCs w:val="20"/>
                <w:color w:val="auto"/>
              </w:rPr>
            </w:pPr>
            <w:r>
              <w:rPr>
                <w:rFonts w:ascii="Arial" w:cs="Arial" w:eastAsia="Arial" w:hAnsi="Arial"/>
                <w:sz w:val="18"/>
                <w:szCs w:val="18"/>
                <w:color w:val="auto"/>
              </w:rPr>
              <w:t>Brokerage services income</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13,129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12,476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Trading account and foreign exchange gains</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21,016</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tcPr>
          <w:p>
            <w:pPr>
              <w:spacing w:after="0"/>
              <w:rPr>
                <w:sz w:val="20"/>
                <w:szCs w:val="20"/>
                <w:color w:val="auto"/>
              </w:rPr>
            </w:pPr>
            <w:r>
              <w:rPr>
                <w:rFonts w:ascii="Arial" w:cs="Arial" w:eastAsia="Arial" w:hAnsi="Arial"/>
                <w:sz w:val="18"/>
                <w:szCs w:val="18"/>
                <w:color w:val="auto"/>
              </w:rPr>
              <w:t>Gain (loss) on bank investment securities</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(20,782)</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11,841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Other revenues from operations</w:t>
            </w:r>
          </w:p>
        </w:tc>
        <w:tc>
          <w:tcPr>
            <w:tcW w:w="2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133,176</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134,437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other income</w:t>
            </w:r>
          </w:p>
        </w:tc>
        <w:tc>
          <w:tcPr>
            <w:tcW w:w="2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529,360</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500,765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expense</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tcPr>
          <w:p>
            <w:pPr>
              <w:spacing w:after="0"/>
              <w:rPr>
                <w:sz w:val="20"/>
                <w:szCs w:val="20"/>
                <w:color w:val="auto"/>
              </w:rPr>
            </w:pPr>
            <w:r>
              <w:rPr>
                <w:rFonts w:ascii="Arial" w:cs="Arial" w:eastAsia="Arial" w:hAnsi="Arial"/>
                <w:sz w:val="18"/>
                <w:szCs w:val="18"/>
                <w:color w:val="auto"/>
              </w:rPr>
              <w:t>Salaries and employee benefits</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536,843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499,200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Equipment and net occupancy</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79,640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79,347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tcPr>
          <w:p>
            <w:pPr>
              <w:spacing w:after="0"/>
              <w:rPr>
                <w:sz w:val="20"/>
                <w:szCs w:val="20"/>
                <w:color w:val="auto"/>
              </w:rPr>
            </w:pPr>
            <w:r>
              <w:rPr>
                <w:rFonts w:ascii="Arial" w:cs="Arial" w:eastAsia="Arial" w:hAnsi="Arial"/>
                <w:sz w:val="18"/>
                <w:szCs w:val="18"/>
                <w:color w:val="auto"/>
              </w:rPr>
              <w:t>Outside data processing and software</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64,410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52,417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FDIC assessments</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12,271</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9,426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tcPr>
          <w:p>
            <w:pPr>
              <w:spacing w:after="0"/>
              <w:rPr>
                <w:sz w:val="20"/>
                <w:szCs w:val="20"/>
                <w:color w:val="auto"/>
              </w:rPr>
            </w:pPr>
            <w:r>
              <w:rPr>
                <w:rFonts w:ascii="Arial" w:cs="Arial" w:eastAsia="Arial" w:hAnsi="Arial"/>
                <w:sz w:val="18"/>
                <w:szCs w:val="18"/>
                <w:color w:val="auto"/>
              </w:rPr>
              <w:t>Advertising and marketing</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22,375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20,275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Printing, postage and supplies</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10,852</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tcPr>
          <w:p>
            <w:pPr>
              <w:spacing w:after="0"/>
              <w:rPr>
                <w:sz w:val="20"/>
                <w:szCs w:val="20"/>
                <w:color w:val="auto"/>
              </w:rPr>
            </w:pPr>
            <w:r>
              <w:rPr>
                <w:rFonts w:ascii="Arial" w:cs="Arial" w:eastAsia="Arial" w:hAnsi="Arial"/>
                <w:sz w:val="18"/>
                <w:szCs w:val="18"/>
                <w:color w:val="auto"/>
              </w:rPr>
              <w:t>Amortization of core deposit and other intangible assets</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3,913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Other costs of operations</w:t>
            </w:r>
          </w:p>
        </w:tc>
        <w:tc>
          <w:tcPr>
            <w:tcW w:w="2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176,112</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218,808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other expense</w:t>
            </w:r>
          </w:p>
        </w:tc>
        <w:tc>
          <w:tcPr>
            <w:tcW w:w="2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906,416</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894,348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Income before taxes</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349,749</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634,477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taxes</w:t>
            </w:r>
          </w:p>
        </w:tc>
        <w:tc>
          <w:tcPr>
            <w:tcW w:w="2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80,927</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151,735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i w:val="1"/>
                <w:iCs w:val="1"/>
                <w:color w:val="auto"/>
              </w:rPr>
              <w:t>Net income</w:t>
            </w:r>
          </w:p>
        </w:tc>
        <w:tc>
          <w:tcPr>
            <w:tcW w:w="2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268,822</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482,742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60" w:type="dxa"/>
            <w:vAlign w:val="bottom"/>
            <w:vMerge w:val="restart"/>
          </w:tcPr>
          <w:p>
            <w:pPr>
              <w:spacing w:after="0"/>
              <w:rPr>
                <w:sz w:val="20"/>
                <w:szCs w:val="20"/>
                <w:color w:val="auto"/>
              </w:rPr>
            </w:pPr>
            <w:r>
              <w:rPr>
                <w:rFonts w:ascii="Arial" w:cs="Arial" w:eastAsia="Arial" w:hAnsi="Arial"/>
                <w:sz w:val="18"/>
                <w:szCs w:val="18"/>
                <w:b w:val="1"/>
                <w:bCs w:val="1"/>
                <w:color w:val="auto"/>
              </w:rPr>
              <w:t>Net income available to common shareholders</w:t>
            </w: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Basic</w:t>
            </w:r>
          </w:p>
        </w:tc>
        <w:tc>
          <w:tcPr>
            <w:tcW w:w="54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250,701</w:t>
            </w:r>
          </w:p>
        </w:tc>
        <w:tc>
          <w:tcPr>
            <w:tcW w:w="22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147"/>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462,086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tcPr>
          <w:p>
            <w:pPr>
              <w:ind w:left="500"/>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250,701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462,086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income per common share</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tcPr>
          <w:p>
            <w:pPr>
              <w:ind w:left="500"/>
              <w:spacing w:after="0"/>
              <w:rPr>
                <w:sz w:val="20"/>
                <w:szCs w:val="20"/>
                <w:color w:val="auto"/>
              </w:rPr>
            </w:pPr>
            <w:r>
              <w:rPr>
                <w:rFonts w:ascii="Arial" w:cs="Arial" w:eastAsia="Arial" w:hAnsi="Arial"/>
                <w:sz w:val="18"/>
                <w:szCs w:val="18"/>
                <w:color w:val="auto"/>
              </w:rPr>
              <w:t>Basic</w:t>
            </w:r>
          </w:p>
        </w:tc>
        <w:tc>
          <w:tcPr>
            <w:tcW w:w="54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1.93</w:t>
            </w:r>
          </w:p>
        </w:tc>
        <w:tc>
          <w:tcPr>
            <w:tcW w:w="220" w:type="dxa"/>
            <w:vAlign w:val="bottom"/>
          </w:tcPr>
          <w:p>
            <w:pPr>
              <w:spacing w:after="0"/>
              <w:rPr>
                <w:sz w:val="19"/>
                <w:szCs w:val="19"/>
                <w:color w:val="auto"/>
              </w:rPr>
            </w:pPr>
          </w:p>
        </w:tc>
        <w:tc>
          <w:tcPr>
            <w:tcW w:w="48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tcPr>
          <w:p>
            <w:pPr>
              <w:spacing w:after="0"/>
              <w:rPr>
                <w:sz w:val="20"/>
                <w:szCs w:val="20"/>
                <w:color w:val="auto"/>
              </w:rPr>
            </w:pPr>
            <w:r>
              <w:rPr>
                <w:rFonts w:ascii="Arial" w:cs="Arial" w:eastAsia="Arial" w:hAnsi="Arial"/>
                <w:sz w:val="18"/>
                <w:szCs w:val="18"/>
                <w:b w:val="1"/>
                <w:bCs w:val="1"/>
                <w:color w:val="auto"/>
              </w:rPr>
              <w:t>Average common shares outstanding</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129,696</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137,889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860" w:type="dxa"/>
            <w:vAlign w:val="bottom"/>
          </w:tcPr>
          <w:p>
            <w:pPr>
              <w:ind w:left="500"/>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129,755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137,920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7860" w:type="dxa"/>
            <w:vAlign w:val="bottom"/>
          </w:tcPr>
          <w:p>
            <w:pPr>
              <w:ind w:left="3620"/>
              <w:spacing w:after="0"/>
              <w:rPr>
                <w:sz w:val="20"/>
                <w:szCs w:val="20"/>
                <w:color w:val="auto"/>
              </w:rPr>
            </w:pPr>
            <w:r>
              <w:rPr>
                <w:rFonts w:ascii="Arial" w:cs="Arial" w:eastAsia="Arial" w:hAnsi="Arial"/>
                <w:sz w:val="21"/>
                <w:szCs w:val="21"/>
                <w:i w:val="1"/>
                <w:iCs w:val="1"/>
                <w:color w:val="auto"/>
                <w:w w:val="92"/>
              </w:rPr>
              <w:t>See accompanying notes to financial statements.</w:t>
            </w: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3"/>
        </w:trPr>
        <w:tc>
          <w:tcPr>
            <w:tcW w:w="7860" w:type="dxa"/>
            <w:vAlign w:val="bottom"/>
          </w:tcPr>
          <w:p>
            <w:pPr>
              <w:ind w:left="5480"/>
              <w:spacing w:after="0"/>
              <w:rPr>
                <w:sz w:val="20"/>
                <w:szCs w:val="20"/>
                <w:color w:val="auto"/>
              </w:rPr>
            </w:pPr>
            <w:r>
              <w:rPr>
                <w:rFonts w:ascii="Arial" w:cs="Arial" w:eastAsia="Arial" w:hAnsi="Arial"/>
                <w:sz w:val="18"/>
                <w:szCs w:val="18"/>
                <w:color w:val="auto"/>
              </w:rPr>
              <w:t>- 4 -</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8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-7620</wp:posOffset>
            </wp:positionV>
            <wp:extent cx="82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25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21"/>
          <w:szCs w:val="21"/>
          <w:color w:val="auto"/>
        </w:rPr>
        <w:t>M&amp;T BANK CORPORATION AND SUBSIDIARIES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CONSOLIDATED STATEMENT OF COMPREHENSIVE INCOME (Unaudited)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780" w:type="dxa"/>
            <w:vAlign w:val="bottom"/>
            <w:gridSpan w:val="6"/>
          </w:tcPr>
          <w:p>
            <w:pPr>
              <w:ind w:left="22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71"/>
        </w:trPr>
        <w:tc>
          <w:tcPr>
            <w:tcW w:w="592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2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2020</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590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254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268,822</w:t>
            </w:r>
          </w:p>
        </w:tc>
        <w:tc>
          <w:tcPr>
            <w:tcW w:w="42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49"/>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482,742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Other comprehensive income (loss), net of tax and</w:t>
            </w:r>
          </w:p>
        </w:tc>
        <w:tc>
          <w:tcPr>
            <w:tcW w:w="2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00" w:type="dxa"/>
            <w:vAlign w:val="bottom"/>
          </w:tcPr>
          <w:p>
            <w:pPr>
              <w:ind w:left="120"/>
              <w:spacing w:after="0"/>
              <w:rPr>
                <w:sz w:val="20"/>
                <w:szCs w:val="20"/>
                <w:color w:val="auto"/>
              </w:rPr>
            </w:pPr>
            <w:r>
              <w:rPr>
                <w:rFonts w:ascii="Arial" w:cs="Arial" w:eastAsia="Arial" w:hAnsi="Arial"/>
                <w:sz w:val="18"/>
                <w:szCs w:val="18"/>
                <w:color w:val="auto"/>
              </w:rPr>
              <w:t>reclassification adjustments:</w:t>
            </w:r>
          </w:p>
        </w:tc>
        <w:tc>
          <w:tcPr>
            <w:tcW w:w="2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unrealized gains on investment securities</w:t>
            </w:r>
          </w:p>
        </w:tc>
        <w:tc>
          <w:tcPr>
            <w:tcW w:w="2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97,448</w:t>
            </w:r>
          </w:p>
        </w:tc>
        <w:tc>
          <w:tcPr>
            <w:tcW w:w="4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84,591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900" w:type="dxa"/>
            <w:vAlign w:val="bottom"/>
          </w:tcPr>
          <w:p>
            <w:pPr>
              <w:ind w:left="240"/>
              <w:spacing w:after="0"/>
              <w:rPr>
                <w:sz w:val="20"/>
                <w:szCs w:val="20"/>
                <w:color w:val="auto"/>
              </w:rPr>
            </w:pPr>
            <w:r>
              <w:rPr>
                <w:rFonts w:ascii="Arial" w:cs="Arial" w:eastAsia="Arial" w:hAnsi="Arial"/>
                <w:sz w:val="18"/>
                <w:szCs w:val="18"/>
                <w:color w:val="auto"/>
              </w:rPr>
              <w:t>Cash flow hedges adjustments</w:t>
            </w:r>
          </w:p>
        </w:tc>
        <w:tc>
          <w:tcPr>
            <w:tcW w:w="2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312,720</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44,921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Foreign currency translation adjustments</w:t>
            </w:r>
          </w:p>
        </w:tc>
        <w:tc>
          <w:tcPr>
            <w:tcW w:w="2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(2,943)</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9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Defined benefit plans liability adjustments</w:t>
            </w:r>
          </w:p>
        </w:tc>
        <w:tc>
          <w:tcPr>
            <w:tcW w:w="22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9,288</w:t>
            </w:r>
          </w:p>
        </w:tc>
        <w:tc>
          <w:tcPr>
            <w:tcW w:w="4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other comprehensive income (loss)</w:t>
            </w:r>
          </w:p>
        </w:tc>
        <w:tc>
          <w:tcPr>
            <w:tcW w:w="22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416,513</w:t>
            </w:r>
          </w:p>
        </w:tc>
        <w:tc>
          <w:tcPr>
            <w:tcW w:w="4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132,072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00" w:type="dxa"/>
            <w:vAlign w:val="bottom"/>
          </w:tcPr>
          <w:p>
            <w:pPr>
              <w:ind w:left="480"/>
              <w:spacing w:after="0"/>
              <w:rPr>
                <w:sz w:val="20"/>
                <w:szCs w:val="20"/>
                <w:color w:val="auto"/>
              </w:rPr>
            </w:pPr>
            <w:r>
              <w:rPr>
                <w:rFonts w:ascii="Arial" w:cs="Arial" w:eastAsia="Arial" w:hAnsi="Arial"/>
                <w:sz w:val="18"/>
                <w:szCs w:val="18"/>
                <w:color w:val="auto"/>
              </w:rPr>
              <w:t>Total comprehensive income</w:t>
            </w:r>
          </w:p>
        </w:tc>
        <w:tc>
          <w:tcPr>
            <w:tcW w:w="2260" w:type="dxa"/>
            <w:vAlign w:val="bottom"/>
          </w:tcPr>
          <w:p>
            <w:pPr>
              <w:spacing w:after="0"/>
              <w:rPr>
                <w:sz w:val="19"/>
                <w:szCs w:val="19"/>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685,335</w:t>
            </w:r>
          </w:p>
        </w:tc>
        <w:tc>
          <w:tcPr>
            <w:tcW w:w="4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614,814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8" w:lineRule="exact"/>
        <w:rPr>
          <w:sz w:val="20"/>
          <w:szCs w:val="20"/>
          <w:color w:val="auto"/>
        </w:rPr>
      </w:pPr>
    </w:p>
    <w:p>
      <w:pPr>
        <w:jc w:val="center"/>
        <w:spacing w:after="0"/>
        <w:rPr>
          <w:sz w:val="20"/>
          <w:szCs w:val="20"/>
          <w:color w:val="auto"/>
        </w:rPr>
      </w:pPr>
      <w:r>
        <w:rPr>
          <w:rFonts w:ascii="Arial" w:cs="Arial" w:eastAsia="Arial" w:hAnsi="Arial"/>
          <w:sz w:val="21"/>
          <w:szCs w:val="21"/>
          <w:i w:val="1"/>
          <w:iCs w:val="1"/>
          <w:color w:val="auto"/>
        </w:rPr>
        <w:t>See accompanying notes to financial statements.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21"/>
          <w:szCs w:val="21"/>
          <w:color w:val="auto"/>
        </w:rPr>
        <w:t>M&amp;T BANK CORPORATION AND SUBSIDIARIES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CONSOLIDATED STATEMENT OF CASH FLOWS (Unaudited)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0" w:type="dxa"/>
            <w:vAlign w:val="bottom"/>
            <w:gridSpan w:val="6"/>
          </w:tcPr>
          <w:p>
            <w:pPr>
              <w:jc w:val="right"/>
              <w:ind w:right="580"/>
              <w:spacing w:after="0"/>
              <w:rPr>
                <w:sz w:val="20"/>
                <w:szCs w:val="20"/>
                <w:color w:val="auto"/>
              </w:rPr>
            </w:pPr>
            <w:r>
              <w:rPr>
                <w:rFonts w:ascii="Arial" w:cs="Arial" w:eastAsia="Arial" w:hAnsi="Arial"/>
                <w:sz w:val="13"/>
                <w:szCs w:val="13"/>
                <w:b w:val="1"/>
                <w:bCs w:val="1"/>
                <w:color w:val="auto"/>
              </w:rPr>
              <w:t>Three Months Ended March 31</w:t>
            </w:r>
          </w:p>
        </w:tc>
        <w:tc>
          <w:tcPr>
            <w:tcW w:w="0" w:type="dxa"/>
            <w:vAlign w:val="bottom"/>
          </w:tcPr>
          <w:p>
            <w:pPr>
              <w:spacing w:after="0"/>
              <w:rPr>
                <w:sz w:val="1"/>
                <w:szCs w:val="1"/>
                <w:color w:val="auto"/>
              </w:rPr>
            </w:pPr>
          </w:p>
        </w:tc>
      </w:tr>
      <w:tr>
        <w:trPr>
          <w:trHeight w:val="161"/>
        </w:trPr>
        <w:tc>
          <w:tcPr>
            <w:tcW w:w="8400" w:type="dxa"/>
            <w:vAlign w:val="bottom"/>
            <w:tcBorders>
              <w:bottom w:val="single" w:sz="8" w:color="CFF0FC"/>
            </w:tcBorders>
          </w:tcPr>
          <w:p>
            <w:pPr>
              <w:spacing w:after="0"/>
              <w:rPr>
                <w:sz w:val="20"/>
                <w:szCs w:val="20"/>
                <w:color w:val="auto"/>
              </w:rPr>
            </w:pPr>
            <w:r>
              <w:rPr>
                <w:rFonts w:ascii="Arial" w:cs="Arial" w:eastAsia="Arial" w:hAnsi="Arial"/>
                <w:sz w:val="13"/>
                <w:szCs w:val="13"/>
                <w:b w:val="1"/>
                <w:bCs w:val="1"/>
                <w:color w:val="auto"/>
              </w:rPr>
              <w:t>(In thousands)</w:t>
            </w: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93"/>
              <w:spacing w:after="0"/>
              <w:rPr>
                <w:sz w:val="20"/>
                <w:szCs w:val="20"/>
                <w:color w:val="auto"/>
              </w:rPr>
            </w:pPr>
            <w:r>
              <w:rPr>
                <w:rFonts w:ascii="Arial" w:cs="Arial" w:eastAsia="Arial" w:hAnsi="Arial"/>
                <w:sz w:val="13"/>
                <w:szCs w:val="13"/>
                <w:b w:val="1"/>
                <w:bCs w:val="1"/>
                <w:color w:val="auto"/>
              </w:rPr>
              <w:t>2020</w:t>
            </w:r>
          </w:p>
        </w:tc>
        <w:tc>
          <w:tcPr>
            <w:tcW w:w="220" w:type="dxa"/>
            <w:vAlign w:val="bottom"/>
            <w:tcBorders>
              <w:bottom w:val="single" w:sz="8" w:color="CFF0FC"/>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93"/>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40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Cash flows from operating activities</w:t>
            </w:r>
          </w:p>
        </w:tc>
        <w:tc>
          <w:tcPr>
            <w:tcW w:w="24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400" w:type="dxa"/>
            <w:vAlign w:val="bottom"/>
          </w:tcPr>
          <w:p>
            <w:pPr>
              <w:spacing w:after="0"/>
              <w:rPr>
                <w:sz w:val="20"/>
                <w:szCs w:val="20"/>
                <w:color w:val="auto"/>
              </w:rPr>
            </w:pPr>
            <w:r>
              <w:rPr>
                <w:rFonts w:ascii="Arial" w:cs="Arial" w:eastAsia="Arial" w:hAnsi="Arial"/>
                <w:sz w:val="13"/>
                <w:szCs w:val="13"/>
                <w:color w:val="auto"/>
              </w:rPr>
              <w:t>Net income</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268,822</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482,742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00" w:type="dxa"/>
            <w:vAlign w:val="bottom"/>
            <w:shd w:val="clear" w:color="auto" w:fill="CFF0FC"/>
          </w:tcPr>
          <w:p>
            <w:pPr>
              <w:spacing w:after="0"/>
              <w:rPr>
                <w:sz w:val="20"/>
                <w:szCs w:val="20"/>
                <w:color w:val="auto"/>
              </w:rPr>
            </w:pPr>
            <w:r>
              <w:rPr>
                <w:rFonts w:ascii="Arial" w:cs="Arial" w:eastAsia="Arial" w:hAnsi="Arial"/>
                <w:sz w:val="13"/>
                <w:szCs w:val="13"/>
                <w:color w:val="auto"/>
              </w:rPr>
              <w:t>Adjustments to reconcile net income to net cash provided by operating activities</w:t>
            </w: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00" w:type="dxa"/>
            <w:vAlign w:val="bottom"/>
          </w:tcPr>
          <w:p>
            <w:pPr>
              <w:ind w:left="500"/>
              <w:spacing w:after="0"/>
              <w:rPr>
                <w:sz w:val="20"/>
                <w:szCs w:val="20"/>
                <w:color w:val="auto"/>
              </w:rPr>
            </w:pPr>
            <w:r>
              <w:rPr>
                <w:rFonts w:ascii="Arial" w:cs="Arial" w:eastAsia="Arial" w:hAnsi="Arial"/>
                <w:sz w:val="13"/>
                <w:szCs w:val="13"/>
                <w:color w:val="auto"/>
              </w:rPr>
              <w:t>Provision for credit losses</w:t>
            </w: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250,000</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22,000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00" w:type="dxa"/>
            <w:vAlign w:val="bottom"/>
            <w:shd w:val="clear" w:color="auto" w:fill="CFF0FC"/>
          </w:tcPr>
          <w:p>
            <w:pPr>
              <w:ind w:left="500"/>
              <w:spacing w:after="0"/>
              <w:rPr>
                <w:sz w:val="20"/>
                <w:szCs w:val="20"/>
                <w:color w:val="auto"/>
              </w:rPr>
            </w:pPr>
            <w:r>
              <w:rPr>
                <w:rFonts w:ascii="Arial" w:cs="Arial" w:eastAsia="Arial" w:hAnsi="Arial"/>
                <w:sz w:val="13"/>
                <w:szCs w:val="13"/>
                <w:color w:val="auto"/>
              </w:rPr>
              <w:t>Depreciation and amortization of premises and equipment</w:t>
            </w: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54,756</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50,982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00" w:type="dxa"/>
            <w:vAlign w:val="bottom"/>
          </w:tcPr>
          <w:p>
            <w:pPr>
              <w:ind w:left="500"/>
              <w:spacing w:after="0"/>
              <w:rPr>
                <w:sz w:val="20"/>
                <w:szCs w:val="20"/>
                <w:color w:val="auto"/>
              </w:rPr>
            </w:pPr>
            <w:r>
              <w:rPr>
                <w:rFonts w:ascii="Arial" w:cs="Arial" w:eastAsia="Arial" w:hAnsi="Arial"/>
                <w:sz w:val="13"/>
                <w:szCs w:val="13"/>
                <w:color w:val="auto"/>
              </w:rPr>
              <w:t>Amortization of capitalized servicing rights</w:t>
            </w: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18,991</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16,170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00" w:type="dxa"/>
            <w:vAlign w:val="bottom"/>
            <w:shd w:val="clear" w:color="auto" w:fill="CFF0FC"/>
          </w:tcPr>
          <w:p>
            <w:pPr>
              <w:ind w:left="500"/>
              <w:spacing w:after="0"/>
              <w:rPr>
                <w:sz w:val="20"/>
                <w:szCs w:val="20"/>
                <w:color w:val="auto"/>
              </w:rPr>
            </w:pPr>
            <w:r>
              <w:rPr>
                <w:rFonts w:ascii="Arial" w:cs="Arial" w:eastAsia="Arial" w:hAnsi="Arial"/>
                <w:sz w:val="13"/>
                <w:szCs w:val="13"/>
                <w:color w:val="auto"/>
              </w:rPr>
              <w:t>Amortization of core deposit and other intangible assets</w:t>
            </w: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3,913</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5,020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00" w:type="dxa"/>
            <w:vAlign w:val="bottom"/>
          </w:tcPr>
          <w:p>
            <w:pPr>
              <w:ind w:left="500"/>
              <w:spacing w:after="0"/>
              <w:rPr>
                <w:sz w:val="20"/>
                <w:szCs w:val="20"/>
                <w:color w:val="auto"/>
              </w:rPr>
            </w:pPr>
            <w:r>
              <w:rPr>
                <w:rFonts w:ascii="Arial" w:cs="Arial" w:eastAsia="Arial" w:hAnsi="Arial"/>
                <w:sz w:val="13"/>
                <w:szCs w:val="13"/>
                <w:color w:val="auto"/>
              </w:rPr>
              <w:t>Provision for deferred income taxes</w:t>
            </w:r>
          </w:p>
        </w:tc>
        <w:tc>
          <w:tcPr>
            <w:tcW w:w="24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3"/>
                <w:szCs w:val="13"/>
                <w:color w:val="auto"/>
              </w:rPr>
              <w:t>(36,243)</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13,441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00" w:type="dxa"/>
            <w:vAlign w:val="bottom"/>
            <w:shd w:val="clear" w:color="auto" w:fill="CFF0FC"/>
          </w:tcPr>
          <w:p>
            <w:pPr>
              <w:ind w:left="500"/>
              <w:spacing w:after="0"/>
              <w:rPr>
                <w:sz w:val="20"/>
                <w:szCs w:val="20"/>
                <w:color w:val="auto"/>
              </w:rPr>
            </w:pPr>
            <w:r>
              <w:rPr>
                <w:rFonts w:ascii="Arial" w:cs="Arial" w:eastAsia="Arial" w:hAnsi="Arial"/>
                <w:sz w:val="13"/>
                <w:szCs w:val="13"/>
                <w:color w:val="auto"/>
              </w:rPr>
              <w:t>Asset write-downs</w:t>
            </w: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2,990</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1,919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00" w:type="dxa"/>
            <w:vAlign w:val="bottom"/>
          </w:tcPr>
          <w:p>
            <w:pPr>
              <w:ind w:left="500"/>
              <w:spacing w:after="0"/>
              <w:rPr>
                <w:sz w:val="20"/>
                <w:szCs w:val="20"/>
                <w:color w:val="auto"/>
              </w:rPr>
            </w:pPr>
            <w:r>
              <w:rPr>
                <w:rFonts w:ascii="Arial" w:cs="Arial" w:eastAsia="Arial" w:hAnsi="Arial"/>
                <w:sz w:val="13"/>
                <w:szCs w:val="13"/>
                <w:color w:val="auto"/>
              </w:rPr>
              <w:t>Net gain on sales of assets</w:t>
            </w:r>
          </w:p>
        </w:tc>
        <w:tc>
          <w:tcPr>
            <w:tcW w:w="24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3"/>
                <w:szCs w:val="13"/>
                <w:color w:val="auto"/>
              </w:rPr>
              <w:t>(3,933)</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3"/>
                <w:szCs w:val="13"/>
                <w:color w:val="auto"/>
              </w:rPr>
              <w:t>(5,171)</w:t>
            </w:r>
          </w:p>
        </w:tc>
        <w:tc>
          <w:tcPr>
            <w:tcW w:w="0" w:type="dxa"/>
            <w:vAlign w:val="bottom"/>
          </w:tcPr>
          <w:p>
            <w:pPr>
              <w:spacing w:after="0"/>
              <w:rPr>
                <w:sz w:val="1"/>
                <w:szCs w:val="1"/>
                <w:color w:val="auto"/>
              </w:rPr>
            </w:pPr>
          </w:p>
        </w:tc>
      </w:tr>
      <w:tr>
        <w:trPr>
          <w:trHeight w:val="162"/>
        </w:trPr>
        <w:tc>
          <w:tcPr>
            <w:tcW w:w="8400" w:type="dxa"/>
            <w:vAlign w:val="bottom"/>
            <w:shd w:val="clear" w:color="auto" w:fill="CFF0FC"/>
          </w:tcPr>
          <w:p>
            <w:pPr>
              <w:ind w:left="500"/>
              <w:spacing w:after="0"/>
              <w:rPr>
                <w:sz w:val="20"/>
                <w:szCs w:val="20"/>
                <w:color w:val="auto"/>
              </w:rPr>
            </w:pPr>
            <w:r>
              <w:rPr>
                <w:rFonts w:ascii="Arial" w:cs="Arial" w:eastAsia="Arial" w:hAnsi="Arial"/>
                <w:sz w:val="13"/>
                <w:szCs w:val="13"/>
                <w:color w:val="auto"/>
              </w:rPr>
              <w:t>Net change in accrued interest receivable, payable</w:t>
            </w:r>
          </w:p>
        </w:tc>
        <w:tc>
          <w:tcPr>
            <w:tcW w:w="24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(13,863)</w:t>
            </w:r>
          </w:p>
        </w:tc>
        <w:tc>
          <w:tcPr>
            <w:tcW w:w="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(35,071)</w:t>
            </w:r>
          </w:p>
        </w:tc>
        <w:tc>
          <w:tcPr>
            <w:tcW w:w="0" w:type="dxa"/>
            <w:vAlign w:val="bottom"/>
          </w:tcPr>
          <w:p>
            <w:pPr>
              <w:spacing w:after="0"/>
              <w:rPr>
                <w:sz w:val="1"/>
                <w:szCs w:val="1"/>
                <w:color w:val="auto"/>
              </w:rPr>
            </w:pPr>
          </w:p>
        </w:tc>
      </w:tr>
      <w:tr>
        <w:trPr>
          <w:trHeight w:val="162"/>
        </w:trPr>
        <w:tc>
          <w:tcPr>
            <w:tcW w:w="8400" w:type="dxa"/>
            <w:vAlign w:val="bottom"/>
          </w:tcPr>
          <w:p>
            <w:pPr>
              <w:ind w:left="500"/>
              <w:spacing w:after="0"/>
              <w:rPr>
                <w:sz w:val="20"/>
                <w:szCs w:val="20"/>
                <w:color w:val="auto"/>
              </w:rPr>
            </w:pPr>
            <w:r>
              <w:rPr>
                <w:rFonts w:ascii="Arial" w:cs="Arial" w:eastAsia="Arial" w:hAnsi="Arial"/>
                <w:sz w:val="13"/>
                <w:szCs w:val="13"/>
                <w:color w:val="auto"/>
              </w:rPr>
              <w:t>Net change in other accrued income and expense</w:t>
            </w:r>
          </w:p>
        </w:tc>
        <w:tc>
          <w:tcPr>
            <w:tcW w:w="24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3"/>
                <w:szCs w:val="13"/>
                <w:color w:val="auto"/>
              </w:rPr>
              <w:t>(73,363)</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3"/>
                <w:szCs w:val="13"/>
                <w:color w:val="auto"/>
              </w:rPr>
              <w:t>(171,304)</w:t>
            </w:r>
          </w:p>
        </w:tc>
        <w:tc>
          <w:tcPr>
            <w:tcW w:w="0" w:type="dxa"/>
            <w:vAlign w:val="bottom"/>
          </w:tcPr>
          <w:p>
            <w:pPr>
              <w:spacing w:after="0"/>
              <w:rPr>
                <w:sz w:val="1"/>
                <w:szCs w:val="1"/>
                <w:color w:val="auto"/>
              </w:rPr>
            </w:pPr>
          </w:p>
        </w:tc>
      </w:tr>
      <w:tr>
        <w:trPr>
          <w:trHeight w:val="162"/>
        </w:trPr>
        <w:tc>
          <w:tcPr>
            <w:tcW w:w="8400" w:type="dxa"/>
            <w:vAlign w:val="bottom"/>
            <w:shd w:val="clear" w:color="auto" w:fill="CFF0FC"/>
          </w:tcPr>
          <w:p>
            <w:pPr>
              <w:ind w:left="500"/>
              <w:spacing w:after="0"/>
              <w:rPr>
                <w:sz w:val="20"/>
                <w:szCs w:val="20"/>
                <w:color w:val="auto"/>
              </w:rPr>
            </w:pPr>
            <w:r>
              <w:rPr>
                <w:rFonts w:ascii="Arial" w:cs="Arial" w:eastAsia="Arial" w:hAnsi="Arial"/>
                <w:sz w:val="13"/>
                <w:szCs w:val="13"/>
                <w:color w:val="auto"/>
              </w:rPr>
              <w:t>Net change in loans originated for sale</w:t>
            </w:r>
          </w:p>
        </w:tc>
        <w:tc>
          <w:tcPr>
            <w:tcW w:w="24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(158,193)</w:t>
            </w:r>
          </w:p>
        </w:tc>
        <w:tc>
          <w:tcPr>
            <w:tcW w:w="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202,670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00" w:type="dxa"/>
            <w:vAlign w:val="bottom"/>
          </w:tcPr>
          <w:p>
            <w:pPr>
              <w:ind w:left="500"/>
              <w:spacing w:after="0"/>
              <w:rPr>
                <w:sz w:val="20"/>
                <w:szCs w:val="20"/>
                <w:color w:val="auto"/>
              </w:rPr>
            </w:pPr>
            <w:r>
              <w:rPr>
                <w:rFonts w:ascii="Arial" w:cs="Arial" w:eastAsia="Arial" w:hAnsi="Arial"/>
                <w:sz w:val="13"/>
                <w:szCs w:val="13"/>
                <w:color w:val="auto"/>
              </w:rPr>
              <w:t>Net change in trading account assets and liabilities</w:t>
            </w:r>
          </w:p>
        </w:tc>
        <w:tc>
          <w:tcPr>
            <w:tcW w:w="24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3"/>
                <w:szCs w:val="13"/>
                <w:color w:val="auto"/>
              </w:rPr>
              <w:t>(708,319)</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3"/>
                <w:szCs w:val="13"/>
                <w:color w:val="auto"/>
              </w:rPr>
              <w:t>(170,092)</w:t>
            </w:r>
          </w:p>
        </w:tc>
        <w:tc>
          <w:tcPr>
            <w:tcW w:w="0" w:type="dxa"/>
            <w:vAlign w:val="bottom"/>
          </w:tcPr>
          <w:p>
            <w:pPr>
              <w:spacing w:after="0"/>
              <w:rPr>
                <w:sz w:val="1"/>
                <w:szCs w:val="1"/>
                <w:color w:val="auto"/>
              </w:rPr>
            </w:pPr>
          </w:p>
        </w:tc>
      </w:tr>
      <w:tr>
        <w:trPr>
          <w:trHeight w:val="20"/>
        </w:trPr>
        <w:tc>
          <w:tcPr>
            <w:tcW w:w="8400" w:type="dxa"/>
            <w:vAlign w:val="bottom"/>
            <w:vMerge w:val="restart"/>
            <w:shd w:val="clear" w:color="auto" w:fill="CFF0FC"/>
          </w:tcPr>
          <w:p>
            <w:pPr>
              <w:ind w:left="500"/>
              <w:spacing w:after="0"/>
              <w:rPr>
                <w:sz w:val="20"/>
                <w:szCs w:val="20"/>
                <w:color w:val="auto"/>
              </w:rPr>
            </w:pPr>
            <w:r>
              <w:rPr>
                <w:rFonts w:ascii="Arial" w:cs="Arial" w:eastAsia="Arial" w:hAnsi="Arial"/>
                <w:sz w:val="13"/>
                <w:szCs w:val="13"/>
                <w:color w:val="auto"/>
              </w:rPr>
              <w:t>Net cash provided (used) by operating activities</w:t>
            </w: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8400" w:type="dxa"/>
            <w:vAlign w:val="bottom"/>
            <w:vMerge w:val="continue"/>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(394,442)</w:t>
            </w:r>
          </w:p>
        </w:tc>
        <w:tc>
          <w:tcPr>
            <w:tcW w:w="1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413,306</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400" w:type="dxa"/>
            <w:vAlign w:val="bottom"/>
          </w:tcPr>
          <w:p>
            <w:pPr>
              <w:spacing w:after="0"/>
              <w:rPr>
                <w:sz w:val="20"/>
                <w:szCs w:val="20"/>
                <w:color w:val="auto"/>
              </w:rPr>
            </w:pPr>
            <w:r>
              <w:rPr>
                <w:rFonts w:ascii="Arial" w:cs="Arial" w:eastAsia="Arial" w:hAnsi="Arial"/>
                <w:sz w:val="13"/>
                <w:szCs w:val="13"/>
                <w:b w:val="1"/>
                <w:bCs w:val="1"/>
                <w:color w:val="auto"/>
              </w:rPr>
              <w:t>Cash flows from investing activities</w:t>
            </w:r>
          </w:p>
        </w:tc>
        <w:tc>
          <w:tcPr>
            <w:tcW w:w="2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400" w:type="dxa"/>
            <w:vAlign w:val="bottom"/>
            <w:shd w:val="clear" w:color="auto" w:fill="CFF0FC"/>
          </w:tcPr>
          <w:p>
            <w:pPr>
              <w:spacing w:after="0"/>
              <w:rPr>
                <w:sz w:val="20"/>
                <w:szCs w:val="20"/>
                <w:color w:val="auto"/>
              </w:rPr>
            </w:pPr>
            <w:r>
              <w:rPr>
                <w:rFonts w:ascii="Arial" w:cs="Arial" w:eastAsia="Arial" w:hAnsi="Arial"/>
                <w:sz w:val="13"/>
                <w:szCs w:val="13"/>
                <w:color w:val="auto"/>
              </w:rPr>
              <w:t>Proceeds from sales of investment securities</w:t>
            </w: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00" w:type="dxa"/>
            <w:vAlign w:val="bottom"/>
          </w:tcPr>
          <w:p>
            <w:pPr>
              <w:ind w:left="260"/>
              <w:spacing w:after="0"/>
              <w:rPr>
                <w:sz w:val="20"/>
                <w:szCs w:val="20"/>
                <w:color w:val="auto"/>
              </w:rPr>
            </w:pPr>
            <w:r>
              <w:rPr>
                <w:rFonts w:ascii="Arial" w:cs="Arial" w:eastAsia="Arial" w:hAnsi="Arial"/>
                <w:sz w:val="13"/>
                <w:szCs w:val="13"/>
                <w:color w:val="auto"/>
              </w:rPr>
              <w:t>Equity and other securities</w:t>
            </w: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2,536</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312,743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00" w:type="dxa"/>
            <w:vAlign w:val="bottom"/>
            <w:shd w:val="clear" w:color="auto" w:fill="CFF0FC"/>
          </w:tcPr>
          <w:p>
            <w:pPr>
              <w:spacing w:after="0"/>
              <w:rPr>
                <w:sz w:val="20"/>
                <w:szCs w:val="20"/>
                <w:color w:val="auto"/>
              </w:rPr>
            </w:pPr>
            <w:r>
              <w:rPr>
                <w:rFonts w:ascii="Arial" w:cs="Arial" w:eastAsia="Arial" w:hAnsi="Arial"/>
                <w:sz w:val="13"/>
                <w:szCs w:val="13"/>
                <w:color w:val="auto"/>
              </w:rPr>
              <w:t>Proceeds from maturities of investment securities</w:t>
            </w: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00" w:type="dxa"/>
            <w:vAlign w:val="bottom"/>
          </w:tcPr>
          <w:p>
            <w:pPr>
              <w:ind w:left="260"/>
              <w:spacing w:after="0"/>
              <w:rPr>
                <w:sz w:val="20"/>
                <w:szCs w:val="20"/>
                <w:color w:val="auto"/>
              </w:rPr>
            </w:pPr>
            <w:r>
              <w:rPr>
                <w:rFonts w:ascii="Arial" w:cs="Arial" w:eastAsia="Arial" w:hAnsi="Arial"/>
                <w:sz w:val="13"/>
                <w:szCs w:val="13"/>
                <w:color w:val="auto"/>
              </w:rPr>
              <w:t>Available for sale</w:t>
            </w: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303,994</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371,714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Held to maturity</w:t>
            </w: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359,615</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99,960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00" w:type="dxa"/>
            <w:vAlign w:val="bottom"/>
          </w:tcPr>
          <w:p>
            <w:pPr>
              <w:spacing w:after="0"/>
              <w:rPr>
                <w:sz w:val="20"/>
                <w:szCs w:val="20"/>
                <w:color w:val="auto"/>
              </w:rPr>
            </w:pPr>
            <w:r>
              <w:rPr>
                <w:rFonts w:ascii="Arial" w:cs="Arial" w:eastAsia="Arial" w:hAnsi="Arial"/>
                <w:sz w:val="13"/>
                <w:szCs w:val="13"/>
                <w:color w:val="auto"/>
              </w:rPr>
              <w:t>Purchases of investment securities</w:t>
            </w: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Available for sale</w:t>
            </w:r>
          </w:p>
        </w:tc>
        <w:tc>
          <w:tcPr>
            <w:tcW w:w="24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(2,951)</w:t>
            </w:r>
          </w:p>
        </w:tc>
        <w:tc>
          <w:tcPr>
            <w:tcW w:w="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(1,595)</w:t>
            </w:r>
          </w:p>
        </w:tc>
        <w:tc>
          <w:tcPr>
            <w:tcW w:w="0" w:type="dxa"/>
            <w:vAlign w:val="bottom"/>
          </w:tcPr>
          <w:p>
            <w:pPr>
              <w:spacing w:after="0"/>
              <w:rPr>
                <w:sz w:val="1"/>
                <w:szCs w:val="1"/>
                <w:color w:val="auto"/>
              </w:rPr>
            </w:pPr>
          </w:p>
        </w:tc>
      </w:tr>
      <w:tr>
        <w:trPr>
          <w:trHeight w:val="162"/>
        </w:trPr>
        <w:tc>
          <w:tcPr>
            <w:tcW w:w="8400" w:type="dxa"/>
            <w:vAlign w:val="bottom"/>
          </w:tcPr>
          <w:p>
            <w:pPr>
              <w:ind w:left="260"/>
              <w:spacing w:after="0"/>
              <w:rPr>
                <w:sz w:val="20"/>
                <w:szCs w:val="20"/>
                <w:color w:val="auto"/>
              </w:rPr>
            </w:pPr>
            <w:r>
              <w:rPr>
                <w:rFonts w:ascii="Arial" w:cs="Arial" w:eastAsia="Arial" w:hAnsi="Arial"/>
                <w:sz w:val="13"/>
                <w:szCs w:val="13"/>
                <w:color w:val="auto"/>
              </w:rPr>
              <w:t>Held to maturity</w:t>
            </w:r>
          </w:p>
        </w:tc>
        <w:tc>
          <w:tcPr>
            <w:tcW w:w="24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3"/>
                <w:szCs w:val="13"/>
                <w:color w:val="auto"/>
              </w:rPr>
              <w:t>(5,996)</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3"/>
                <w:szCs w:val="13"/>
                <w:color w:val="auto"/>
              </w:rPr>
              <w:t>(495,277)</w:t>
            </w:r>
          </w:p>
        </w:tc>
        <w:tc>
          <w:tcPr>
            <w:tcW w:w="0" w:type="dxa"/>
            <w:vAlign w:val="bottom"/>
          </w:tcPr>
          <w:p>
            <w:pPr>
              <w:spacing w:after="0"/>
              <w:rPr>
                <w:sz w:val="1"/>
                <w:szCs w:val="1"/>
                <w:color w:val="auto"/>
              </w:rPr>
            </w:pPr>
          </w:p>
        </w:tc>
      </w:tr>
      <w:tr>
        <w:trPr>
          <w:trHeight w:val="162"/>
        </w:trPr>
        <w:tc>
          <w:tcPr>
            <w:tcW w:w="84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Equity and other securities</w:t>
            </w:r>
          </w:p>
        </w:tc>
        <w:tc>
          <w:tcPr>
            <w:tcW w:w="24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(17,728)</w:t>
            </w:r>
          </w:p>
        </w:tc>
        <w:tc>
          <w:tcPr>
            <w:tcW w:w="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(103,795)</w:t>
            </w:r>
          </w:p>
        </w:tc>
        <w:tc>
          <w:tcPr>
            <w:tcW w:w="0" w:type="dxa"/>
            <w:vAlign w:val="bottom"/>
          </w:tcPr>
          <w:p>
            <w:pPr>
              <w:spacing w:after="0"/>
              <w:rPr>
                <w:sz w:val="1"/>
                <w:szCs w:val="1"/>
                <w:color w:val="auto"/>
              </w:rPr>
            </w:pPr>
          </w:p>
        </w:tc>
      </w:tr>
      <w:tr>
        <w:trPr>
          <w:trHeight w:val="162"/>
        </w:trPr>
        <w:tc>
          <w:tcPr>
            <w:tcW w:w="8400" w:type="dxa"/>
            <w:vAlign w:val="bottom"/>
          </w:tcPr>
          <w:p>
            <w:pPr>
              <w:spacing w:after="0"/>
              <w:rPr>
                <w:sz w:val="20"/>
                <w:szCs w:val="20"/>
                <w:color w:val="auto"/>
              </w:rPr>
            </w:pPr>
            <w:r>
              <w:rPr>
                <w:rFonts w:ascii="Arial" w:cs="Arial" w:eastAsia="Arial" w:hAnsi="Arial"/>
                <w:sz w:val="13"/>
                <w:szCs w:val="13"/>
                <w:color w:val="auto"/>
              </w:rPr>
              <w:t>Net increase in loans and leases</w:t>
            </w:r>
          </w:p>
        </w:tc>
        <w:tc>
          <w:tcPr>
            <w:tcW w:w="24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3"/>
                <w:szCs w:val="13"/>
                <w:color w:val="auto"/>
              </w:rPr>
              <w:t>(3,105,967)</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3"/>
                <w:szCs w:val="13"/>
                <w:color w:val="auto"/>
              </w:rPr>
              <w:t>(412,670)</w:t>
            </w:r>
          </w:p>
        </w:tc>
        <w:tc>
          <w:tcPr>
            <w:tcW w:w="0" w:type="dxa"/>
            <w:vAlign w:val="bottom"/>
          </w:tcPr>
          <w:p>
            <w:pPr>
              <w:spacing w:after="0"/>
              <w:rPr>
                <w:sz w:val="1"/>
                <w:szCs w:val="1"/>
                <w:color w:val="auto"/>
              </w:rPr>
            </w:pPr>
          </w:p>
        </w:tc>
      </w:tr>
      <w:tr>
        <w:trPr>
          <w:trHeight w:val="162"/>
        </w:trPr>
        <w:tc>
          <w:tcPr>
            <w:tcW w:w="8400" w:type="dxa"/>
            <w:vAlign w:val="bottom"/>
            <w:shd w:val="clear" w:color="auto" w:fill="CFF0FC"/>
          </w:tcPr>
          <w:p>
            <w:pPr>
              <w:spacing w:after="0"/>
              <w:rPr>
                <w:sz w:val="20"/>
                <w:szCs w:val="20"/>
                <w:color w:val="auto"/>
              </w:rPr>
            </w:pPr>
            <w:r>
              <w:rPr>
                <w:rFonts w:ascii="Arial" w:cs="Arial" w:eastAsia="Arial" w:hAnsi="Arial"/>
                <w:sz w:val="13"/>
                <w:szCs w:val="13"/>
                <w:color w:val="auto"/>
              </w:rPr>
              <w:t>Net (increase) decrease in interest-bearing deposits at banks</w:t>
            </w:r>
          </w:p>
        </w:tc>
        <w:tc>
          <w:tcPr>
            <w:tcW w:w="24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(1,706,153)</w:t>
            </w:r>
          </w:p>
        </w:tc>
        <w:tc>
          <w:tcPr>
            <w:tcW w:w="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502,300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00" w:type="dxa"/>
            <w:vAlign w:val="bottom"/>
          </w:tcPr>
          <w:p>
            <w:pPr>
              <w:spacing w:after="0"/>
              <w:rPr>
                <w:sz w:val="20"/>
                <w:szCs w:val="20"/>
                <w:color w:val="auto"/>
              </w:rPr>
            </w:pPr>
            <w:r>
              <w:rPr>
                <w:rFonts w:ascii="Arial" w:cs="Arial" w:eastAsia="Arial" w:hAnsi="Arial"/>
                <w:sz w:val="13"/>
                <w:szCs w:val="13"/>
                <w:color w:val="auto"/>
              </w:rPr>
              <w:t>Capital expenditures, net</w:t>
            </w:r>
          </w:p>
        </w:tc>
        <w:tc>
          <w:tcPr>
            <w:tcW w:w="24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3"/>
                <w:szCs w:val="13"/>
                <w:color w:val="auto"/>
              </w:rPr>
              <w:t>(51,547)</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3"/>
                <w:szCs w:val="13"/>
                <w:color w:val="auto"/>
              </w:rPr>
              <w:t>(30,710)</w:t>
            </w:r>
          </w:p>
        </w:tc>
        <w:tc>
          <w:tcPr>
            <w:tcW w:w="0" w:type="dxa"/>
            <w:vAlign w:val="bottom"/>
          </w:tcPr>
          <w:p>
            <w:pPr>
              <w:spacing w:after="0"/>
              <w:rPr>
                <w:sz w:val="1"/>
                <w:szCs w:val="1"/>
                <w:color w:val="auto"/>
              </w:rPr>
            </w:pPr>
          </w:p>
        </w:tc>
      </w:tr>
      <w:tr>
        <w:trPr>
          <w:trHeight w:val="162"/>
        </w:trPr>
        <w:tc>
          <w:tcPr>
            <w:tcW w:w="8400" w:type="dxa"/>
            <w:vAlign w:val="bottom"/>
            <w:shd w:val="clear" w:color="auto" w:fill="CFF0FC"/>
          </w:tcPr>
          <w:p>
            <w:pPr>
              <w:spacing w:after="0"/>
              <w:rPr>
                <w:sz w:val="20"/>
                <w:szCs w:val="20"/>
                <w:color w:val="auto"/>
              </w:rPr>
            </w:pPr>
            <w:r>
              <w:rPr>
                <w:rFonts w:ascii="Arial" w:cs="Arial" w:eastAsia="Arial" w:hAnsi="Arial"/>
                <w:sz w:val="13"/>
                <w:szCs w:val="13"/>
                <w:color w:val="auto"/>
              </w:rPr>
              <w:t>Net (increase) decrease in loan servicing advances</w:t>
            </w:r>
          </w:p>
        </w:tc>
        <w:tc>
          <w:tcPr>
            <w:tcW w:w="24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(48,866)</w:t>
            </w:r>
          </w:p>
        </w:tc>
        <w:tc>
          <w:tcPr>
            <w:tcW w:w="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22,891</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0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Other, net</w:t>
            </w: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420,700</w:t>
            </w:r>
          </w:p>
        </w:tc>
        <w:tc>
          <w:tcPr>
            <w:tcW w:w="220" w:type="dxa"/>
            <w:vAlign w:val="bottom"/>
            <w:tcBorders>
              <w:bottom w:val="single" w:sz="8" w:color="CFF0FC"/>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5,700</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4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Net cash provided (used) by investing activities</w:t>
            </w:r>
          </w:p>
        </w:tc>
        <w:tc>
          <w:tcPr>
            <w:tcW w:w="24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(3,852,363)</w:t>
            </w:r>
          </w:p>
        </w:tc>
        <w:tc>
          <w:tcPr>
            <w:tcW w:w="1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271,261</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400" w:type="dxa"/>
            <w:vAlign w:val="bottom"/>
          </w:tcPr>
          <w:p>
            <w:pPr>
              <w:spacing w:after="0"/>
              <w:rPr>
                <w:sz w:val="20"/>
                <w:szCs w:val="20"/>
                <w:color w:val="auto"/>
              </w:rPr>
            </w:pPr>
            <w:r>
              <w:rPr>
                <w:rFonts w:ascii="Arial" w:cs="Arial" w:eastAsia="Arial" w:hAnsi="Arial"/>
                <w:sz w:val="13"/>
                <w:szCs w:val="13"/>
                <w:b w:val="1"/>
                <w:bCs w:val="1"/>
                <w:color w:val="auto"/>
              </w:rPr>
              <w:t>Cash flows from financing activities</w:t>
            </w:r>
          </w:p>
        </w:tc>
        <w:tc>
          <w:tcPr>
            <w:tcW w:w="2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400" w:type="dxa"/>
            <w:vAlign w:val="bottom"/>
            <w:shd w:val="clear" w:color="auto" w:fill="CFF0FC"/>
          </w:tcPr>
          <w:p>
            <w:pPr>
              <w:spacing w:after="0"/>
              <w:rPr>
                <w:sz w:val="20"/>
                <w:szCs w:val="20"/>
                <w:color w:val="auto"/>
              </w:rPr>
            </w:pPr>
            <w:r>
              <w:rPr>
                <w:rFonts w:ascii="Arial" w:cs="Arial" w:eastAsia="Arial" w:hAnsi="Arial"/>
                <w:sz w:val="13"/>
                <w:szCs w:val="13"/>
                <w:color w:val="auto"/>
              </w:rPr>
              <w:t>Net increase in deposits</w:t>
            </w: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5,413,829</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313,849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00" w:type="dxa"/>
            <w:vAlign w:val="bottom"/>
          </w:tcPr>
          <w:p>
            <w:pPr>
              <w:spacing w:after="0"/>
              <w:rPr>
                <w:sz w:val="20"/>
                <w:szCs w:val="20"/>
                <w:color w:val="auto"/>
              </w:rPr>
            </w:pPr>
            <w:r>
              <w:rPr>
                <w:rFonts w:ascii="Arial" w:cs="Arial" w:eastAsia="Arial" w:hAnsi="Arial"/>
                <w:sz w:val="13"/>
                <w:szCs w:val="13"/>
                <w:color w:val="auto"/>
              </w:rPr>
              <w:t>Net decrease in short-term borrowings</w:t>
            </w:r>
          </w:p>
        </w:tc>
        <w:tc>
          <w:tcPr>
            <w:tcW w:w="24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3"/>
                <w:szCs w:val="13"/>
                <w:color w:val="auto"/>
              </w:rPr>
              <w:t>(3,183)</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3"/>
                <w:szCs w:val="13"/>
                <w:color w:val="auto"/>
              </w:rPr>
              <w:t>(795,812)</w:t>
            </w:r>
          </w:p>
        </w:tc>
        <w:tc>
          <w:tcPr>
            <w:tcW w:w="0" w:type="dxa"/>
            <w:vAlign w:val="bottom"/>
          </w:tcPr>
          <w:p>
            <w:pPr>
              <w:spacing w:after="0"/>
              <w:rPr>
                <w:sz w:val="1"/>
                <w:szCs w:val="1"/>
                <w:color w:val="auto"/>
              </w:rPr>
            </w:pPr>
          </w:p>
        </w:tc>
      </w:tr>
      <w:tr>
        <w:trPr>
          <w:trHeight w:val="162"/>
        </w:trPr>
        <w:tc>
          <w:tcPr>
            <w:tcW w:w="8400" w:type="dxa"/>
            <w:vAlign w:val="bottom"/>
            <w:shd w:val="clear" w:color="auto" w:fill="CFF0FC"/>
          </w:tcPr>
          <w:p>
            <w:pPr>
              <w:spacing w:after="0"/>
              <w:rPr>
                <w:sz w:val="20"/>
                <w:szCs w:val="20"/>
                <w:color w:val="auto"/>
              </w:rPr>
            </w:pPr>
            <w:r>
              <w:rPr>
                <w:rFonts w:ascii="Arial" w:cs="Arial" w:eastAsia="Arial" w:hAnsi="Arial"/>
                <w:sz w:val="13"/>
                <w:szCs w:val="13"/>
                <w:color w:val="auto"/>
              </w:rPr>
              <w:t>Payments on long-term borrowings</w:t>
            </w:r>
          </w:p>
        </w:tc>
        <w:tc>
          <w:tcPr>
            <w:tcW w:w="24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(753,123)</w:t>
            </w:r>
          </w:p>
        </w:tc>
        <w:tc>
          <w:tcPr>
            <w:tcW w:w="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(1,139)</w:t>
            </w:r>
          </w:p>
        </w:tc>
        <w:tc>
          <w:tcPr>
            <w:tcW w:w="0" w:type="dxa"/>
            <w:vAlign w:val="bottom"/>
          </w:tcPr>
          <w:p>
            <w:pPr>
              <w:spacing w:after="0"/>
              <w:rPr>
                <w:sz w:val="1"/>
                <w:szCs w:val="1"/>
                <w:color w:val="auto"/>
              </w:rPr>
            </w:pPr>
          </w:p>
        </w:tc>
      </w:tr>
      <w:tr>
        <w:trPr>
          <w:trHeight w:val="162"/>
        </w:trPr>
        <w:tc>
          <w:tcPr>
            <w:tcW w:w="8400" w:type="dxa"/>
            <w:vAlign w:val="bottom"/>
          </w:tcPr>
          <w:p>
            <w:pPr>
              <w:spacing w:after="0"/>
              <w:rPr>
                <w:sz w:val="20"/>
                <w:szCs w:val="20"/>
                <w:color w:val="auto"/>
              </w:rPr>
            </w:pPr>
            <w:r>
              <w:rPr>
                <w:rFonts w:ascii="Arial" w:cs="Arial" w:eastAsia="Arial" w:hAnsi="Arial"/>
                <w:sz w:val="13"/>
                <w:szCs w:val="13"/>
                <w:color w:val="auto"/>
              </w:rPr>
              <w:t>Purchases of treasury stock</w:t>
            </w:r>
          </w:p>
        </w:tc>
        <w:tc>
          <w:tcPr>
            <w:tcW w:w="24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3"/>
                <w:szCs w:val="13"/>
                <w:color w:val="auto"/>
              </w:rPr>
              <w:t>(373,750)</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3"/>
                <w:szCs w:val="13"/>
                <w:color w:val="auto"/>
              </w:rPr>
              <w:t>(365,628)</w:t>
            </w:r>
          </w:p>
        </w:tc>
        <w:tc>
          <w:tcPr>
            <w:tcW w:w="0" w:type="dxa"/>
            <w:vAlign w:val="bottom"/>
          </w:tcPr>
          <w:p>
            <w:pPr>
              <w:spacing w:after="0"/>
              <w:rPr>
                <w:sz w:val="1"/>
                <w:szCs w:val="1"/>
                <w:color w:val="auto"/>
              </w:rPr>
            </w:pPr>
          </w:p>
        </w:tc>
      </w:tr>
      <w:tr>
        <w:trPr>
          <w:trHeight w:val="162"/>
        </w:trPr>
        <w:tc>
          <w:tcPr>
            <w:tcW w:w="8400" w:type="dxa"/>
            <w:vAlign w:val="bottom"/>
            <w:shd w:val="clear" w:color="auto" w:fill="CFF0FC"/>
          </w:tcPr>
          <w:p>
            <w:pPr>
              <w:spacing w:after="0"/>
              <w:rPr>
                <w:sz w:val="20"/>
                <w:szCs w:val="20"/>
                <w:color w:val="auto"/>
              </w:rPr>
            </w:pPr>
            <w:r>
              <w:rPr>
                <w:rFonts w:ascii="Arial" w:cs="Arial" w:eastAsia="Arial" w:hAnsi="Arial"/>
                <w:sz w:val="13"/>
                <w:szCs w:val="13"/>
                <w:color w:val="auto"/>
              </w:rPr>
              <w:t>Dividends paid — common</w:t>
            </w:r>
          </w:p>
        </w:tc>
        <w:tc>
          <w:tcPr>
            <w:tcW w:w="24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(143,170)</w:t>
            </w:r>
          </w:p>
        </w:tc>
        <w:tc>
          <w:tcPr>
            <w:tcW w:w="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(139,595)</w:t>
            </w:r>
          </w:p>
        </w:tc>
        <w:tc>
          <w:tcPr>
            <w:tcW w:w="0" w:type="dxa"/>
            <w:vAlign w:val="bottom"/>
          </w:tcPr>
          <w:p>
            <w:pPr>
              <w:spacing w:after="0"/>
              <w:rPr>
                <w:sz w:val="1"/>
                <w:szCs w:val="1"/>
                <w:color w:val="auto"/>
              </w:rPr>
            </w:pPr>
          </w:p>
        </w:tc>
      </w:tr>
      <w:tr>
        <w:trPr>
          <w:trHeight w:val="162"/>
        </w:trPr>
        <w:tc>
          <w:tcPr>
            <w:tcW w:w="8400" w:type="dxa"/>
            <w:vAlign w:val="bottom"/>
          </w:tcPr>
          <w:p>
            <w:pPr>
              <w:spacing w:after="0"/>
              <w:rPr>
                <w:sz w:val="20"/>
                <w:szCs w:val="20"/>
                <w:color w:val="auto"/>
              </w:rPr>
            </w:pPr>
            <w:r>
              <w:rPr>
                <w:rFonts w:ascii="Arial" w:cs="Arial" w:eastAsia="Arial" w:hAnsi="Arial"/>
                <w:sz w:val="13"/>
                <w:szCs w:val="13"/>
                <w:color w:val="auto"/>
              </w:rPr>
              <w:t>Dividends paid — preferred</w:t>
            </w:r>
          </w:p>
        </w:tc>
        <w:tc>
          <w:tcPr>
            <w:tcW w:w="24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3"/>
                <w:szCs w:val="13"/>
                <w:color w:val="auto"/>
              </w:rPr>
              <w:t>(21,344)</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3"/>
                <w:szCs w:val="13"/>
                <w:color w:val="auto"/>
              </w:rPr>
              <w:t>(17,368)</w:t>
            </w:r>
          </w:p>
        </w:tc>
        <w:tc>
          <w:tcPr>
            <w:tcW w:w="0" w:type="dxa"/>
            <w:vAlign w:val="bottom"/>
          </w:tcPr>
          <w:p>
            <w:pPr>
              <w:spacing w:after="0"/>
              <w:rPr>
                <w:sz w:val="1"/>
                <w:szCs w:val="1"/>
                <w:color w:val="auto"/>
              </w:rPr>
            </w:pPr>
          </w:p>
        </w:tc>
      </w:tr>
      <w:tr>
        <w:trPr>
          <w:trHeight w:val="162"/>
        </w:trPr>
        <w:tc>
          <w:tcPr>
            <w:tcW w:w="8400" w:type="dxa"/>
            <w:vAlign w:val="bottom"/>
            <w:shd w:val="clear" w:color="auto" w:fill="CFF0FC"/>
          </w:tcPr>
          <w:p>
            <w:pPr>
              <w:spacing w:after="0"/>
              <w:rPr>
                <w:sz w:val="20"/>
                <w:szCs w:val="20"/>
                <w:color w:val="auto"/>
              </w:rPr>
            </w:pPr>
            <w:r>
              <w:rPr>
                <w:rFonts w:ascii="Arial" w:cs="Arial" w:eastAsia="Arial" w:hAnsi="Arial"/>
                <w:sz w:val="13"/>
                <w:szCs w:val="13"/>
                <w:color w:val="auto"/>
              </w:rPr>
              <w:t>Other, net</w:t>
            </w:r>
          </w:p>
        </w:tc>
        <w:tc>
          <w:tcPr>
            <w:tcW w:w="24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(10,567)</w:t>
            </w:r>
          </w:p>
        </w:tc>
        <w:tc>
          <w:tcPr>
            <w:tcW w:w="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(17,053)</w:t>
            </w:r>
          </w:p>
        </w:tc>
        <w:tc>
          <w:tcPr>
            <w:tcW w:w="0" w:type="dxa"/>
            <w:vAlign w:val="bottom"/>
          </w:tcPr>
          <w:p>
            <w:pPr>
              <w:spacing w:after="0"/>
              <w:rPr>
                <w:sz w:val="1"/>
                <w:szCs w:val="1"/>
                <w:color w:val="auto"/>
              </w:rPr>
            </w:pPr>
          </w:p>
        </w:tc>
      </w:tr>
      <w:tr>
        <w:trPr>
          <w:trHeight w:val="20"/>
        </w:trPr>
        <w:tc>
          <w:tcPr>
            <w:tcW w:w="8400" w:type="dxa"/>
            <w:vAlign w:val="bottom"/>
            <w:vMerge w:val="restart"/>
          </w:tcPr>
          <w:p>
            <w:pPr>
              <w:ind w:left="260"/>
              <w:spacing w:after="0"/>
              <w:rPr>
                <w:sz w:val="20"/>
                <w:szCs w:val="20"/>
                <w:color w:val="auto"/>
              </w:rPr>
            </w:pPr>
            <w:r>
              <w:rPr>
                <w:rFonts w:ascii="Arial" w:cs="Arial" w:eastAsia="Arial" w:hAnsi="Arial"/>
                <w:sz w:val="13"/>
                <w:szCs w:val="13"/>
                <w:color w:val="auto"/>
              </w:rPr>
              <w:t>Net cash provided (used) by financing activities</w:t>
            </w: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84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4,108,692</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3"/>
                <w:szCs w:val="13"/>
                <w:color w:val="auto"/>
              </w:rPr>
              <w:t>(1,022,746)</w:t>
            </w:r>
          </w:p>
        </w:tc>
        <w:tc>
          <w:tcPr>
            <w:tcW w:w="0" w:type="dxa"/>
            <w:vAlign w:val="bottom"/>
          </w:tcPr>
          <w:p>
            <w:pPr>
              <w:spacing w:after="0"/>
              <w:rPr>
                <w:sz w:val="1"/>
                <w:szCs w:val="1"/>
                <w:color w:val="auto"/>
              </w:rPr>
            </w:pPr>
          </w:p>
        </w:tc>
      </w:tr>
      <w:tr>
        <w:trPr>
          <w:trHeight w:val="20"/>
        </w:trPr>
        <w:tc>
          <w:tcPr>
            <w:tcW w:w="8400" w:type="dxa"/>
            <w:vAlign w:val="bottom"/>
            <w:vMerge w:val="restart"/>
            <w:shd w:val="clear" w:color="auto" w:fill="CFF0FC"/>
          </w:tcPr>
          <w:p>
            <w:pPr>
              <w:spacing w:after="0"/>
              <w:rPr>
                <w:sz w:val="20"/>
                <w:szCs w:val="20"/>
                <w:color w:val="auto"/>
              </w:rPr>
            </w:pPr>
            <w:r>
              <w:rPr>
                <w:rFonts w:ascii="Arial" w:cs="Arial" w:eastAsia="Arial" w:hAnsi="Arial"/>
                <w:sz w:val="13"/>
                <w:szCs w:val="13"/>
                <w:color w:val="auto"/>
              </w:rPr>
              <w:t>Net decrease in cash, cash equivalents and restricted cash</w:t>
            </w: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8400" w:type="dxa"/>
            <w:vAlign w:val="bottom"/>
            <w:vMerge w:val="continue"/>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(138,113)</w:t>
            </w:r>
          </w:p>
        </w:tc>
        <w:tc>
          <w:tcPr>
            <w:tcW w:w="1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(338,179)</w:t>
            </w:r>
          </w:p>
        </w:tc>
        <w:tc>
          <w:tcPr>
            <w:tcW w:w="0" w:type="dxa"/>
            <w:vAlign w:val="bottom"/>
          </w:tcPr>
          <w:p>
            <w:pPr>
              <w:spacing w:after="0"/>
              <w:rPr>
                <w:sz w:val="1"/>
                <w:szCs w:val="1"/>
                <w:color w:val="auto"/>
              </w:rPr>
            </w:pPr>
          </w:p>
        </w:tc>
      </w:tr>
      <w:tr>
        <w:trPr>
          <w:trHeight w:val="162"/>
        </w:trPr>
        <w:tc>
          <w:tcPr>
            <w:tcW w:w="840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Cash, cash equivalents and restricted cash at beginning of period</w:t>
            </w: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1,436,305</w:t>
            </w:r>
          </w:p>
        </w:tc>
        <w:tc>
          <w:tcPr>
            <w:tcW w:w="220" w:type="dxa"/>
            <w:vAlign w:val="bottom"/>
            <w:tcBorders>
              <w:bottom w:val="single" w:sz="8" w:color="CFF0FC"/>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1,605,439</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400" w:type="dxa"/>
            <w:vAlign w:val="bottom"/>
            <w:shd w:val="clear" w:color="auto" w:fill="CFF0FC"/>
          </w:tcPr>
          <w:p>
            <w:pPr>
              <w:spacing w:after="0"/>
              <w:rPr>
                <w:sz w:val="20"/>
                <w:szCs w:val="20"/>
                <w:color w:val="auto"/>
              </w:rPr>
            </w:pPr>
            <w:r>
              <w:rPr>
                <w:rFonts w:ascii="Arial" w:cs="Arial" w:eastAsia="Arial" w:hAnsi="Arial"/>
                <w:sz w:val="13"/>
                <w:szCs w:val="13"/>
                <w:color w:val="auto"/>
              </w:rPr>
              <w:t>Cash, cash equivalents and restricted cash at end of period</w:t>
            </w:r>
          </w:p>
        </w:tc>
        <w:tc>
          <w:tcPr>
            <w:tcW w:w="240" w:type="dxa"/>
            <w:vAlign w:val="bottom"/>
            <w:shd w:val="clear" w:color="auto" w:fill="CFF0FC"/>
          </w:tcPr>
          <w:p>
            <w:pPr>
              <w:jc w:val="right"/>
              <w:ind w:right="129"/>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1,298,192</w:t>
            </w:r>
          </w:p>
        </w:tc>
        <w:tc>
          <w:tcPr>
            <w:tcW w:w="220" w:type="dxa"/>
            <w:vAlign w:val="bottom"/>
            <w:shd w:val="clear" w:color="auto" w:fill="CFF0FC"/>
          </w:tcPr>
          <w:p>
            <w:pPr>
              <w:spacing w:after="0"/>
              <w:rPr>
                <w:sz w:val="13"/>
                <w:szCs w:val="13"/>
                <w:color w:val="auto"/>
              </w:rPr>
            </w:pPr>
          </w:p>
        </w:tc>
        <w:tc>
          <w:tcPr>
            <w:tcW w:w="42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1,267,260</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4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3"/>
                <w:szCs w:val="13"/>
                <w:b w:val="1"/>
                <w:bCs w:val="1"/>
                <w:color w:val="auto"/>
              </w:rPr>
              <w:t>Supplemental disclosure of cash flow information</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4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400" w:type="dxa"/>
            <w:vAlign w:val="bottom"/>
            <w:shd w:val="clear" w:color="auto" w:fill="CFF0FC"/>
          </w:tcPr>
          <w:p>
            <w:pPr>
              <w:spacing w:after="0"/>
              <w:rPr>
                <w:sz w:val="20"/>
                <w:szCs w:val="20"/>
                <w:color w:val="auto"/>
              </w:rPr>
            </w:pPr>
            <w:r>
              <w:rPr>
                <w:rFonts w:ascii="Arial" w:cs="Arial" w:eastAsia="Arial" w:hAnsi="Arial"/>
                <w:sz w:val="13"/>
                <w:szCs w:val="13"/>
                <w:color w:val="auto"/>
              </w:rPr>
              <w:t>Interest received during the period</w:t>
            </w:r>
          </w:p>
        </w:tc>
        <w:tc>
          <w:tcPr>
            <w:tcW w:w="240" w:type="dxa"/>
            <w:vAlign w:val="bottom"/>
            <w:shd w:val="clear" w:color="auto" w:fill="CFF0FC"/>
          </w:tcPr>
          <w:p>
            <w:pPr>
              <w:jc w:val="right"/>
              <w:ind w:right="129"/>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1,159,094</w:t>
            </w:r>
          </w:p>
        </w:tc>
        <w:tc>
          <w:tcPr>
            <w:tcW w:w="22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1,194,023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00" w:type="dxa"/>
            <w:vAlign w:val="bottom"/>
          </w:tcPr>
          <w:p>
            <w:pPr>
              <w:spacing w:after="0"/>
              <w:rPr>
                <w:sz w:val="20"/>
                <w:szCs w:val="20"/>
                <w:color w:val="auto"/>
              </w:rPr>
            </w:pPr>
            <w:r>
              <w:rPr>
                <w:rFonts w:ascii="Arial" w:cs="Arial" w:eastAsia="Arial" w:hAnsi="Arial"/>
                <w:sz w:val="13"/>
                <w:szCs w:val="13"/>
                <w:color w:val="auto"/>
              </w:rPr>
              <w:t>Interest paid during the period</w:t>
            </w: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158,861</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191,309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00" w:type="dxa"/>
            <w:vAlign w:val="bottom"/>
            <w:shd w:val="clear" w:color="auto" w:fill="CFF0FC"/>
          </w:tcPr>
          <w:p>
            <w:pPr>
              <w:spacing w:after="0"/>
              <w:rPr>
                <w:sz w:val="20"/>
                <w:szCs w:val="20"/>
                <w:color w:val="auto"/>
              </w:rPr>
            </w:pPr>
            <w:r>
              <w:rPr>
                <w:rFonts w:ascii="Arial" w:cs="Arial" w:eastAsia="Arial" w:hAnsi="Arial"/>
                <w:sz w:val="13"/>
                <w:szCs w:val="13"/>
                <w:color w:val="auto"/>
              </w:rPr>
              <w:t>Income taxes paid during the period</w:t>
            </w: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44,660</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149,548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00" w:type="dxa"/>
            <w:vAlign w:val="bottom"/>
          </w:tcPr>
          <w:p>
            <w:pPr>
              <w:spacing w:after="0"/>
              <w:rPr>
                <w:sz w:val="20"/>
                <w:szCs w:val="20"/>
                <w:color w:val="auto"/>
              </w:rPr>
            </w:pPr>
            <w:r>
              <w:rPr>
                <w:rFonts w:ascii="Arial" w:cs="Arial" w:eastAsia="Arial" w:hAnsi="Arial"/>
                <w:sz w:val="13"/>
                <w:szCs w:val="13"/>
                <w:b w:val="1"/>
                <w:bCs w:val="1"/>
                <w:color w:val="auto"/>
              </w:rPr>
              <w:t>Supplemental schedule of noncash investing and financing activities</w:t>
            </w: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00" w:type="dxa"/>
            <w:vAlign w:val="bottom"/>
            <w:shd w:val="clear" w:color="auto" w:fill="CFF0FC"/>
          </w:tcPr>
          <w:p>
            <w:pPr>
              <w:spacing w:after="0"/>
              <w:rPr>
                <w:sz w:val="20"/>
                <w:szCs w:val="20"/>
                <w:color w:val="auto"/>
              </w:rPr>
            </w:pPr>
            <w:r>
              <w:rPr>
                <w:rFonts w:ascii="Arial" w:cs="Arial" w:eastAsia="Arial" w:hAnsi="Arial"/>
                <w:sz w:val="13"/>
                <w:szCs w:val="13"/>
                <w:color w:val="auto"/>
              </w:rPr>
              <w:t>Real estate acquired in settlement of loans</w:t>
            </w:r>
          </w:p>
        </w:tc>
        <w:tc>
          <w:tcPr>
            <w:tcW w:w="240" w:type="dxa"/>
            <w:vAlign w:val="bottom"/>
            <w:shd w:val="clear" w:color="auto" w:fill="CFF0FC"/>
          </w:tcPr>
          <w:p>
            <w:pPr>
              <w:jc w:val="right"/>
              <w:ind w:right="129"/>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17,295</w:t>
            </w:r>
          </w:p>
        </w:tc>
        <w:tc>
          <w:tcPr>
            <w:tcW w:w="22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24,840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00" w:type="dxa"/>
            <w:vAlign w:val="bottom"/>
          </w:tcPr>
          <w:p>
            <w:pPr>
              <w:spacing w:after="0"/>
              <w:rPr>
                <w:sz w:val="20"/>
                <w:szCs w:val="20"/>
                <w:color w:val="auto"/>
              </w:rPr>
            </w:pPr>
            <w:r>
              <w:rPr>
                <w:rFonts w:ascii="Arial" w:cs="Arial" w:eastAsia="Arial" w:hAnsi="Arial"/>
                <w:sz w:val="13"/>
                <w:szCs w:val="13"/>
                <w:color w:val="auto"/>
              </w:rPr>
              <w:t>Securitization of residential mortgage loans allocated to</w:t>
            </w: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Available-for-sale investment securities</w:t>
            </w:r>
          </w:p>
        </w:tc>
        <w:tc>
          <w:tcPr>
            <w:tcW w:w="240" w:type="dxa"/>
            <w:vAlign w:val="bottom"/>
            <w:shd w:val="clear" w:color="auto" w:fill="CFF0FC"/>
          </w:tcPr>
          <w:p>
            <w:pPr>
              <w:jc w:val="right"/>
              <w:ind w:right="129"/>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42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5,379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00" w:type="dxa"/>
            <w:vAlign w:val="bottom"/>
          </w:tcPr>
          <w:p>
            <w:pPr>
              <w:ind w:left="260"/>
              <w:spacing w:after="0"/>
              <w:rPr>
                <w:sz w:val="20"/>
                <w:szCs w:val="20"/>
                <w:color w:val="auto"/>
              </w:rPr>
            </w:pPr>
            <w:r>
              <w:rPr>
                <w:rFonts w:ascii="Arial" w:cs="Arial" w:eastAsia="Arial" w:hAnsi="Arial"/>
                <w:sz w:val="13"/>
                <w:szCs w:val="13"/>
                <w:color w:val="auto"/>
              </w:rPr>
              <w:t>Capitalized servicing rights</w:t>
            </w:r>
          </w:p>
        </w:tc>
        <w:tc>
          <w:tcPr>
            <w:tcW w:w="24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83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00" w:type="dxa"/>
            <w:vAlign w:val="bottom"/>
            <w:shd w:val="clear" w:color="auto" w:fill="CFF0FC"/>
          </w:tcPr>
          <w:p>
            <w:pPr>
              <w:spacing w:after="0"/>
              <w:rPr>
                <w:sz w:val="20"/>
                <w:szCs w:val="20"/>
                <w:color w:val="auto"/>
              </w:rPr>
            </w:pPr>
            <w:r>
              <w:rPr>
                <w:rFonts w:ascii="Arial" w:cs="Arial" w:eastAsia="Arial" w:hAnsi="Arial"/>
                <w:sz w:val="13"/>
                <w:szCs w:val="13"/>
                <w:color w:val="auto"/>
              </w:rPr>
              <w:t>Adoption of lease accounting standard</w:t>
            </w: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00" w:type="dxa"/>
            <w:vAlign w:val="bottom"/>
          </w:tcPr>
          <w:p>
            <w:pPr>
              <w:ind w:left="260"/>
              <w:spacing w:after="0"/>
              <w:rPr>
                <w:sz w:val="20"/>
                <w:szCs w:val="20"/>
                <w:color w:val="auto"/>
              </w:rPr>
            </w:pPr>
            <w:r>
              <w:rPr>
                <w:rFonts w:ascii="Arial" w:cs="Arial" w:eastAsia="Arial" w:hAnsi="Arial"/>
                <w:sz w:val="13"/>
                <w:szCs w:val="13"/>
                <w:color w:val="auto"/>
              </w:rPr>
              <w:t>Right-of-use assets</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393,877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Other liabilities</w:t>
            </w:r>
          </w:p>
        </w:tc>
        <w:tc>
          <w:tcPr>
            <w:tcW w:w="24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398,810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400" w:type="dxa"/>
            <w:vAlign w:val="bottom"/>
          </w:tcPr>
          <w:p>
            <w:pPr>
              <w:spacing w:after="0"/>
              <w:rPr>
                <w:sz w:val="20"/>
                <w:szCs w:val="20"/>
                <w:color w:val="auto"/>
              </w:rPr>
            </w:pPr>
            <w:r>
              <w:rPr>
                <w:rFonts w:ascii="Arial" w:cs="Arial" w:eastAsia="Arial" w:hAnsi="Arial"/>
                <w:sz w:val="13"/>
                <w:szCs w:val="13"/>
                <w:color w:val="auto"/>
              </w:rPr>
              <w:t>Additions to right-of-use assets under operating leases</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17,421</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20,410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jc w:val="center"/>
        <w:spacing w:after="0"/>
        <w:rPr>
          <w:sz w:val="20"/>
          <w:szCs w:val="20"/>
          <w:color w:val="auto"/>
        </w:rPr>
      </w:pPr>
      <w:r>
        <w:rPr>
          <w:rFonts w:ascii="Arial" w:cs="Arial" w:eastAsia="Arial" w:hAnsi="Arial"/>
          <w:sz w:val="21"/>
          <w:szCs w:val="21"/>
          <w:i w:val="1"/>
          <w:iCs w:val="1"/>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21"/>
          <w:szCs w:val="21"/>
          <w:color w:val="auto"/>
        </w:rPr>
        <w:t>M&amp;T BANK CORPORATION AND SUBSIDIARIES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CONSOLIDATED STATEMENT OF CHANGES IN SHAREHOLDERS’ EQUITY (Unaudited)</w:t>
      </w: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3"/>
              </w:rPr>
              <w:t>Accumulated</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Other</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Common</w:t>
            </w:r>
          </w:p>
        </w:tc>
        <w:tc>
          <w:tcPr>
            <w:tcW w:w="92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w w:val="97"/>
              </w:rPr>
              <w:t>Additional</w:t>
            </w: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Comprehensive</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6"/>
              </w:rPr>
              <w:t>Preferred</w:t>
            </w:r>
          </w:p>
        </w:tc>
        <w:tc>
          <w:tcPr>
            <w:tcW w:w="92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Common</w:t>
            </w:r>
          </w:p>
        </w:tc>
        <w:tc>
          <w:tcPr>
            <w:tcW w:w="9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Stock</w:t>
            </w:r>
          </w:p>
        </w:tc>
        <w:tc>
          <w:tcPr>
            <w:tcW w:w="92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Paid-in</w:t>
            </w:r>
          </w:p>
        </w:tc>
        <w:tc>
          <w:tcPr>
            <w:tcW w:w="94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Retained</w:t>
            </w:r>
          </w:p>
        </w:tc>
        <w:tc>
          <w:tcPr>
            <w:tcW w:w="11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Income</w:t>
            </w:r>
          </w:p>
        </w:tc>
        <w:tc>
          <w:tcPr>
            <w:tcW w:w="92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Treasury</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740" w:type="dxa"/>
            <w:vAlign w:val="bottom"/>
            <w:gridSpan w:val="2"/>
          </w:tcPr>
          <w:p>
            <w:pPr>
              <w:spacing w:after="0" w:line="148" w:lineRule="exact"/>
              <w:rPr>
                <w:sz w:val="20"/>
                <w:szCs w:val="20"/>
                <w:color w:val="auto"/>
              </w:rPr>
            </w:pPr>
            <w:r>
              <w:rPr>
                <w:rFonts w:ascii="Arial" w:cs="Arial" w:eastAsia="Arial" w:hAnsi="Arial"/>
                <w:sz w:val="13"/>
                <w:szCs w:val="13"/>
                <w:b w:val="1"/>
                <w:bCs w:val="1"/>
                <w:color w:val="auto"/>
              </w:rPr>
              <w:t>Dollars in thousands, except per share</w:t>
            </w:r>
          </w:p>
        </w:tc>
        <w:tc>
          <w:tcPr>
            <w:tcW w:w="60" w:type="dxa"/>
            <w:vAlign w:val="bottom"/>
          </w:tcPr>
          <w:p>
            <w:pPr>
              <w:spacing w:after="0"/>
              <w:rPr>
                <w:sz w:val="14"/>
                <w:szCs w:val="14"/>
                <w:color w:val="auto"/>
              </w:rPr>
            </w:pPr>
          </w:p>
        </w:tc>
        <w:tc>
          <w:tcPr>
            <w:tcW w:w="860" w:type="dxa"/>
            <w:vAlign w:val="bottom"/>
            <w:gridSpan w:val="2"/>
          </w:tcPr>
          <w:p>
            <w:pPr>
              <w:jc w:val="center"/>
              <w:ind w:right="300"/>
              <w:spacing w:after="0" w:line="148" w:lineRule="exact"/>
              <w:rPr>
                <w:sz w:val="20"/>
                <w:szCs w:val="20"/>
                <w:color w:val="auto"/>
              </w:rPr>
            </w:pPr>
            <w:r>
              <w:rPr>
                <w:rFonts w:ascii="Arial" w:cs="Arial" w:eastAsia="Arial" w:hAnsi="Arial"/>
                <w:sz w:val="13"/>
                <w:szCs w:val="13"/>
                <w:b w:val="1"/>
                <w:bCs w:val="1"/>
                <w:color w:val="auto"/>
                <w:w w:val="90"/>
              </w:rPr>
              <w:t>Stock</w:t>
            </w:r>
          </w:p>
        </w:tc>
        <w:tc>
          <w:tcPr>
            <w:tcW w:w="920" w:type="dxa"/>
            <w:vAlign w:val="bottom"/>
            <w:gridSpan w:val="2"/>
          </w:tcPr>
          <w:p>
            <w:pPr>
              <w:jc w:val="right"/>
              <w:ind w:right="420"/>
              <w:spacing w:after="0" w:line="148" w:lineRule="exact"/>
              <w:rPr>
                <w:sz w:val="20"/>
                <w:szCs w:val="20"/>
                <w:color w:val="auto"/>
              </w:rPr>
            </w:pPr>
            <w:r>
              <w:rPr>
                <w:rFonts w:ascii="Arial" w:cs="Arial" w:eastAsia="Arial" w:hAnsi="Arial"/>
                <w:sz w:val="13"/>
                <w:szCs w:val="13"/>
                <w:b w:val="1"/>
                <w:bCs w:val="1"/>
                <w:color w:val="auto"/>
              </w:rPr>
              <w:t>Stock</w:t>
            </w:r>
          </w:p>
        </w:tc>
        <w:tc>
          <w:tcPr>
            <w:tcW w:w="920" w:type="dxa"/>
            <w:vAlign w:val="bottom"/>
            <w:gridSpan w:val="2"/>
          </w:tcPr>
          <w:p>
            <w:pPr>
              <w:jc w:val="center"/>
              <w:ind w:right="240"/>
              <w:spacing w:after="0" w:line="148" w:lineRule="exact"/>
              <w:rPr>
                <w:sz w:val="20"/>
                <w:szCs w:val="20"/>
                <w:color w:val="auto"/>
              </w:rPr>
            </w:pPr>
            <w:r>
              <w:rPr>
                <w:rFonts w:ascii="Arial" w:cs="Arial" w:eastAsia="Arial" w:hAnsi="Arial"/>
                <w:sz w:val="13"/>
                <w:szCs w:val="13"/>
                <w:b w:val="1"/>
                <w:bCs w:val="1"/>
                <w:color w:val="auto"/>
                <w:w w:val="92"/>
              </w:rPr>
              <w:t>Issuable</w:t>
            </w:r>
          </w:p>
        </w:tc>
        <w:tc>
          <w:tcPr>
            <w:tcW w:w="920" w:type="dxa"/>
            <w:vAlign w:val="bottom"/>
            <w:gridSpan w:val="2"/>
          </w:tcPr>
          <w:p>
            <w:pPr>
              <w:jc w:val="right"/>
              <w:ind w:right="360"/>
              <w:spacing w:after="0" w:line="148" w:lineRule="exact"/>
              <w:rPr>
                <w:sz w:val="20"/>
                <w:szCs w:val="20"/>
                <w:color w:val="auto"/>
              </w:rPr>
            </w:pPr>
            <w:r>
              <w:rPr>
                <w:rFonts w:ascii="Arial" w:cs="Arial" w:eastAsia="Arial" w:hAnsi="Arial"/>
                <w:sz w:val="13"/>
                <w:szCs w:val="13"/>
                <w:b w:val="1"/>
                <w:bCs w:val="1"/>
                <w:color w:val="auto"/>
              </w:rPr>
              <w:t>Capital</w:t>
            </w:r>
          </w:p>
        </w:tc>
        <w:tc>
          <w:tcPr>
            <w:tcW w:w="940" w:type="dxa"/>
            <w:vAlign w:val="bottom"/>
            <w:gridSpan w:val="2"/>
          </w:tcPr>
          <w:p>
            <w:pPr>
              <w:jc w:val="right"/>
              <w:ind w:right="320"/>
              <w:spacing w:after="0" w:line="148" w:lineRule="exact"/>
              <w:rPr>
                <w:sz w:val="20"/>
                <w:szCs w:val="20"/>
                <w:color w:val="auto"/>
              </w:rPr>
            </w:pPr>
            <w:r>
              <w:rPr>
                <w:rFonts w:ascii="Arial" w:cs="Arial" w:eastAsia="Arial" w:hAnsi="Arial"/>
                <w:sz w:val="13"/>
                <w:szCs w:val="13"/>
                <w:b w:val="1"/>
                <w:bCs w:val="1"/>
                <w:color w:val="auto"/>
              </w:rPr>
              <w:t>Earnings</w:t>
            </w:r>
          </w:p>
        </w:tc>
        <w:tc>
          <w:tcPr>
            <w:tcW w:w="1120" w:type="dxa"/>
            <w:vAlign w:val="bottom"/>
            <w:gridSpan w:val="2"/>
          </w:tcPr>
          <w:p>
            <w:pPr>
              <w:jc w:val="center"/>
              <w:ind w:right="240"/>
              <w:spacing w:after="0" w:line="148" w:lineRule="exact"/>
              <w:rPr>
                <w:sz w:val="20"/>
                <w:szCs w:val="20"/>
                <w:color w:val="auto"/>
              </w:rPr>
            </w:pPr>
            <w:r>
              <w:rPr>
                <w:rFonts w:ascii="Arial" w:cs="Arial" w:eastAsia="Arial" w:hAnsi="Arial"/>
                <w:sz w:val="13"/>
                <w:szCs w:val="13"/>
                <w:b w:val="1"/>
                <w:bCs w:val="1"/>
                <w:color w:val="auto"/>
                <w:w w:val="95"/>
              </w:rPr>
              <w:t>(Loss), Net</w:t>
            </w:r>
          </w:p>
        </w:tc>
        <w:tc>
          <w:tcPr>
            <w:tcW w:w="920" w:type="dxa"/>
            <w:vAlign w:val="bottom"/>
            <w:gridSpan w:val="2"/>
          </w:tcPr>
          <w:p>
            <w:pPr>
              <w:jc w:val="right"/>
              <w:ind w:right="420"/>
              <w:spacing w:after="0" w:line="148" w:lineRule="exact"/>
              <w:rPr>
                <w:sz w:val="20"/>
                <w:szCs w:val="20"/>
                <w:color w:val="auto"/>
              </w:rPr>
            </w:pPr>
            <w:r>
              <w:rPr>
                <w:rFonts w:ascii="Arial" w:cs="Arial" w:eastAsia="Arial" w:hAnsi="Arial"/>
                <w:sz w:val="13"/>
                <w:szCs w:val="13"/>
                <w:b w:val="1"/>
                <w:bCs w:val="1"/>
                <w:color w:val="auto"/>
              </w:rPr>
              <w:t>Stock</w:t>
            </w:r>
          </w:p>
        </w:tc>
        <w:tc>
          <w:tcPr>
            <w:tcW w:w="840" w:type="dxa"/>
            <w:vAlign w:val="bottom"/>
            <w:gridSpan w:val="2"/>
          </w:tcPr>
          <w:p>
            <w:pPr>
              <w:jc w:val="right"/>
              <w:ind w:right="340"/>
              <w:spacing w:after="0" w:line="148"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49"/>
        </w:trPr>
        <w:tc>
          <w:tcPr>
            <w:tcW w:w="2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3"/>
                <w:szCs w:val="13"/>
                <w:b w:val="1"/>
                <w:bCs w:val="1"/>
                <w:color w:val="auto"/>
              </w:rPr>
              <w:t>2019</w:t>
            </w:r>
          </w:p>
        </w:tc>
        <w:tc>
          <w:tcPr>
            <w:tcW w:w="154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90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740" w:type="dxa"/>
            <w:vAlign w:val="bottom"/>
            <w:gridSpan w:val="2"/>
          </w:tcPr>
          <w:p>
            <w:pPr>
              <w:spacing w:after="0"/>
              <w:rPr>
                <w:sz w:val="20"/>
                <w:szCs w:val="20"/>
                <w:color w:val="auto"/>
              </w:rPr>
            </w:pPr>
            <w:r>
              <w:rPr>
                <w:rFonts w:ascii="Arial" w:cs="Arial" w:eastAsia="Arial" w:hAnsi="Arial"/>
                <w:sz w:val="13"/>
                <w:szCs w:val="13"/>
                <w:color w:val="auto"/>
              </w:rPr>
              <w:t>Balance — January 1, 2019</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1,231,500</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79,883</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1,726</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6,579,342</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11,516,672</w:t>
            </w:r>
          </w:p>
        </w:tc>
        <w:tc>
          <w:tcPr>
            <w:tcW w:w="22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3"/>
                <w:szCs w:val="13"/>
                <w:color w:val="auto"/>
              </w:rPr>
              <w:t>(420,081)</w:t>
            </w: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(3,528,851)</w:t>
            </w:r>
          </w:p>
        </w:tc>
        <w:tc>
          <w:tcPr>
            <w:tcW w:w="740" w:type="dxa"/>
            <w:vAlign w:val="bottom"/>
          </w:tcPr>
          <w:p>
            <w:pPr>
              <w:jc w:val="right"/>
              <w:spacing w:after="0"/>
              <w:rPr>
                <w:sz w:val="20"/>
                <w:szCs w:val="20"/>
                <w:color w:val="auto"/>
              </w:rPr>
            </w:pPr>
            <w:r>
              <w:rPr>
                <w:rFonts w:ascii="Arial" w:cs="Arial" w:eastAsia="Arial" w:hAnsi="Arial"/>
                <w:sz w:val="13"/>
                <w:szCs w:val="13"/>
                <w:color w:val="auto"/>
                <w:w w:val="92"/>
              </w:rPr>
              <w:t>$ 15,460,191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4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Total comprehensive income</w:t>
            </w:r>
          </w:p>
        </w:tc>
        <w:tc>
          <w:tcPr>
            <w:tcW w:w="6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482,742</w:t>
            </w: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132,072</w:t>
            </w:r>
          </w:p>
        </w:tc>
        <w:tc>
          <w:tcPr>
            <w:tcW w:w="2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614,814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40" w:type="dxa"/>
            <w:vAlign w:val="bottom"/>
            <w:gridSpan w:val="2"/>
          </w:tcPr>
          <w:p>
            <w:pPr>
              <w:spacing w:after="0"/>
              <w:rPr>
                <w:sz w:val="20"/>
                <w:szCs w:val="20"/>
                <w:color w:val="auto"/>
              </w:rPr>
            </w:pPr>
            <w:r>
              <w:rPr>
                <w:rFonts w:ascii="Arial" w:cs="Arial" w:eastAsia="Arial" w:hAnsi="Arial"/>
                <w:sz w:val="13"/>
                <w:szCs w:val="13"/>
                <w:color w:val="auto"/>
              </w:rPr>
              <w:t>Preferred stock cash dividends (a)</w:t>
            </w:r>
          </w:p>
        </w:tc>
        <w:tc>
          <w:tcPr>
            <w:tcW w:w="6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(18,130)</w:t>
            </w:r>
          </w:p>
        </w:tc>
        <w:tc>
          <w:tcPr>
            <w:tcW w:w="11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3"/>
                <w:szCs w:val="13"/>
                <w:color w:val="auto"/>
              </w:rPr>
              <w:t>(18,130)</w:t>
            </w:r>
          </w:p>
        </w:tc>
        <w:tc>
          <w:tcPr>
            <w:tcW w:w="0" w:type="dxa"/>
            <w:vAlign w:val="bottom"/>
          </w:tcPr>
          <w:p>
            <w:pPr>
              <w:spacing w:after="0"/>
              <w:rPr>
                <w:sz w:val="1"/>
                <w:szCs w:val="1"/>
                <w:color w:val="auto"/>
              </w:rPr>
            </w:pPr>
          </w:p>
        </w:tc>
      </w:tr>
      <w:tr>
        <w:trPr>
          <w:trHeight w:val="162"/>
        </w:trPr>
        <w:tc>
          <w:tcPr>
            <w:tcW w:w="374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Purchases of treasury stock</w:t>
            </w:r>
          </w:p>
        </w:tc>
        <w:tc>
          <w:tcPr>
            <w:tcW w:w="6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(365,628)</w:t>
            </w: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(365,628)</w:t>
            </w:r>
          </w:p>
        </w:tc>
        <w:tc>
          <w:tcPr>
            <w:tcW w:w="0" w:type="dxa"/>
            <w:vAlign w:val="bottom"/>
          </w:tcPr>
          <w:p>
            <w:pPr>
              <w:spacing w:after="0"/>
              <w:rPr>
                <w:sz w:val="1"/>
                <w:szCs w:val="1"/>
                <w:color w:val="auto"/>
              </w:rPr>
            </w:pPr>
          </w:p>
        </w:tc>
      </w:tr>
      <w:tr>
        <w:trPr>
          <w:trHeight w:val="162"/>
        </w:trPr>
        <w:tc>
          <w:tcPr>
            <w:tcW w:w="3740" w:type="dxa"/>
            <w:vAlign w:val="bottom"/>
            <w:gridSpan w:val="2"/>
          </w:tcPr>
          <w:p>
            <w:pPr>
              <w:spacing w:after="0"/>
              <w:rPr>
                <w:sz w:val="20"/>
                <w:szCs w:val="20"/>
                <w:color w:val="auto"/>
              </w:rPr>
            </w:pPr>
            <w:r>
              <w:rPr>
                <w:rFonts w:ascii="Arial" w:cs="Arial" w:eastAsia="Arial" w:hAnsi="Arial"/>
                <w:sz w:val="13"/>
                <w:szCs w:val="13"/>
                <w:color w:val="auto"/>
              </w:rPr>
              <w:t>Stock-based compensation transactions, net</w:t>
            </w:r>
          </w:p>
        </w:tc>
        <w:tc>
          <w:tcPr>
            <w:tcW w:w="6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(12)</w:t>
            </w: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(212)</w:t>
            </w: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(10,862)</w:t>
            </w: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(51)</w:t>
            </w:r>
          </w:p>
        </w:tc>
        <w:tc>
          <w:tcPr>
            <w:tcW w:w="11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46,281</w:t>
            </w: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35,144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374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Common stock cash dividends —</w:t>
            </w:r>
          </w:p>
        </w:tc>
        <w:tc>
          <w:tcPr>
            <w:tcW w:w="6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74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$1.00 per share</w:t>
            </w:r>
          </w:p>
        </w:tc>
        <w:tc>
          <w:tcPr>
            <w:tcW w:w="6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(138,862)</w:t>
            </w: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(138,862)</w:t>
            </w:r>
          </w:p>
        </w:tc>
        <w:tc>
          <w:tcPr>
            <w:tcW w:w="0" w:type="dxa"/>
            <w:vAlign w:val="bottom"/>
          </w:tcPr>
          <w:p>
            <w:pPr>
              <w:spacing w:after="0"/>
              <w:rPr>
                <w:sz w:val="1"/>
                <w:szCs w:val="1"/>
                <w:color w:val="auto"/>
              </w:rPr>
            </w:pPr>
          </w:p>
        </w:tc>
      </w:tr>
      <w:tr>
        <w:trPr>
          <w:trHeight w:val="20"/>
        </w:trPr>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Balance — March 31, 2019</w:t>
            </w: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740" w:type="dxa"/>
            <w:vAlign w:val="bottom"/>
            <w:gridSpan w:val="2"/>
            <w:vMerge w:val="continue"/>
          </w:tcPr>
          <w:p>
            <w:pPr>
              <w:spacing w:after="0"/>
              <w:rPr>
                <w:sz w:val="16"/>
                <w:szCs w:val="16"/>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1,231,500</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79,871</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1,514</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6,568,480</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11,842,371</w:t>
            </w:r>
          </w:p>
        </w:tc>
        <w:tc>
          <w:tcPr>
            <w:tcW w:w="22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3"/>
                <w:szCs w:val="13"/>
                <w:color w:val="auto"/>
              </w:rPr>
              <w:t>(288,009)</w:t>
            </w: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(3,848,198)</w:t>
            </w:r>
          </w:p>
        </w:tc>
        <w:tc>
          <w:tcPr>
            <w:tcW w:w="740" w:type="dxa"/>
            <w:vAlign w:val="bottom"/>
          </w:tcPr>
          <w:p>
            <w:pPr>
              <w:jc w:val="right"/>
              <w:spacing w:after="0"/>
              <w:rPr>
                <w:sz w:val="20"/>
                <w:szCs w:val="20"/>
                <w:color w:val="auto"/>
              </w:rPr>
            </w:pPr>
            <w:r>
              <w:rPr>
                <w:rFonts w:ascii="Arial" w:cs="Arial" w:eastAsia="Arial" w:hAnsi="Arial"/>
                <w:sz w:val="13"/>
                <w:szCs w:val="13"/>
                <w:color w:val="auto"/>
                <w:w w:val="92"/>
              </w:rPr>
              <w:t>$ 15,587,529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200" w:type="dxa"/>
            <w:vAlign w:val="bottom"/>
            <w:tcBorders>
              <w:top w:val="single" w:sz="8" w:color="CFF0FC"/>
            </w:tcBorders>
            <w:shd w:val="clear" w:color="auto" w:fill="CFF0FC"/>
          </w:tcPr>
          <w:p>
            <w:pPr>
              <w:spacing w:after="0"/>
              <w:rPr>
                <w:sz w:val="12"/>
                <w:szCs w:val="12"/>
                <w:color w:val="auto"/>
              </w:rPr>
            </w:pPr>
          </w:p>
        </w:tc>
        <w:tc>
          <w:tcPr>
            <w:tcW w:w="154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90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200" w:type="dxa"/>
            <w:vAlign w:val="bottom"/>
          </w:tcPr>
          <w:p>
            <w:pPr>
              <w:spacing w:after="0"/>
              <w:rPr>
                <w:sz w:val="20"/>
                <w:szCs w:val="20"/>
                <w:color w:val="auto"/>
              </w:rPr>
            </w:pPr>
            <w:r>
              <w:rPr>
                <w:rFonts w:ascii="Arial" w:cs="Arial" w:eastAsia="Arial" w:hAnsi="Arial"/>
                <w:sz w:val="13"/>
                <w:szCs w:val="13"/>
                <w:b w:val="1"/>
                <w:bCs w:val="1"/>
                <w:color w:val="auto"/>
              </w:rPr>
              <w:t>2020</w:t>
            </w:r>
          </w:p>
        </w:tc>
        <w:tc>
          <w:tcPr>
            <w:tcW w:w="1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4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Balance — January 1, 2020</w:t>
            </w: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1,250,000</w:t>
            </w: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79,871</w:t>
            </w: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1,566</w:t>
            </w: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6,593,539</w:t>
            </w:r>
          </w:p>
        </w:tc>
        <w:tc>
          <w:tcPr>
            <w:tcW w:w="2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12,820,916</w:t>
            </w:r>
          </w:p>
        </w:tc>
        <w:tc>
          <w:tcPr>
            <w:tcW w:w="22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(206,680)</w:t>
            </w: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(4,822,563)</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2"/>
              </w:rPr>
              <w:t>$ 15,716,649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40" w:type="dxa"/>
            <w:vAlign w:val="bottom"/>
            <w:gridSpan w:val="2"/>
          </w:tcPr>
          <w:p>
            <w:pPr>
              <w:spacing w:after="0"/>
              <w:rPr>
                <w:sz w:val="20"/>
                <w:szCs w:val="20"/>
                <w:color w:val="auto"/>
              </w:rPr>
            </w:pPr>
            <w:r>
              <w:rPr>
                <w:rFonts w:ascii="Arial" w:cs="Arial" w:eastAsia="Arial" w:hAnsi="Arial"/>
                <w:sz w:val="13"/>
                <w:szCs w:val="13"/>
                <w:color w:val="auto"/>
              </w:rPr>
              <w:t>Adoption of new accounting standard for credit losses</w:t>
            </w:r>
          </w:p>
        </w:tc>
        <w:tc>
          <w:tcPr>
            <w:tcW w:w="6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(91,925)</w:t>
            </w:r>
          </w:p>
        </w:tc>
        <w:tc>
          <w:tcPr>
            <w:tcW w:w="11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3"/>
                <w:szCs w:val="13"/>
                <w:color w:val="auto"/>
              </w:rPr>
              <w:t>(91,925)</w:t>
            </w:r>
          </w:p>
        </w:tc>
        <w:tc>
          <w:tcPr>
            <w:tcW w:w="0" w:type="dxa"/>
            <w:vAlign w:val="bottom"/>
          </w:tcPr>
          <w:p>
            <w:pPr>
              <w:spacing w:after="0"/>
              <w:rPr>
                <w:sz w:val="1"/>
                <w:szCs w:val="1"/>
                <w:color w:val="auto"/>
              </w:rPr>
            </w:pPr>
          </w:p>
        </w:tc>
      </w:tr>
      <w:tr>
        <w:trPr>
          <w:trHeight w:val="162"/>
        </w:trPr>
        <w:tc>
          <w:tcPr>
            <w:tcW w:w="374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Total comprehensive income</w:t>
            </w:r>
          </w:p>
        </w:tc>
        <w:tc>
          <w:tcPr>
            <w:tcW w:w="6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268,822</w:t>
            </w: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416,513</w:t>
            </w:r>
          </w:p>
        </w:tc>
        <w:tc>
          <w:tcPr>
            <w:tcW w:w="2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685,335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40" w:type="dxa"/>
            <w:vAlign w:val="bottom"/>
            <w:gridSpan w:val="2"/>
          </w:tcPr>
          <w:p>
            <w:pPr>
              <w:spacing w:after="0"/>
              <w:rPr>
                <w:sz w:val="20"/>
                <w:szCs w:val="20"/>
                <w:color w:val="auto"/>
              </w:rPr>
            </w:pPr>
            <w:r>
              <w:rPr>
                <w:rFonts w:ascii="Arial" w:cs="Arial" w:eastAsia="Arial" w:hAnsi="Arial"/>
                <w:sz w:val="13"/>
                <w:szCs w:val="13"/>
                <w:color w:val="auto"/>
              </w:rPr>
              <w:t>Preferred stock cash dividends (a)</w:t>
            </w:r>
          </w:p>
        </w:tc>
        <w:tc>
          <w:tcPr>
            <w:tcW w:w="6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(17,078)</w:t>
            </w:r>
          </w:p>
        </w:tc>
        <w:tc>
          <w:tcPr>
            <w:tcW w:w="11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3"/>
                <w:szCs w:val="13"/>
                <w:color w:val="auto"/>
              </w:rPr>
              <w:t>(17,078)</w:t>
            </w:r>
          </w:p>
        </w:tc>
        <w:tc>
          <w:tcPr>
            <w:tcW w:w="0" w:type="dxa"/>
            <w:vAlign w:val="bottom"/>
          </w:tcPr>
          <w:p>
            <w:pPr>
              <w:spacing w:after="0"/>
              <w:rPr>
                <w:sz w:val="1"/>
                <w:szCs w:val="1"/>
                <w:color w:val="auto"/>
              </w:rPr>
            </w:pPr>
          </w:p>
        </w:tc>
      </w:tr>
      <w:tr>
        <w:trPr>
          <w:trHeight w:val="162"/>
        </w:trPr>
        <w:tc>
          <w:tcPr>
            <w:tcW w:w="374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Purchases of treasury stock</w:t>
            </w:r>
          </w:p>
        </w:tc>
        <w:tc>
          <w:tcPr>
            <w:tcW w:w="6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(373,750)</w:t>
            </w: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(373,750)</w:t>
            </w:r>
          </w:p>
        </w:tc>
        <w:tc>
          <w:tcPr>
            <w:tcW w:w="0" w:type="dxa"/>
            <w:vAlign w:val="bottom"/>
          </w:tcPr>
          <w:p>
            <w:pPr>
              <w:spacing w:after="0"/>
              <w:rPr>
                <w:sz w:val="1"/>
                <w:szCs w:val="1"/>
                <w:color w:val="auto"/>
              </w:rPr>
            </w:pPr>
          </w:p>
        </w:tc>
      </w:tr>
      <w:tr>
        <w:trPr>
          <w:trHeight w:val="162"/>
        </w:trPr>
        <w:tc>
          <w:tcPr>
            <w:tcW w:w="3740" w:type="dxa"/>
            <w:vAlign w:val="bottom"/>
            <w:gridSpan w:val="2"/>
          </w:tcPr>
          <w:p>
            <w:pPr>
              <w:spacing w:after="0"/>
              <w:rPr>
                <w:sz w:val="20"/>
                <w:szCs w:val="20"/>
                <w:color w:val="auto"/>
              </w:rPr>
            </w:pPr>
            <w:r>
              <w:rPr>
                <w:rFonts w:ascii="Arial" w:cs="Arial" w:eastAsia="Arial" w:hAnsi="Arial"/>
                <w:sz w:val="13"/>
                <w:szCs w:val="13"/>
                <w:color w:val="auto"/>
              </w:rPr>
              <w:t>Stock-based compensation transactions, net</w:t>
            </w:r>
          </w:p>
        </w:tc>
        <w:tc>
          <w:tcPr>
            <w:tcW w:w="6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(274)</w:t>
            </w: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(5,132)</w:t>
            </w: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(102)</w:t>
            </w:r>
          </w:p>
        </w:tc>
        <w:tc>
          <w:tcPr>
            <w:tcW w:w="11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45,314</w:t>
            </w: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39,806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374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Common stock cash dividends —</w:t>
            </w:r>
          </w:p>
        </w:tc>
        <w:tc>
          <w:tcPr>
            <w:tcW w:w="6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74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$1.10 per share</w:t>
            </w:r>
          </w:p>
        </w:tc>
        <w:tc>
          <w:tcPr>
            <w:tcW w:w="6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(143,243)</w:t>
            </w: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(143,243)</w:t>
            </w:r>
          </w:p>
        </w:tc>
        <w:tc>
          <w:tcPr>
            <w:tcW w:w="0" w:type="dxa"/>
            <w:vAlign w:val="bottom"/>
          </w:tcPr>
          <w:p>
            <w:pPr>
              <w:spacing w:after="0"/>
              <w:rPr>
                <w:sz w:val="1"/>
                <w:szCs w:val="1"/>
                <w:color w:val="auto"/>
              </w:rPr>
            </w:pPr>
          </w:p>
        </w:tc>
      </w:tr>
      <w:tr>
        <w:trPr>
          <w:trHeight w:val="20"/>
        </w:trPr>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Balance — March 31, 2020</w:t>
            </w: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740" w:type="dxa"/>
            <w:vAlign w:val="bottom"/>
            <w:gridSpan w:val="2"/>
            <w:vMerge w:val="continue"/>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1,250,000</w:t>
            </w: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79,871</w:t>
            </w: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1,292</w:t>
            </w: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6,588,407</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12,837,390</w:t>
            </w:r>
          </w:p>
        </w:tc>
        <w:tc>
          <w:tcPr>
            <w:tcW w:w="2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209,833</w:t>
            </w:r>
          </w:p>
        </w:tc>
        <w:tc>
          <w:tcPr>
            <w:tcW w:w="220" w:type="dxa"/>
            <w:vAlign w:val="bottom"/>
          </w:tcPr>
          <w:p>
            <w:pPr>
              <w:spacing w:after="0"/>
              <w:rPr>
                <w:sz w:val="13"/>
                <w:szCs w:val="13"/>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(5,150,999)</w:t>
            </w:r>
          </w:p>
        </w:tc>
        <w:tc>
          <w:tcPr>
            <w:tcW w:w="740" w:type="dxa"/>
            <w:vAlign w:val="bottom"/>
          </w:tcPr>
          <w:p>
            <w:pPr>
              <w:jc w:val="right"/>
              <w:spacing w:after="0"/>
              <w:rPr>
                <w:sz w:val="20"/>
                <w:szCs w:val="20"/>
                <w:color w:val="auto"/>
              </w:rPr>
            </w:pPr>
            <w:r>
              <w:rPr>
                <w:rFonts w:ascii="Arial" w:cs="Arial" w:eastAsia="Arial" w:hAnsi="Arial"/>
                <w:sz w:val="13"/>
                <w:szCs w:val="13"/>
                <w:color w:val="auto"/>
                <w:w w:val="92"/>
              </w:rPr>
              <w:t>$ 15,815,794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ind w:left="540" w:hanging="357"/>
        <w:spacing w:after="0"/>
        <w:tabs>
          <w:tab w:leader="none" w:pos="540" w:val="left"/>
        </w:tabs>
        <w:numPr>
          <w:ilvl w:val="0"/>
          <w:numId w:val="3"/>
        </w:numPr>
        <w:rPr>
          <w:rFonts w:ascii="Arial" w:cs="Arial" w:eastAsia="Arial" w:hAnsi="Arial"/>
          <w:sz w:val="12"/>
          <w:szCs w:val="12"/>
          <w:i w:val="1"/>
          <w:iCs w:val="1"/>
          <w:color w:val="auto"/>
        </w:rPr>
      </w:pPr>
      <w:r>
        <w:rPr>
          <w:rFonts w:ascii="Arial" w:cs="Arial" w:eastAsia="Arial" w:hAnsi="Arial"/>
          <w:sz w:val="12"/>
          <w:szCs w:val="12"/>
          <w:i w:val="1"/>
          <w:iCs w:val="1"/>
          <w:color w:val="auto"/>
        </w:rPr>
        <w:t>For the three-month periods ended March 31, 2020, dividends per preferred share were: Preferred Series E - $16.125; Preferred Series F - $128.125; and Preferred Series G - $125.694. Dividends</w:t>
      </w:r>
    </w:p>
    <w:p>
      <w:pPr>
        <w:spacing w:after="0" w:line="22" w:lineRule="exact"/>
        <w:rPr>
          <w:rFonts w:ascii="Arial" w:cs="Arial" w:eastAsia="Arial" w:hAnsi="Arial"/>
          <w:sz w:val="12"/>
          <w:szCs w:val="12"/>
          <w:i w:val="1"/>
          <w:iCs w:val="1"/>
          <w:color w:val="auto"/>
        </w:rPr>
      </w:pPr>
    </w:p>
    <w:p>
      <w:pPr>
        <w:ind w:left="540" w:right="560"/>
        <w:spacing w:after="0" w:line="255" w:lineRule="auto"/>
        <w:rPr>
          <w:rFonts w:ascii="Arial" w:cs="Arial" w:eastAsia="Arial" w:hAnsi="Arial"/>
          <w:sz w:val="12"/>
          <w:szCs w:val="12"/>
          <w:i w:val="1"/>
          <w:iCs w:val="1"/>
          <w:color w:val="auto"/>
        </w:rPr>
      </w:pPr>
      <w:r>
        <w:rPr>
          <w:rFonts w:ascii="Arial" w:cs="Arial" w:eastAsia="Arial" w:hAnsi="Arial"/>
          <w:sz w:val="13"/>
          <w:szCs w:val="13"/>
          <w:i w:val="1"/>
          <w:iCs w:val="1"/>
          <w:color w:val="auto"/>
        </w:rPr>
        <w:t>per preferred share for the three-months ended March 31, 2019 were: Preferred Series A - $15.9375; Preferred Series C - $15.9375; Preferred Series E - $16.125; and Preferred Series F - $128.125.</w:t>
      </w:r>
    </w:p>
    <w:p>
      <w:pPr>
        <w:spacing w:after="0" w:line="207" w:lineRule="exact"/>
        <w:rPr>
          <w:sz w:val="20"/>
          <w:szCs w:val="20"/>
          <w:color w:val="auto"/>
        </w:rPr>
      </w:pPr>
    </w:p>
    <w:p>
      <w:pPr>
        <w:ind w:left="3900"/>
        <w:spacing w:after="0"/>
        <w:rPr>
          <w:sz w:val="20"/>
          <w:szCs w:val="20"/>
          <w:color w:val="auto"/>
        </w:rPr>
      </w:pPr>
      <w:r>
        <w:rPr>
          <w:rFonts w:ascii="Arial" w:cs="Arial" w:eastAsia="Arial" w:hAnsi="Arial"/>
          <w:sz w:val="21"/>
          <w:szCs w:val="21"/>
          <w:i w:val="1"/>
          <w:iCs w:val="1"/>
          <w:color w:val="auto"/>
        </w:rPr>
        <w:t>See accompanying notes to financial statements.</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21"/>
          <w:szCs w:val="21"/>
          <w:color w:val="auto"/>
        </w:rPr>
        <w:t>NOTES TO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 Significant accounting policies and current environment</w:t>
      </w:r>
    </w:p>
    <w:p>
      <w:pPr>
        <w:spacing w:after="0" w:line="115"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The consolidated interim financial statements of M&amp;T Bank Corporation (“M&amp;T”) and subsidiaries (“the Company”) were compiled in accordance with generally accepted accounting principles (“GAAP”) using the accounting policies set forth in note 1 of Notes to Financial Statements included in Form 10-K for the year ended December 31, 2019 (“2019 Annual Report”), except that effective January 1, 2020 the Company adopted accounting guidance related to the recognition of expected credit losses that is discussed in notes 2, 3 and 15 herein. The financial statements contain all adjustments which are, in the opinion of management, necessary for a fair statement of the Company’s financial position, results of operations and cash flows for the interim periods presented.</w:t>
      </w:r>
    </w:p>
    <w:p>
      <w:pPr>
        <w:spacing w:after="0" w:line="57"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9"/>
          <w:szCs w:val="19"/>
          <w:color w:val="auto"/>
        </w:rPr>
        <w:t>The United States has been operating under a state of emergency related to the Coronavirus Disease 2019 (“COVID-19”) pandemic since March 13, 2020. The direct and indirect effects of the COVID-19 pandemic have resulted in a dramatic reduction in economic activity that has severely hampered the ability for businesses and consumers to meet their current repayment obligations. The effects of the pandemic contributed to a significant increase in the provision for credit losses during the first quarter of 2020. The Coronavirus Aid, Relief, and Economic Security Act (“CARES Act”), in addition to providing financial assistance to both businesses and consumers, creates a forbearance program for federally-backed mortgage loans, protects borrowers from negative credit reporting due to loan accommodations related to the national emergency, and provides financial institutions the option to temporarily suspend certain requirements under GAAP related to troubled debt restructurings for a limited period of time to account for the effects of COVID-19. The banking regulatory agencies have likewise issued guidance encouraging financial institutions to work prudently with borrowers who are, or may be, unable to meet their contractual payment obligations because of the effects of COVID-19. That guidance, with concurrence of the Financial Accounting Standards Board, and provisions of the CARES Act allow modifications made on a good faith basis in response to COVID-19 to borrowers who were generally current with their payments prior to any relief, to not be treated as troubled debt restructurings. Modifications may include payment deferrals, fee waivers, extensions of repayment term, or other delays in payment. The Company has begun working with its customers affected by COVID-19 and expects a significant amount of modifications across many of its loan portfolios in the near term. To the extent that such modifications meet the criteria previously described, such modifications are not expected to be classified as troubled debt restructurings.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NOTES TO FINANCIAL STATEMENTS, CONTINUED</w:t>
      </w:r>
    </w:p>
    <w:p>
      <w:pPr>
        <w:spacing w:after="0" w:line="219"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2. Investment securities</w:t>
      </w:r>
    </w:p>
    <w:p>
      <w:pPr>
        <w:spacing w:after="0" w:line="115" w:lineRule="exact"/>
        <w:rPr>
          <w:sz w:val="20"/>
          <w:szCs w:val="20"/>
          <w:color w:val="auto"/>
        </w:rPr>
      </w:pPr>
    </w:p>
    <w:p>
      <w:pPr>
        <w:spacing w:after="0"/>
        <w:rPr>
          <w:sz w:val="20"/>
          <w:szCs w:val="20"/>
          <w:color w:val="auto"/>
        </w:rPr>
      </w:pPr>
      <w:r>
        <w:rPr>
          <w:rFonts w:ascii="Arial" w:cs="Arial" w:eastAsia="Arial" w:hAnsi="Arial"/>
          <w:sz w:val="21"/>
          <w:szCs w:val="21"/>
          <w:color w:val="auto"/>
        </w:rPr>
        <w:t>The amortized cost and estimated fair value of investment securities were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4"/>
              </w:rPr>
              <w:t>Gross</w:t>
            </w:r>
          </w:p>
        </w:tc>
        <w:tc>
          <w:tcPr>
            <w:tcW w:w="140" w:type="dxa"/>
            <w:vAlign w:val="bottom"/>
          </w:tcPr>
          <w:p>
            <w:pPr>
              <w:spacing w:after="0"/>
              <w:rPr>
                <w:sz w:val="18"/>
                <w:szCs w:val="18"/>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4"/>
              </w:rPr>
              <w:t>Gross</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w w:val="95"/>
              </w:rPr>
              <w:t>Amortized</w:t>
            </w:r>
          </w:p>
        </w:tc>
        <w:tc>
          <w:tcPr>
            <w:tcW w:w="260" w:type="dxa"/>
            <w:vAlign w:val="bottom"/>
          </w:tcPr>
          <w:p>
            <w:pPr>
              <w:spacing w:after="0"/>
              <w:rPr>
                <w:sz w:val="18"/>
                <w:szCs w:val="18"/>
                <w:color w:val="auto"/>
              </w:rPr>
            </w:pPr>
          </w:p>
        </w:tc>
        <w:tc>
          <w:tcPr>
            <w:tcW w:w="11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2"/>
              </w:rPr>
              <w:t>Unrealized</w:t>
            </w:r>
          </w:p>
        </w:tc>
        <w:tc>
          <w:tcPr>
            <w:tcW w:w="11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2"/>
              </w:rPr>
              <w:t>Unrealized</w:t>
            </w:r>
          </w:p>
        </w:tc>
        <w:tc>
          <w:tcPr>
            <w:tcW w:w="1040" w:type="dxa"/>
            <w:vAlign w:val="bottom"/>
            <w:gridSpan w:val="3"/>
          </w:tcPr>
          <w:p>
            <w:pPr>
              <w:ind w:left="80"/>
              <w:spacing w:after="0"/>
              <w:rPr>
                <w:sz w:val="20"/>
                <w:szCs w:val="20"/>
                <w:color w:val="auto"/>
              </w:rPr>
            </w:pPr>
            <w:r>
              <w:rPr>
                <w:rFonts w:ascii="Arial" w:cs="Arial" w:eastAsia="Arial" w:hAnsi="Arial"/>
                <w:sz w:val="18"/>
                <w:szCs w:val="18"/>
                <w:b w:val="1"/>
                <w:bCs w:val="1"/>
                <w:color w:val="auto"/>
              </w:rPr>
              <w:t>Estimated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190"/>
              <w:spacing w:after="0"/>
              <w:rPr>
                <w:sz w:val="20"/>
                <w:szCs w:val="20"/>
                <w:color w:val="auto"/>
              </w:rPr>
            </w:pPr>
            <w:r>
              <w:rPr>
                <w:rFonts w:ascii="Arial" w:cs="Arial" w:eastAsia="Arial" w:hAnsi="Arial"/>
                <w:sz w:val="18"/>
                <w:szCs w:val="18"/>
                <w:b w:val="1"/>
                <w:bCs w:val="1"/>
                <w:color w:val="auto"/>
              </w:rPr>
              <w:t>Cost</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1"/>
              </w:rPr>
              <w:t>Gains</w:t>
            </w:r>
          </w:p>
        </w:tc>
        <w:tc>
          <w:tcPr>
            <w:tcW w:w="140" w:type="dxa"/>
            <w:vAlign w:val="bottom"/>
          </w:tcPr>
          <w:p>
            <w:pPr>
              <w:spacing w:after="0"/>
              <w:rPr>
                <w:sz w:val="20"/>
                <w:szCs w:val="20"/>
                <w:color w:val="auto"/>
              </w:rPr>
            </w:pPr>
          </w:p>
        </w:tc>
        <w:tc>
          <w:tcPr>
            <w:tcW w:w="10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0"/>
              </w:rPr>
              <w:t>Losses</w:t>
            </w:r>
          </w:p>
        </w:tc>
        <w:tc>
          <w:tcPr>
            <w:tcW w:w="1040" w:type="dxa"/>
            <w:vAlign w:val="bottom"/>
            <w:gridSpan w:val="3"/>
          </w:tcPr>
          <w:p>
            <w:pPr>
              <w:ind w:left="6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200" w:type="dxa"/>
            <w:vAlign w:val="bottom"/>
            <w:tcBorders>
              <w:top w:val="single" w:sz="8" w:color="auto"/>
            </w:tcBorders>
            <w:gridSpan w:val="5"/>
          </w:tcPr>
          <w:p>
            <w:pPr>
              <w:ind w:left="340"/>
              <w:spacing w:after="0"/>
              <w:rPr>
                <w:sz w:val="20"/>
                <w:szCs w:val="20"/>
                <w:color w:val="auto"/>
              </w:rPr>
            </w:pPr>
            <w:r>
              <w:rPr>
                <w:rFonts w:ascii="Arial" w:cs="Arial" w:eastAsia="Arial" w:hAnsi="Arial"/>
                <w:sz w:val="18"/>
                <w:szCs w:val="18"/>
                <w:b w:val="1"/>
                <w:bCs w:val="1"/>
                <w:color w:val="auto"/>
              </w:rPr>
              <w:t>(In thousands)</w:t>
            </w:r>
          </w:p>
        </w:tc>
        <w:tc>
          <w:tcPr>
            <w:tcW w:w="1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March 31, 2020</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U.S. Treasury and federal agencies</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10,429</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683</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20" w:type="dxa"/>
            <w:vAlign w:val="bottom"/>
          </w:tcPr>
          <w:p>
            <w:pPr>
              <w:ind w:left="240"/>
              <w:spacing w:after="0"/>
              <w:rPr>
                <w:sz w:val="20"/>
                <w:szCs w:val="20"/>
                <w:color w:val="auto"/>
              </w:rPr>
            </w:pPr>
            <w:r>
              <w:rPr>
                <w:rFonts w:ascii="Arial" w:cs="Arial" w:eastAsia="Arial" w:hAnsi="Arial"/>
                <w:sz w:val="18"/>
                <w:szCs w:val="18"/>
                <w:color w:val="auto"/>
              </w:rPr>
              <w:t>Government issued or guaranteed</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2"/>
              </w:rPr>
              <w:t>5,802,064</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210,850</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1,850</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2"/>
              </w:rPr>
              <w:t>6,011,064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Privately issued</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debt securities</w:t>
            </w: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134,864</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w:t>
            </w:r>
          </w:p>
        </w:tc>
        <w:tc>
          <w:tcPr>
            <w:tcW w:w="2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17,923</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117,644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5,948,056</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211,701</w:t>
            </w:r>
          </w:p>
        </w:tc>
        <w:tc>
          <w:tcPr>
            <w:tcW w:w="2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19,778</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6,139,979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40" w:type="dxa"/>
            <w:vAlign w:val="bottom"/>
            <w:gridSpan w:val="2"/>
          </w:tcPr>
          <w:p>
            <w:pPr>
              <w:spacing w:after="0"/>
              <w:rPr>
                <w:sz w:val="20"/>
                <w:szCs w:val="20"/>
                <w:color w:val="auto"/>
              </w:rPr>
            </w:pPr>
            <w:r>
              <w:rPr>
                <w:rFonts w:ascii="Arial" w:cs="Arial" w:eastAsia="Arial" w:hAnsi="Arial"/>
                <w:sz w:val="18"/>
                <w:szCs w:val="18"/>
                <w:color w:val="auto"/>
              </w:rPr>
              <w:t>Investment securities held to maturity:</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U.S. Treasury and federal agencies</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2,999</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2,445</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20" w:type="dxa"/>
            <w:vAlign w:val="bottom"/>
          </w:tcPr>
          <w:p>
            <w:pPr>
              <w:ind w:left="240"/>
              <w:spacing w:after="0"/>
              <w:rPr>
                <w:sz w:val="20"/>
                <w:szCs w:val="20"/>
                <w:color w:val="auto"/>
              </w:rPr>
            </w:pPr>
            <w:r>
              <w:rPr>
                <w:rFonts w:ascii="Arial" w:cs="Arial" w:eastAsia="Arial" w:hAnsi="Arial"/>
                <w:sz w:val="18"/>
                <w:szCs w:val="18"/>
                <w:color w:val="auto"/>
              </w:rPr>
              <w:t>Government issued or guaranteed</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2"/>
              </w:rPr>
              <w:t>2,202,453</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108,412</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2"/>
              </w:rPr>
              <w:t>2,310,863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Privately issued</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89,617</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9,499</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20,713</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78,403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Other debt securities</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3,128</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2,300,642</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117,922</w:t>
            </w: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20,715</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2,397,849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540" w:type="dxa"/>
            <w:vAlign w:val="bottom"/>
            <w:gridSpan w:val="2"/>
          </w:tcPr>
          <w:p>
            <w:pPr>
              <w:spacing w:after="0"/>
              <w:rPr>
                <w:sz w:val="20"/>
                <w:szCs w:val="20"/>
                <w:color w:val="auto"/>
              </w:rPr>
            </w:pPr>
            <w:r>
              <w:rPr>
                <w:rFonts w:ascii="Arial" w:cs="Arial" w:eastAsia="Arial" w:hAnsi="Arial"/>
                <w:sz w:val="18"/>
                <w:szCs w:val="18"/>
                <w:color w:val="auto"/>
              </w:rPr>
              <w:t>Total debt securities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8,248,698</w:t>
            </w:r>
          </w:p>
        </w:tc>
        <w:tc>
          <w:tcPr>
            <w:tcW w:w="26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329,623</w:t>
            </w:r>
          </w:p>
        </w:tc>
        <w:tc>
          <w:tcPr>
            <w:tcW w:w="26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40,493</w:t>
            </w:r>
          </w:p>
        </w:tc>
        <w:tc>
          <w:tcPr>
            <w:tcW w:w="26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8,537,828</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Equity and other securities:</w:t>
            </w:r>
          </w:p>
        </w:tc>
        <w:tc>
          <w:tcPr>
            <w:tcW w:w="12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20" w:type="dxa"/>
            <w:vAlign w:val="bottom"/>
          </w:tcPr>
          <w:p>
            <w:pPr>
              <w:ind w:left="240"/>
              <w:spacing w:after="0"/>
              <w:rPr>
                <w:sz w:val="20"/>
                <w:szCs w:val="20"/>
                <w:color w:val="auto"/>
              </w:rPr>
            </w:pPr>
            <w:r>
              <w:rPr>
                <w:rFonts w:ascii="Arial" w:cs="Arial" w:eastAsia="Arial" w:hAnsi="Arial"/>
                <w:sz w:val="18"/>
                <w:szCs w:val="18"/>
                <w:color w:val="auto"/>
              </w:rPr>
              <w:t>Readily marketable equity — at fair value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120,425</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13,735</w:t>
            </w:r>
          </w:p>
        </w:tc>
        <w:tc>
          <w:tcPr>
            <w:tcW w:w="2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134,160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 at cost</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381,809</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381,809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540" w:type="dxa"/>
            <w:vAlign w:val="bottom"/>
            <w:gridSpan w:val="2"/>
          </w:tcPr>
          <w:p>
            <w:pPr>
              <w:spacing w:after="0"/>
              <w:rPr>
                <w:sz w:val="20"/>
                <w:szCs w:val="20"/>
                <w:color w:val="auto"/>
              </w:rPr>
            </w:pPr>
            <w:r>
              <w:rPr>
                <w:rFonts w:ascii="Arial" w:cs="Arial" w:eastAsia="Arial" w:hAnsi="Arial"/>
                <w:sz w:val="18"/>
                <w:szCs w:val="18"/>
                <w:color w:val="auto"/>
              </w:rPr>
              <w:t>Total equity and other securities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502,234</w:t>
            </w:r>
          </w:p>
        </w:tc>
        <w:tc>
          <w:tcPr>
            <w:tcW w:w="26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13,735</w:t>
            </w:r>
          </w:p>
        </w:tc>
        <w:tc>
          <w:tcPr>
            <w:tcW w:w="26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515,969</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December 31, 2019</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Investment securities available for sale:</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U.S. Treasury and federal agencies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9,742</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41</w:t>
            </w:r>
          </w:p>
        </w:tc>
        <w:tc>
          <w:tcPr>
            <w:tcW w:w="2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9,767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Obligations of states and political subdivisions</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776</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Government issued or guaranteed</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6,113,913</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88,634</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21,607</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6,180,940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20" w:type="dxa"/>
            <w:vAlign w:val="bottom"/>
          </w:tcPr>
          <w:p>
            <w:pPr>
              <w:ind w:left="240"/>
              <w:spacing w:after="0"/>
              <w:rPr>
                <w:sz w:val="20"/>
                <w:szCs w:val="20"/>
                <w:color w:val="auto"/>
              </w:rPr>
            </w:pPr>
            <w:r>
              <w:rPr>
                <w:rFonts w:ascii="Arial" w:cs="Arial" w:eastAsia="Arial" w:hAnsi="Arial"/>
                <w:sz w:val="18"/>
                <w:szCs w:val="18"/>
                <w:color w:val="auto"/>
              </w:rPr>
              <w:t>Privately issued</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Other debt securities</w:t>
            </w:r>
          </w:p>
        </w:tc>
        <w:tc>
          <w:tcPr>
            <w:tcW w:w="1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133,829</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2,046</w:t>
            </w:r>
          </w:p>
        </w:tc>
        <w:tc>
          <w:tcPr>
            <w:tcW w:w="2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8,597</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127,278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6,258,276</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90,723</w:t>
            </w:r>
          </w:p>
        </w:tc>
        <w:tc>
          <w:tcPr>
            <w:tcW w:w="2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30,223</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6,318,776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Investment securities held to maturity:</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U.S. Treasury and federal agencies</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249,862</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286</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250,148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Obligations of states and political subdivisions</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4,140</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Government issued or guaranteed</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2,306,180</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50,381</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1,992</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2,354,569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20" w:type="dxa"/>
            <w:vAlign w:val="bottom"/>
          </w:tcPr>
          <w:p>
            <w:pPr>
              <w:ind w:left="240"/>
              <w:spacing w:after="0"/>
              <w:rPr>
                <w:sz w:val="20"/>
                <w:szCs w:val="20"/>
                <w:color w:val="auto"/>
              </w:rPr>
            </w:pPr>
            <w:r>
              <w:rPr>
                <w:rFonts w:ascii="Arial" w:cs="Arial" w:eastAsia="Arial" w:hAnsi="Arial"/>
                <w:sz w:val="18"/>
                <w:szCs w:val="18"/>
                <w:color w:val="auto"/>
              </w:rPr>
              <w:t>Privately issued</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93,496</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11,779</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18,181</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87,094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Other debt securities</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3,239</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2,656,917</w:t>
            </w:r>
          </w:p>
        </w:tc>
        <w:tc>
          <w:tcPr>
            <w:tcW w:w="26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62,462</w:t>
            </w:r>
          </w:p>
        </w:tc>
        <w:tc>
          <w:tcPr>
            <w:tcW w:w="26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20,173</w:t>
            </w:r>
          </w:p>
        </w:tc>
        <w:tc>
          <w:tcPr>
            <w:tcW w:w="26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2,699,206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debt securities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8,915,193</w:t>
            </w:r>
          </w:p>
        </w:tc>
        <w:tc>
          <w:tcPr>
            <w:tcW w:w="2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153,185</w:t>
            </w:r>
          </w:p>
        </w:tc>
        <w:tc>
          <w:tcPr>
            <w:tcW w:w="2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50,396</w:t>
            </w:r>
          </w:p>
        </w:tc>
        <w:tc>
          <w:tcPr>
            <w:tcW w:w="2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9,017,982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40" w:type="dxa"/>
            <w:vAlign w:val="bottom"/>
            <w:gridSpan w:val="2"/>
            <w:vMerge w:val="restart"/>
          </w:tcPr>
          <w:p>
            <w:pPr>
              <w:spacing w:after="0"/>
              <w:rPr>
                <w:sz w:val="20"/>
                <w:szCs w:val="20"/>
                <w:color w:val="auto"/>
              </w:rPr>
            </w:pPr>
            <w:r>
              <w:rPr>
                <w:rFonts w:ascii="Arial" w:cs="Arial" w:eastAsia="Arial" w:hAnsi="Arial"/>
                <w:sz w:val="18"/>
                <w:szCs w:val="18"/>
                <w:color w:val="auto"/>
              </w:rPr>
              <w:t>Equity and other securities:</w:t>
            </w: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Readily marketable equity — at fair value</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105,524</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34,786</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140,041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20" w:type="dxa"/>
            <w:vAlign w:val="bottom"/>
          </w:tcPr>
          <w:p>
            <w:pPr>
              <w:ind w:left="240"/>
              <w:spacing w:after="0"/>
              <w:rPr>
                <w:sz w:val="20"/>
                <w:szCs w:val="20"/>
                <w:color w:val="auto"/>
              </w:rPr>
            </w:pPr>
            <w:r>
              <w:rPr>
                <w:rFonts w:ascii="Arial" w:cs="Arial" w:eastAsia="Arial" w:hAnsi="Arial"/>
                <w:sz w:val="18"/>
                <w:szCs w:val="18"/>
                <w:color w:val="auto"/>
              </w:rPr>
              <w:t>Other — at cost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381,517</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381,517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equity and other securities</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487,041</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34,786</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521,558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139"/>
          </w:cols>
          <w:pgMar w:left="320" w:top="125" w:right="1440" w:bottom="1440" w:gutter="0" w:footer="0" w:header="0"/>
        </w:sectPr>
      </w:pPr>
    </w:p>
    <w:p>
      <w:pPr>
        <w:spacing w:after="0" w:line="217"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color w:val="auto"/>
        </w:rPr>
        <w:t>NOTES TO FINANCIAL STATEMENTS, CONTINUED</w:t>
      </w:r>
    </w:p>
    <w:p>
      <w:pPr>
        <w:spacing w:after="0" w:line="21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2. Investment securities, continued</w:t>
      </w:r>
    </w:p>
    <w:p>
      <w:pPr>
        <w:spacing w:after="0" w:line="223" w:lineRule="exact"/>
        <w:rPr>
          <w:sz w:val="20"/>
          <w:szCs w:val="20"/>
          <w:color w:val="auto"/>
        </w:rPr>
      </w:pPr>
    </w:p>
    <w:p>
      <w:pPr>
        <w:jc w:val="both"/>
        <w:ind w:firstLine="510"/>
        <w:spacing w:after="0" w:line="252" w:lineRule="auto"/>
        <w:rPr>
          <w:sz w:val="20"/>
          <w:szCs w:val="20"/>
          <w:color w:val="auto"/>
        </w:rPr>
      </w:pPr>
      <w:r>
        <w:rPr>
          <w:rFonts w:ascii="Arial" w:cs="Arial" w:eastAsia="Arial" w:hAnsi="Arial"/>
          <w:sz w:val="21"/>
          <w:szCs w:val="21"/>
          <w:color w:val="auto"/>
        </w:rPr>
        <w:t>There were no significant gross realized gains or losses from sales of investment securities for the quarters ended March 31, 2020 and 2019. Unrealized losses on equity securities were $21 million during the three months ended March 31, 2020, compared with unrealized gains of $12 million during the three months ended March 31, 2019.</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20"/>
          <w:szCs w:val="20"/>
          <w:color w:val="auto"/>
        </w:rPr>
        <w:t>At March 31, 2020, the amortized cost and estimated fair value of debt securities by contractual maturity were as follows: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Amortized</w:t>
            </w:r>
          </w:p>
        </w:tc>
        <w:tc>
          <w:tcPr>
            <w:tcW w:w="1020" w:type="dxa"/>
            <w:vAlign w:val="bottom"/>
            <w:gridSpan w:val="2"/>
          </w:tcPr>
          <w:p>
            <w:pPr>
              <w:ind w:left="160"/>
              <w:spacing w:after="0"/>
              <w:rPr>
                <w:sz w:val="20"/>
                <w:szCs w:val="20"/>
                <w:color w:val="auto"/>
              </w:rPr>
            </w:pPr>
            <w:r>
              <w:rPr>
                <w:rFonts w:ascii="Arial" w:cs="Arial" w:eastAsia="Arial" w:hAnsi="Arial"/>
                <w:sz w:val="14"/>
                <w:szCs w:val="14"/>
                <w:b w:val="1"/>
                <w:bCs w:val="1"/>
                <w:color w:val="auto"/>
              </w:rPr>
              <w:t>Estimated</w:t>
            </w:r>
          </w:p>
        </w:tc>
        <w:tc>
          <w:tcPr>
            <w:tcW w:w="2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3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Cost</w:t>
            </w:r>
          </w:p>
        </w:tc>
        <w:tc>
          <w:tcPr>
            <w:tcW w:w="1020" w:type="dxa"/>
            <w:vAlign w:val="bottom"/>
            <w:gridSpan w:val="2"/>
          </w:tcPr>
          <w:p>
            <w:pPr>
              <w:ind w:left="140"/>
              <w:spacing w:after="0"/>
              <w:rPr>
                <w:sz w:val="20"/>
                <w:szCs w:val="20"/>
                <w:color w:val="auto"/>
              </w:rPr>
            </w:pPr>
            <w:r>
              <w:rPr>
                <w:rFonts w:ascii="Arial" w:cs="Arial" w:eastAsia="Arial" w:hAnsi="Arial"/>
                <w:sz w:val="14"/>
                <w:szCs w:val="14"/>
                <w:b w:val="1"/>
                <w:bCs w:val="1"/>
                <w:color w:val="auto"/>
              </w:rPr>
              <w:t>Fair Value</w:t>
            </w:r>
          </w:p>
        </w:tc>
        <w:tc>
          <w:tcPr>
            <w:tcW w:w="2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36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060" w:type="dxa"/>
            <w:vAlign w:val="bottom"/>
            <w:tcBorders>
              <w:top w:val="single" w:sz="8" w:color="auto"/>
            </w:tcBorders>
            <w:gridSpan w:val="3"/>
          </w:tcPr>
          <w:p>
            <w:pPr>
              <w:jc w:val="right"/>
              <w:ind w:right="573"/>
              <w:spacing w:after="0" w:line="155" w:lineRule="exact"/>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Debt securities available for sale:</w:t>
            </w:r>
          </w:p>
        </w:tc>
        <w:tc>
          <w:tcPr>
            <w:tcW w:w="2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tcPr>
          <w:p>
            <w:pPr>
              <w:spacing w:after="0"/>
              <w:rPr>
                <w:sz w:val="20"/>
                <w:szCs w:val="20"/>
                <w:color w:val="auto"/>
              </w:rPr>
            </w:pPr>
            <w:r>
              <w:rPr>
                <w:rFonts w:ascii="Arial" w:cs="Arial" w:eastAsia="Arial" w:hAnsi="Arial"/>
                <w:sz w:val="18"/>
                <w:szCs w:val="18"/>
                <w:color w:val="auto"/>
              </w:rPr>
              <w:t>Due in one year or less</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7,559</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7,576</w:t>
            </w:r>
          </w:p>
        </w:tc>
        <w:tc>
          <w:tcPr>
            <w:tcW w:w="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Due after one year through five years</w:t>
            </w:r>
          </w:p>
        </w:tc>
        <w:tc>
          <w:tcPr>
            <w:tcW w:w="2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9,123</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9,342</w:t>
            </w:r>
          </w:p>
        </w:tc>
        <w:tc>
          <w:tcPr>
            <w:tcW w:w="80" w:type="dxa"/>
            <w:vAlign w:val="bottom"/>
            <w:shd w:val="clear" w:color="auto" w:fill="CFF0FC"/>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tcPr>
          <w:p>
            <w:pPr>
              <w:spacing w:after="0"/>
              <w:rPr>
                <w:sz w:val="20"/>
                <w:szCs w:val="20"/>
                <w:color w:val="auto"/>
              </w:rPr>
            </w:pPr>
            <w:r>
              <w:rPr>
                <w:rFonts w:ascii="Arial" w:cs="Arial" w:eastAsia="Arial" w:hAnsi="Arial"/>
                <w:sz w:val="18"/>
                <w:szCs w:val="18"/>
                <w:color w:val="auto"/>
              </w:rPr>
              <w:t>Due after five years through ten years</w:t>
            </w:r>
          </w:p>
        </w:tc>
        <w:tc>
          <w:tcPr>
            <w:tcW w:w="2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99,294</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87,831</w:t>
            </w:r>
          </w:p>
        </w:tc>
        <w:tc>
          <w:tcPr>
            <w:tcW w:w="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Due after ten years</w:t>
            </w:r>
          </w:p>
        </w:tc>
        <w:tc>
          <w:tcPr>
            <w:tcW w:w="23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30,000</w:t>
            </w:r>
          </w:p>
        </w:tc>
        <w:tc>
          <w:tcPr>
            <w:tcW w:w="28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24,150</w:t>
            </w:r>
          </w:p>
        </w:tc>
        <w:tc>
          <w:tcPr>
            <w:tcW w:w="80" w:type="dxa"/>
            <w:vAlign w:val="bottom"/>
            <w:shd w:val="clear" w:color="auto" w:fill="CFF0FC"/>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6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145,976</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128,899</w:t>
            </w:r>
          </w:p>
        </w:tc>
        <w:tc>
          <w:tcPr>
            <w:tcW w:w="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 available for sale</w:t>
            </w:r>
          </w:p>
        </w:tc>
        <w:tc>
          <w:tcPr>
            <w:tcW w:w="23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5,802,080</w:t>
            </w:r>
          </w:p>
        </w:tc>
        <w:tc>
          <w:tcPr>
            <w:tcW w:w="28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6,011,080</w:t>
            </w:r>
          </w:p>
        </w:tc>
        <w:tc>
          <w:tcPr>
            <w:tcW w:w="80" w:type="dxa"/>
            <w:vAlign w:val="bottom"/>
            <w:shd w:val="clear" w:color="auto" w:fill="CFF0FC"/>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FF0FC"/>
            </w:tcBorders>
          </w:tcPr>
          <w:p>
            <w:pPr>
              <w:spacing w:after="0"/>
              <w:rPr>
                <w:sz w:val="22"/>
                <w:szCs w:val="22"/>
                <w:color w:val="auto"/>
              </w:rPr>
            </w:pPr>
          </w:p>
        </w:tc>
        <w:tc>
          <w:tcPr>
            <w:tcW w:w="234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5,948,056</w:t>
            </w:r>
          </w:p>
        </w:tc>
        <w:tc>
          <w:tcPr>
            <w:tcW w:w="280" w:type="dxa"/>
            <w:vAlign w:val="bottom"/>
            <w:tcBorders>
              <w:bottom w:val="single" w:sz="8" w:color="CFF0FC"/>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6,139,979</w:t>
            </w:r>
          </w:p>
        </w:tc>
        <w:tc>
          <w:tcPr>
            <w:tcW w:w="80" w:type="dxa"/>
            <w:vAlign w:val="bottom"/>
            <w:tcBorders>
              <w:bottom w:val="single" w:sz="8" w:color="CFF0FC"/>
            </w:tcBorders>
          </w:tcPr>
          <w:p>
            <w:pPr>
              <w:spacing w:after="0"/>
              <w:rPr>
                <w:sz w:val="22"/>
                <w:szCs w:val="22"/>
                <w:color w:val="auto"/>
              </w:rPr>
            </w:pPr>
          </w:p>
        </w:tc>
        <w:tc>
          <w:tcPr>
            <w:tcW w:w="2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Debt securities held to maturity:</w:t>
            </w:r>
          </w:p>
        </w:tc>
        <w:tc>
          <w:tcPr>
            <w:tcW w:w="2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60" w:type="dxa"/>
            <w:vAlign w:val="bottom"/>
          </w:tcPr>
          <w:p>
            <w:pPr>
              <w:spacing w:after="0"/>
              <w:rPr>
                <w:sz w:val="20"/>
                <w:szCs w:val="20"/>
                <w:color w:val="auto"/>
              </w:rPr>
            </w:pPr>
            <w:r>
              <w:rPr>
                <w:rFonts w:ascii="Arial" w:cs="Arial" w:eastAsia="Arial" w:hAnsi="Arial"/>
                <w:sz w:val="18"/>
                <w:szCs w:val="18"/>
                <w:color w:val="auto"/>
              </w:rPr>
              <w:t>Due in one year or less</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4,594</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4,600</w:t>
            </w:r>
          </w:p>
        </w:tc>
        <w:tc>
          <w:tcPr>
            <w:tcW w:w="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Due after one year through five years</w:t>
            </w:r>
          </w:p>
        </w:tc>
        <w:tc>
          <w:tcPr>
            <w:tcW w:w="2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850</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855</w:t>
            </w:r>
          </w:p>
        </w:tc>
        <w:tc>
          <w:tcPr>
            <w:tcW w:w="80" w:type="dxa"/>
            <w:vAlign w:val="bottom"/>
            <w:shd w:val="clear" w:color="auto" w:fill="CFF0FC"/>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Due after ten years</w:t>
            </w:r>
          </w:p>
        </w:tc>
        <w:tc>
          <w:tcPr>
            <w:tcW w:w="23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3,128</w:t>
            </w:r>
          </w:p>
        </w:tc>
        <w:tc>
          <w:tcPr>
            <w:tcW w:w="28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3,128</w:t>
            </w:r>
          </w:p>
        </w:tc>
        <w:tc>
          <w:tcPr>
            <w:tcW w:w="80" w:type="dxa"/>
            <w:vAlign w:val="bottom"/>
            <w:tcBorders>
              <w:bottom w:val="single" w:sz="8" w:color="CFF0FC"/>
            </w:tcBorders>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60" w:type="dxa"/>
            <w:vAlign w:val="bottom"/>
            <w:shd w:val="clear" w:color="auto" w:fill="CFF0FC"/>
          </w:tcPr>
          <w:p>
            <w:pPr>
              <w:spacing w:after="0"/>
              <w:rPr>
                <w:sz w:val="19"/>
                <w:szCs w:val="19"/>
                <w:color w:val="auto"/>
              </w:rPr>
            </w:pPr>
          </w:p>
        </w:tc>
        <w:tc>
          <w:tcPr>
            <w:tcW w:w="2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8,572</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8,583</w:t>
            </w:r>
          </w:p>
        </w:tc>
        <w:tc>
          <w:tcPr>
            <w:tcW w:w="80" w:type="dxa"/>
            <w:vAlign w:val="bottom"/>
            <w:shd w:val="clear" w:color="auto" w:fill="CFF0FC"/>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Mortgage-backed securities held to maturity</w:t>
            </w:r>
          </w:p>
        </w:tc>
        <w:tc>
          <w:tcPr>
            <w:tcW w:w="23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2,292,070</w:t>
            </w:r>
          </w:p>
        </w:tc>
        <w:tc>
          <w:tcPr>
            <w:tcW w:w="28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2,389,266</w:t>
            </w:r>
          </w:p>
        </w:tc>
        <w:tc>
          <w:tcPr>
            <w:tcW w:w="80" w:type="dxa"/>
            <w:vAlign w:val="bottom"/>
            <w:tcBorders>
              <w:bottom w:val="single" w:sz="8" w:color="CFF0FC"/>
            </w:tcBorders>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60" w:type="dxa"/>
            <w:vAlign w:val="bottom"/>
            <w:tcBorders>
              <w:bottom w:val="single" w:sz="8" w:color="CFF0FC"/>
            </w:tcBorders>
            <w:shd w:val="clear" w:color="auto" w:fill="CFF0FC"/>
          </w:tcPr>
          <w:p>
            <w:pPr>
              <w:spacing w:after="0"/>
              <w:rPr>
                <w:sz w:val="19"/>
                <w:szCs w:val="19"/>
                <w:color w:val="auto"/>
              </w:rPr>
            </w:pPr>
          </w:p>
        </w:tc>
        <w:tc>
          <w:tcPr>
            <w:tcW w:w="23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2,300,642</w:t>
            </w:r>
          </w:p>
        </w:tc>
        <w:tc>
          <w:tcPr>
            <w:tcW w:w="28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2,397,849</w:t>
            </w:r>
          </w:p>
        </w:tc>
        <w:tc>
          <w:tcPr>
            <w:tcW w:w="80" w:type="dxa"/>
            <w:vAlign w:val="bottom"/>
            <w:tcBorders>
              <w:bottom w:val="single" w:sz="8" w:color="CFF0FC"/>
            </w:tcBorders>
            <w:shd w:val="clear" w:color="auto" w:fill="CFF0FC"/>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340" w:type="dxa"/>
            <w:vAlign w:val="bottom"/>
            <w:vMerge w:val="restart"/>
          </w:tcPr>
          <w:p>
            <w:pPr>
              <w:jc w:val="right"/>
              <w:ind w:right="790"/>
              <w:spacing w:after="0"/>
              <w:rPr>
                <w:sz w:val="20"/>
                <w:szCs w:val="20"/>
                <w:color w:val="auto"/>
              </w:rPr>
            </w:pPr>
            <w:r>
              <w:rPr>
                <w:rFonts w:ascii="Arial" w:cs="Arial" w:eastAsia="Arial" w:hAnsi="Arial"/>
                <w:sz w:val="18"/>
                <w:szCs w:val="18"/>
                <w:color w:val="auto"/>
              </w:rPr>
              <w:t>-10-</w:t>
            </w: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360" w:type="dxa"/>
            <w:vAlign w:val="bottom"/>
          </w:tcPr>
          <w:p>
            <w:pPr>
              <w:spacing w:after="0"/>
              <w:rPr>
                <w:sz w:val="24"/>
                <w:szCs w:val="24"/>
                <w:color w:val="auto"/>
              </w:rPr>
            </w:pPr>
          </w:p>
        </w:tc>
        <w:tc>
          <w:tcPr>
            <w:tcW w:w="23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60" w:type="dxa"/>
            <w:vAlign w:val="bottom"/>
            <w:tcBorders>
              <w:bottom w:val="single" w:sz="8" w:color="9A9A9A"/>
            </w:tcBorders>
          </w:tcPr>
          <w:p>
            <w:pPr>
              <w:spacing w:after="0"/>
              <w:rPr>
                <w:sz w:val="9"/>
                <w:szCs w:val="9"/>
                <w:color w:val="auto"/>
              </w:rPr>
            </w:pPr>
          </w:p>
        </w:tc>
        <w:tc>
          <w:tcPr>
            <w:tcW w:w="23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2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-7620</wp:posOffset>
            </wp:positionV>
            <wp:extent cx="825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25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NOTES TO FINANCIAL STATEMENTS, CONTINUED</w:t>
      </w:r>
    </w:p>
    <w:p>
      <w:pPr>
        <w:spacing w:after="0" w:line="219" w:lineRule="exact"/>
        <w:rPr>
          <w:sz w:val="20"/>
          <w:szCs w:val="20"/>
          <w:color w:val="auto"/>
        </w:rPr>
      </w:pPr>
    </w:p>
    <w:p>
      <w:pPr>
        <w:ind w:left="60"/>
        <w:spacing w:after="0"/>
        <w:rPr>
          <w:sz w:val="20"/>
          <w:szCs w:val="20"/>
          <w:color w:val="auto"/>
        </w:rPr>
      </w:pPr>
      <w:r>
        <w:rPr>
          <w:rFonts w:ascii="Arial" w:cs="Arial" w:eastAsia="Arial" w:hAnsi="Arial"/>
          <w:sz w:val="21"/>
          <w:szCs w:val="21"/>
          <w:b w:val="1"/>
          <w:bCs w:val="1"/>
          <w:color w:val="auto"/>
        </w:rPr>
        <w:t>2. Investment securities, continued</w:t>
      </w:r>
    </w:p>
    <w:p>
      <w:pPr>
        <w:spacing w:after="0" w:line="115" w:lineRule="exact"/>
        <w:rPr>
          <w:sz w:val="20"/>
          <w:szCs w:val="20"/>
          <w:color w:val="auto"/>
        </w:rPr>
      </w:pPr>
    </w:p>
    <w:p>
      <w:pPr>
        <w:jc w:val="both"/>
        <w:ind w:firstLine="510"/>
        <w:spacing w:after="0" w:line="252" w:lineRule="auto"/>
        <w:rPr>
          <w:sz w:val="20"/>
          <w:szCs w:val="20"/>
          <w:color w:val="auto"/>
        </w:rPr>
      </w:pPr>
      <w:r>
        <w:rPr>
          <w:rFonts w:ascii="Arial" w:cs="Arial" w:eastAsia="Arial" w:hAnsi="Arial"/>
          <w:sz w:val="21"/>
          <w:szCs w:val="21"/>
          <w:color w:val="auto"/>
        </w:rPr>
        <w:t>A summary of investment securities that as of March 31, 2020 and December 31, 2019 had been in a continuous unrealized loss position for less than twelve months and those that had been in a continuous unrealized loss position for twelve months or longer follows: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00" w:type="dxa"/>
            <w:vAlign w:val="bottom"/>
            <w:gridSpan w:val="5"/>
          </w:tcPr>
          <w:p>
            <w:pPr>
              <w:ind w:left="360"/>
              <w:spacing w:after="0"/>
              <w:rPr>
                <w:sz w:val="20"/>
                <w:szCs w:val="20"/>
                <w:color w:val="auto"/>
              </w:rPr>
            </w:pPr>
            <w:r>
              <w:rPr>
                <w:rFonts w:ascii="Arial" w:cs="Arial" w:eastAsia="Arial" w:hAnsi="Arial"/>
                <w:sz w:val="14"/>
                <w:szCs w:val="14"/>
                <w:b w:val="1"/>
                <w:bCs w:val="1"/>
                <w:color w:val="auto"/>
              </w:rPr>
              <w:t>Less Than 12 Months</w:t>
            </w:r>
          </w:p>
        </w:tc>
        <w:tc>
          <w:tcPr>
            <w:tcW w:w="230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12 Months or More</w:t>
            </w:r>
          </w:p>
        </w:tc>
      </w:tr>
      <w:tr>
        <w:trPr>
          <w:trHeight w:val="133"/>
        </w:trPr>
        <w:tc>
          <w:tcPr>
            <w:tcW w:w="46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jc w:val="center"/>
              <w:ind w:right="580"/>
              <w:spacing w:after="0" w:line="133" w:lineRule="exact"/>
              <w:rPr>
                <w:sz w:val="20"/>
                <w:szCs w:val="20"/>
                <w:color w:val="auto"/>
              </w:rPr>
            </w:pPr>
            <w:r>
              <w:rPr>
                <w:rFonts w:ascii="Arial" w:cs="Arial" w:eastAsia="Arial" w:hAnsi="Arial"/>
                <w:sz w:val="14"/>
                <w:szCs w:val="14"/>
                <w:b w:val="1"/>
                <w:bCs w:val="1"/>
                <w:color w:val="auto"/>
              </w:rPr>
              <w:t>Fair</w:t>
            </w:r>
          </w:p>
        </w:tc>
        <w:tc>
          <w:tcPr>
            <w:tcW w:w="104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3"/>
              </w:rPr>
              <w:t>Unrealized</w:t>
            </w:r>
          </w:p>
        </w:tc>
        <w:tc>
          <w:tcPr>
            <w:tcW w:w="38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jc w:val="center"/>
              <w:ind w:right="660"/>
              <w:spacing w:after="0" w:line="133" w:lineRule="exact"/>
              <w:rPr>
                <w:sz w:val="20"/>
                <w:szCs w:val="20"/>
                <w:color w:val="auto"/>
              </w:rPr>
            </w:pPr>
            <w:r>
              <w:rPr>
                <w:rFonts w:ascii="Arial" w:cs="Arial" w:eastAsia="Arial" w:hAnsi="Arial"/>
                <w:sz w:val="14"/>
                <w:szCs w:val="14"/>
                <w:b w:val="1"/>
                <w:bCs w:val="1"/>
                <w:color w:val="auto"/>
              </w:rPr>
              <w:t>Fair</w:t>
            </w:r>
          </w:p>
        </w:tc>
        <w:tc>
          <w:tcPr>
            <w:tcW w:w="1080" w:type="dxa"/>
            <w:vAlign w:val="bottom"/>
            <w:tcBorders>
              <w:top w:val="single" w:sz="8" w:color="auto"/>
            </w:tcBorders>
          </w:tcPr>
          <w:p>
            <w:pPr>
              <w:jc w:val="right"/>
              <w:ind w:right="132"/>
              <w:spacing w:after="0" w:line="133" w:lineRule="exact"/>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1"/>
                <w:szCs w:val="11"/>
                <w:color w:val="auto"/>
              </w:rPr>
            </w:pPr>
          </w:p>
        </w:tc>
      </w:tr>
      <w:tr>
        <w:trPr>
          <w:trHeight w:val="171"/>
        </w:trPr>
        <w:tc>
          <w:tcPr>
            <w:tcW w:w="46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0"/>
              </w:rPr>
              <w:t>Value</w:t>
            </w:r>
          </w:p>
        </w:tc>
        <w:tc>
          <w:tcPr>
            <w:tcW w:w="170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82"/>
              </w:rPr>
              <w:t>Losses</w:t>
            </w:r>
          </w:p>
        </w:tc>
        <w:tc>
          <w:tcPr>
            <w:tcW w:w="11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0"/>
              </w:rPr>
              <w:t>Value</w:t>
            </w:r>
          </w:p>
        </w:tc>
        <w:tc>
          <w:tcPr>
            <w:tcW w:w="11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Losses</w:t>
            </w:r>
          </w:p>
        </w:tc>
      </w:tr>
      <w:tr>
        <w:trPr>
          <w:trHeight w:val="155"/>
        </w:trPr>
        <w:tc>
          <w:tcPr>
            <w:tcW w:w="46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700" w:type="dxa"/>
            <w:vAlign w:val="bottom"/>
            <w:tcBorders>
              <w:top w:val="single" w:sz="8" w:color="auto"/>
            </w:tcBorders>
            <w:gridSpan w:val="3"/>
          </w:tcPr>
          <w:p>
            <w:pPr>
              <w:ind w:left="80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76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29"/>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March 31, 2020</w:t>
            </w:r>
          </w:p>
        </w:tc>
        <w:tc>
          <w:tcPr>
            <w:tcW w:w="1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460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U.S. Treasury and federal agencies</w:t>
            </w:r>
          </w:p>
        </w:tc>
        <w:tc>
          <w:tcPr>
            <w:tcW w:w="144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985</w:t>
            </w:r>
          </w:p>
        </w:tc>
        <w:tc>
          <w:tcPr>
            <w:tcW w:w="3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(3)</w:t>
            </w: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460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70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186</w:t>
            </w:r>
          </w:p>
        </w:tc>
        <w:tc>
          <w:tcPr>
            <w:tcW w:w="36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29"/>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w:t>
            </w:r>
          </w:p>
        </w:tc>
        <w:tc>
          <w:tcPr>
            <w:tcW w:w="1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4600" w:type="dxa"/>
            <w:vAlign w:val="bottom"/>
          </w:tcPr>
          <w:p>
            <w:pPr>
              <w:ind w:left="260"/>
              <w:spacing w:after="0"/>
              <w:rPr>
                <w:sz w:val="20"/>
                <w:szCs w:val="20"/>
                <w:color w:val="auto"/>
              </w:rPr>
            </w:pPr>
            <w:r>
              <w:rPr>
                <w:rFonts w:ascii="Arial" w:cs="Arial" w:eastAsia="Arial" w:hAnsi="Arial"/>
                <w:sz w:val="18"/>
                <w:szCs w:val="18"/>
                <w:color w:val="auto"/>
              </w:rPr>
              <w:t>Government issued or guaranteed</w:t>
            </w: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77,383</w:t>
            </w:r>
          </w:p>
        </w:tc>
        <w:tc>
          <w:tcPr>
            <w:tcW w:w="360" w:type="dxa"/>
            <w:vAlign w:val="bottom"/>
          </w:tcPr>
          <w:p>
            <w:pPr>
              <w:spacing w:after="0"/>
              <w:rPr>
                <w:sz w:val="19"/>
                <w:szCs w:val="19"/>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(1,055)</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40,838</w:t>
            </w:r>
          </w:p>
        </w:tc>
        <w:tc>
          <w:tcPr>
            <w:tcW w:w="36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(795)</w:t>
            </w:r>
          </w:p>
        </w:tc>
      </w:tr>
      <w:tr>
        <w:trPr>
          <w:trHeight w:val="229"/>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Other debt securities</w:t>
            </w:r>
          </w:p>
        </w:tc>
        <w:tc>
          <w:tcPr>
            <w:tcW w:w="1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52,512</w:t>
            </w:r>
          </w:p>
        </w:tc>
        <w:tc>
          <w:tcPr>
            <w:tcW w:w="3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(6,691)</w:t>
            </w: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53,341</w:t>
            </w:r>
          </w:p>
        </w:tc>
        <w:tc>
          <w:tcPr>
            <w:tcW w:w="3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(11,232)</w:t>
            </w:r>
          </w:p>
        </w:tc>
      </w:tr>
      <w:tr>
        <w:trPr>
          <w:trHeight w:val="223"/>
        </w:trPr>
        <w:tc>
          <w:tcPr>
            <w:tcW w:w="4600" w:type="dxa"/>
            <w:vAlign w:val="bottom"/>
            <w:tcBorders>
              <w:bottom w:val="single" w:sz="8" w:color="CFF0FC"/>
            </w:tcBorders>
          </w:tcPr>
          <w:p>
            <w:pPr>
              <w:spacing w:after="0"/>
              <w:rPr>
                <w:sz w:val="19"/>
                <w:szCs w:val="19"/>
                <w:color w:val="auto"/>
              </w:rPr>
            </w:pPr>
          </w:p>
        </w:tc>
        <w:tc>
          <w:tcPr>
            <w:tcW w:w="124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130,880</w:t>
            </w:r>
          </w:p>
        </w:tc>
        <w:tc>
          <w:tcPr>
            <w:tcW w:w="360" w:type="dxa"/>
            <w:vAlign w:val="bottom"/>
            <w:tcBorders>
              <w:bottom w:val="single" w:sz="8" w:color="CFF0FC"/>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(7,749)</w:t>
            </w:r>
          </w:p>
        </w:tc>
        <w:tc>
          <w:tcPr>
            <w:tcW w:w="38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94,365</w:t>
            </w:r>
          </w:p>
        </w:tc>
        <w:tc>
          <w:tcPr>
            <w:tcW w:w="360" w:type="dxa"/>
            <w:vAlign w:val="bottom"/>
            <w:tcBorders>
              <w:bottom w:val="single" w:sz="8" w:color="CFF0FC"/>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(12,029)</w:t>
            </w:r>
          </w:p>
        </w:tc>
        <w:tc>
          <w:tcPr>
            <w:tcW w:w="100" w:type="dxa"/>
            <w:vAlign w:val="bottom"/>
            <w:tcBorders>
              <w:bottom w:val="single" w:sz="8" w:color="CFF0FC"/>
            </w:tcBorders>
          </w:tcPr>
          <w:p>
            <w:pPr>
              <w:spacing w:after="0"/>
              <w:rPr>
                <w:sz w:val="19"/>
                <w:szCs w:val="19"/>
                <w:color w:val="auto"/>
              </w:rPr>
            </w:pPr>
          </w:p>
        </w:tc>
      </w:tr>
      <w:tr>
        <w:trPr>
          <w:trHeight w:val="223"/>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Investment securities held to maturity:</w:t>
            </w:r>
          </w:p>
        </w:tc>
        <w:tc>
          <w:tcPr>
            <w:tcW w:w="1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460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Government issued or guaranteed</w:t>
            </w:r>
          </w:p>
        </w:tc>
        <w:tc>
          <w:tcPr>
            <w:tcW w:w="1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1700" w:type="dxa"/>
            <w:vAlign w:val="bottom"/>
            <w:gridSpan w:val="3"/>
            <w:shd w:val="clear" w:color="auto" w:fill="CFF0FC"/>
          </w:tcPr>
          <w:p>
            <w:pPr>
              <w:jc w:val="right"/>
              <w:ind w:right="6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w:t>
            </w:r>
          </w:p>
        </w:tc>
        <w:tc>
          <w:tcPr>
            <w:tcW w:w="3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w:t>
            </w:r>
          </w:p>
        </w:tc>
      </w:tr>
      <w:tr>
        <w:trPr>
          <w:trHeight w:val="229"/>
        </w:trPr>
        <w:tc>
          <w:tcPr>
            <w:tcW w:w="4600" w:type="dxa"/>
            <w:vAlign w:val="bottom"/>
          </w:tcPr>
          <w:p>
            <w:pPr>
              <w:ind w:left="260"/>
              <w:spacing w:after="0"/>
              <w:rPr>
                <w:sz w:val="20"/>
                <w:szCs w:val="20"/>
                <w:color w:val="auto"/>
              </w:rPr>
            </w:pPr>
            <w:r>
              <w:rPr>
                <w:rFonts w:ascii="Arial" w:cs="Arial" w:eastAsia="Arial" w:hAnsi="Arial"/>
                <w:sz w:val="18"/>
                <w:szCs w:val="18"/>
                <w:color w:val="auto"/>
              </w:rPr>
              <w:t>Privately issued</w:t>
            </w: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14,602</w:t>
            </w:r>
          </w:p>
        </w:tc>
        <w:tc>
          <w:tcPr>
            <w:tcW w:w="360" w:type="dxa"/>
            <w:vAlign w:val="bottom"/>
          </w:tcPr>
          <w:p>
            <w:pPr>
              <w:spacing w:after="0"/>
              <w:rPr>
                <w:sz w:val="19"/>
                <w:szCs w:val="19"/>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46,103</w:t>
            </w:r>
          </w:p>
        </w:tc>
        <w:tc>
          <w:tcPr>
            <w:tcW w:w="36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(20,697)</w:t>
            </w:r>
          </w:p>
        </w:tc>
      </w:tr>
      <w:tr>
        <w:trPr>
          <w:trHeight w:val="223"/>
        </w:trPr>
        <w:tc>
          <w:tcPr>
            <w:tcW w:w="460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14,602</w:t>
            </w:r>
          </w:p>
        </w:tc>
        <w:tc>
          <w:tcPr>
            <w:tcW w:w="36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3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46,239</w:t>
            </w:r>
          </w:p>
        </w:tc>
        <w:tc>
          <w:tcPr>
            <w:tcW w:w="36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(20,699)</w:t>
            </w:r>
          </w:p>
        </w:tc>
        <w:tc>
          <w:tcPr>
            <w:tcW w:w="100" w:type="dxa"/>
            <w:vAlign w:val="bottom"/>
            <w:tcBorders>
              <w:top w:val="single" w:sz="8" w:color="CFF0FC"/>
            </w:tcBorders>
            <w:shd w:val="clear" w:color="auto" w:fill="CFF0FC"/>
          </w:tcPr>
          <w:p>
            <w:pPr>
              <w:spacing w:after="0"/>
              <w:rPr>
                <w:sz w:val="19"/>
                <w:szCs w:val="19"/>
                <w:color w:val="auto"/>
              </w:rPr>
            </w:pPr>
          </w:p>
        </w:tc>
      </w:tr>
      <w:tr>
        <w:trPr>
          <w:trHeight w:val="263"/>
        </w:trPr>
        <w:tc>
          <w:tcPr>
            <w:tcW w:w="4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w:t>
            </w:r>
          </w:p>
        </w:tc>
        <w:tc>
          <w:tcPr>
            <w:tcW w:w="124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145,482</w:t>
            </w:r>
          </w:p>
        </w:tc>
        <w:tc>
          <w:tcPr>
            <w:tcW w:w="360" w:type="dxa"/>
            <w:vAlign w:val="bottom"/>
            <w:tcBorders>
              <w:bottom w:val="single" w:sz="8" w:color="CFF0FC"/>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(7,765)</w:t>
            </w:r>
          </w:p>
        </w:tc>
        <w:tc>
          <w:tcPr>
            <w:tcW w:w="38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140,604</w:t>
            </w:r>
          </w:p>
        </w:tc>
        <w:tc>
          <w:tcPr>
            <w:tcW w:w="360" w:type="dxa"/>
            <w:vAlign w:val="bottom"/>
            <w:tcBorders>
              <w:bottom w:val="single" w:sz="8" w:color="CFF0FC"/>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(32,728)</w:t>
            </w:r>
          </w:p>
        </w:tc>
        <w:tc>
          <w:tcPr>
            <w:tcW w:w="100" w:type="dxa"/>
            <w:vAlign w:val="bottom"/>
            <w:tcBorders>
              <w:bottom w:val="single" w:sz="8" w:color="CFF0FC"/>
            </w:tcBorders>
          </w:tcPr>
          <w:p>
            <w:pPr>
              <w:spacing w:after="0"/>
              <w:rPr>
                <w:sz w:val="22"/>
                <w:szCs w:val="22"/>
                <w:color w:val="auto"/>
              </w:rPr>
            </w:pPr>
          </w:p>
        </w:tc>
      </w:tr>
      <w:tr>
        <w:trPr>
          <w:trHeight w:val="210"/>
        </w:trPr>
        <w:tc>
          <w:tcPr>
            <w:tcW w:w="46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3"/>
        </w:trPr>
        <w:tc>
          <w:tcPr>
            <w:tcW w:w="4600" w:type="dxa"/>
            <w:vAlign w:val="bottom"/>
          </w:tcPr>
          <w:p>
            <w:pPr>
              <w:spacing w:after="0"/>
              <w:rPr>
                <w:sz w:val="20"/>
                <w:szCs w:val="20"/>
                <w:color w:val="auto"/>
              </w:rPr>
            </w:pPr>
            <w:r>
              <w:rPr>
                <w:rFonts w:ascii="Arial" w:cs="Arial" w:eastAsia="Arial" w:hAnsi="Arial"/>
                <w:sz w:val="18"/>
                <w:szCs w:val="18"/>
                <w:color w:val="auto"/>
              </w:rPr>
              <w:t>December 31, 2019</w:t>
            </w:r>
          </w:p>
        </w:tc>
        <w:tc>
          <w:tcPr>
            <w:tcW w:w="1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Investment securities available for sale:</w:t>
            </w:r>
          </w:p>
        </w:tc>
        <w:tc>
          <w:tcPr>
            <w:tcW w:w="1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4600" w:type="dxa"/>
            <w:vAlign w:val="bottom"/>
          </w:tcPr>
          <w:p>
            <w:pPr>
              <w:spacing w:after="0"/>
              <w:rPr>
                <w:sz w:val="20"/>
                <w:szCs w:val="20"/>
                <w:color w:val="auto"/>
              </w:rPr>
            </w:pPr>
            <w:r>
              <w:rPr>
                <w:rFonts w:ascii="Arial" w:cs="Arial" w:eastAsia="Arial" w:hAnsi="Arial"/>
                <w:sz w:val="18"/>
                <w:szCs w:val="18"/>
                <w:color w:val="auto"/>
              </w:rPr>
              <w:t>U.S. Treasury and federal agencies</w:t>
            </w:r>
          </w:p>
        </w:tc>
        <w:tc>
          <w:tcPr>
            <w:tcW w:w="144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1,406</w:t>
            </w:r>
          </w:p>
        </w:tc>
        <w:tc>
          <w:tcPr>
            <w:tcW w:w="360" w:type="dxa"/>
            <w:vAlign w:val="bottom"/>
          </w:tcPr>
          <w:p>
            <w:pPr>
              <w:spacing w:after="0"/>
              <w:rPr>
                <w:sz w:val="21"/>
                <w:szCs w:val="21"/>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2,893</w:t>
            </w:r>
          </w:p>
        </w:tc>
        <w:tc>
          <w:tcPr>
            <w:tcW w:w="360" w:type="dxa"/>
            <w:vAlign w:val="bottom"/>
          </w:tcPr>
          <w:p>
            <w:pPr>
              <w:spacing w:after="0"/>
              <w:rPr>
                <w:sz w:val="21"/>
                <w:szCs w:val="21"/>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r>
      <w:tr>
        <w:trPr>
          <w:trHeight w:val="243"/>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Obligations of states and political subdivisions</w:t>
            </w:r>
          </w:p>
        </w:tc>
        <w:tc>
          <w:tcPr>
            <w:tcW w:w="1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1700" w:type="dxa"/>
            <w:vAlign w:val="bottom"/>
            <w:gridSpan w:val="3"/>
            <w:shd w:val="clear" w:color="auto" w:fill="CFF0FC"/>
          </w:tcPr>
          <w:p>
            <w:pPr>
              <w:jc w:val="right"/>
              <w:ind w:right="6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w:t>
            </w:r>
          </w:p>
        </w:tc>
        <w:tc>
          <w:tcPr>
            <w:tcW w:w="36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w:t>
            </w:r>
          </w:p>
        </w:tc>
      </w:tr>
      <w:tr>
        <w:trPr>
          <w:trHeight w:val="243"/>
        </w:trPr>
        <w:tc>
          <w:tcPr>
            <w:tcW w:w="460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1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Government issued or guaranteed</w:t>
            </w:r>
          </w:p>
        </w:tc>
        <w:tc>
          <w:tcPr>
            <w:tcW w:w="1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117,299</w:t>
            </w:r>
          </w:p>
        </w:tc>
        <w:tc>
          <w:tcPr>
            <w:tcW w:w="36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(222)</w:t>
            </w:r>
          </w:p>
        </w:tc>
        <w:tc>
          <w:tcPr>
            <w:tcW w:w="28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2,002,364</w:t>
            </w:r>
          </w:p>
        </w:tc>
        <w:tc>
          <w:tcPr>
            <w:tcW w:w="36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(21,385)</w:t>
            </w:r>
          </w:p>
        </w:tc>
      </w:tr>
      <w:tr>
        <w:trPr>
          <w:trHeight w:val="243"/>
        </w:trPr>
        <w:tc>
          <w:tcPr>
            <w:tcW w:w="4600" w:type="dxa"/>
            <w:vAlign w:val="bottom"/>
          </w:tcPr>
          <w:p>
            <w:pPr>
              <w:spacing w:after="0"/>
              <w:rPr>
                <w:sz w:val="20"/>
                <w:szCs w:val="20"/>
                <w:color w:val="auto"/>
              </w:rPr>
            </w:pPr>
            <w:r>
              <w:rPr>
                <w:rFonts w:ascii="Arial" w:cs="Arial" w:eastAsia="Arial" w:hAnsi="Arial"/>
                <w:sz w:val="18"/>
                <w:szCs w:val="18"/>
                <w:color w:val="auto"/>
              </w:rPr>
              <w:t>Other debt securities</w:t>
            </w:r>
          </w:p>
        </w:tc>
        <w:tc>
          <w:tcPr>
            <w:tcW w:w="1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6,600</w:t>
            </w:r>
          </w:p>
        </w:tc>
        <w:tc>
          <w:tcPr>
            <w:tcW w:w="360" w:type="dxa"/>
            <w:vAlign w:val="bottom"/>
          </w:tcPr>
          <w:p>
            <w:pPr>
              <w:spacing w:after="0"/>
              <w:rPr>
                <w:sz w:val="21"/>
                <w:szCs w:val="21"/>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(354)</w:t>
            </w: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56,313</w:t>
            </w:r>
          </w:p>
        </w:tc>
        <w:tc>
          <w:tcPr>
            <w:tcW w:w="360" w:type="dxa"/>
            <w:vAlign w:val="bottom"/>
          </w:tcPr>
          <w:p>
            <w:pPr>
              <w:spacing w:after="0"/>
              <w:rPr>
                <w:sz w:val="21"/>
                <w:szCs w:val="21"/>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(8,243)</w:t>
            </w:r>
          </w:p>
        </w:tc>
      </w:tr>
      <w:tr>
        <w:trPr>
          <w:trHeight w:val="20"/>
        </w:trPr>
        <w:tc>
          <w:tcPr>
            <w:tcW w:w="4600" w:type="dxa"/>
            <w:vAlign w:val="bottom"/>
            <w:shd w:val="clear" w:color="auto" w:fill="CFF0FC"/>
          </w:tcPr>
          <w:p>
            <w:pPr>
              <w:spacing w:after="0" w:line="20" w:lineRule="exact"/>
              <w:rPr>
                <w:sz w:val="1"/>
                <w:szCs w:val="1"/>
                <w:color w:val="auto"/>
              </w:rPr>
            </w:pPr>
          </w:p>
        </w:tc>
        <w:tc>
          <w:tcPr>
            <w:tcW w:w="1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460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125,305</w:t>
            </w:r>
          </w:p>
        </w:tc>
        <w:tc>
          <w:tcPr>
            <w:tcW w:w="36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(583)</w:t>
            </w:r>
          </w:p>
        </w:tc>
        <w:tc>
          <w:tcPr>
            <w:tcW w:w="28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2,061,847</w:t>
            </w:r>
          </w:p>
        </w:tc>
        <w:tc>
          <w:tcPr>
            <w:tcW w:w="36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(29,640)</w:t>
            </w:r>
          </w:p>
        </w:tc>
      </w:tr>
      <w:tr>
        <w:trPr>
          <w:trHeight w:val="236"/>
        </w:trPr>
        <w:tc>
          <w:tcPr>
            <w:tcW w:w="4600" w:type="dxa"/>
            <w:vAlign w:val="bottom"/>
          </w:tcPr>
          <w:p>
            <w:pPr>
              <w:spacing w:after="0"/>
              <w:rPr>
                <w:sz w:val="20"/>
                <w:szCs w:val="20"/>
                <w:color w:val="auto"/>
              </w:rPr>
            </w:pPr>
            <w:r>
              <w:rPr>
                <w:rFonts w:ascii="Arial" w:cs="Arial" w:eastAsia="Arial" w:hAnsi="Arial"/>
                <w:sz w:val="18"/>
                <w:szCs w:val="18"/>
                <w:color w:val="auto"/>
              </w:rPr>
              <w:t>Investment securities held to maturity:</w:t>
            </w:r>
          </w:p>
        </w:tc>
        <w:tc>
          <w:tcPr>
            <w:tcW w:w="12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w:t>
            </w:r>
          </w:p>
        </w:tc>
        <w:tc>
          <w:tcPr>
            <w:tcW w:w="1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4600" w:type="dxa"/>
            <w:vAlign w:val="bottom"/>
          </w:tcPr>
          <w:p>
            <w:pPr>
              <w:ind w:left="260"/>
              <w:spacing w:after="0"/>
              <w:rPr>
                <w:sz w:val="20"/>
                <w:szCs w:val="20"/>
                <w:color w:val="auto"/>
              </w:rPr>
            </w:pPr>
            <w:r>
              <w:rPr>
                <w:rFonts w:ascii="Arial" w:cs="Arial" w:eastAsia="Arial" w:hAnsi="Arial"/>
                <w:sz w:val="18"/>
                <w:szCs w:val="18"/>
                <w:color w:val="auto"/>
              </w:rPr>
              <w:t>Government issued or guaranteed</w:t>
            </w:r>
          </w:p>
        </w:tc>
        <w:tc>
          <w:tcPr>
            <w:tcW w:w="1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2,727</w:t>
            </w:r>
          </w:p>
        </w:tc>
        <w:tc>
          <w:tcPr>
            <w:tcW w:w="360" w:type="dxa"/>
            <w:vAlign w:val="bottom"/>
          </w:tcPr>
          <w:p>
            <w:pPr>
              <w:spacing w:after="0"/>
              <w:rPr>
                <w:sz w:val="21"/>
                <w:szCs w:val="21"/>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145,235</w:t>
            </w:r>
          </w:p>
        </w:tc>
        <w:tc>
          <w:tcPr>
            <w:tcW w:w="360" w:type="dxa"/>
            <w:vAlign w:val="bottom"/>
          </w:tcPr>
          <w:p>
            <w:pPr>
              <w:spacing w:after="0"/>
              <w:rPr>
                <w:sz w:val="21"/>
                <w:szCs w:val="21"/>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(1,987)</w:t>
            </w:r>
          </w:p>
        </w:tc>
      </w:tr>
      <w:tr>
        <w:trPr>
          <w:trHeight w:val="243"/>
        </w:trPr>
        <w:tc>
          <w:tcPr>
            <w:tcW w:w="4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Privately issued</w:t>
            </w:r>
          </w:p>
        </w:tc>
        <w:tc>
          <w:tcPr>
            <w:tcW w:w="1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49,656</w:t>
            </w:r>
          </w:p>
        </w:tc>
        <w:tc>
          <w:tcPr>
            <w:tcW w:w="36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(18,181)</w:t>
            </w:r>
          </w:p>
        </w:tc>
      </w:tr>
      <w:tr>
        <w:trPr>
          <w:trHeight w:val="20"/>
        </w:trPr>
        <w:tc>
          <w:tcPr>
            <w:tcW w:w="4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46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2,727</w:t>
            </w:r>
          </w:p>
        </w:tc>
        <w:tc>
          <w:tcPr>
            <w:tcW w:w="360" w:type="dxa"/>
            <w:vAlign w:val="bottom"/>
          </w:tcPr>
          <w:p>
            <w:pPr>
              <w:spacing w:after="0"/>
              <w:rPr>
                <w:sz w:val="20"/>
                <w:szCs w:val="20"/>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194,891</w:t>
            </w:r>
          </w:p>
        </w:tc>
        <w:tc>
          <w:tcPr>
            <w:tcW w:w="36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(20,168)</w:t>
            </w:r>
          </w:p>
        </w:tc>
      </w:tr>
      <w:tr>
        <w:trPr>
          <w:trHeight w:val="20"/>
        </w:trPr>
        <w:tc>
          <w:tcPr>
            <w:tcW w:w="4600" w:type="dxa"/>
            <w:vAlign w:val="bottom"/>
            <w:shd w:val="clear" w:color="auto" w:fill="CFF0FC"/>
          </w:tcPr>
          <w:p>
            <w:pPr>
              <w:spacing w:after="0" w:line="20" w:lineRule="exact"/>
              <w:rPr>
                <w:sz w:val="1"/>
                <w:szCs w:val="1"/>
                <w:color w:val="auto"/>
              </w:rPr>
            </w:pPr>
          </w:p>
        </w:tc>
        <w:tc>
          <w:tcPr>
            <w:tcW w:w="1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144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128,032</w:t>
            </w:r>
          </w:p>
        </w:tc>
        <w:tc>
          <w:tcPr>
            <w:tcW w:w="36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(588)</w:t>
            </w:r>
          </w:p>
        </w:tc>
        <w:tc>
          <w:tcPr>
            <w:tcW w:w="28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2,256,738</w:t>
            </w:r>
          </w:p>
        </w:tc>
        <w:tc>
          <w:tcPr>
            <w:tcW w:w="36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(49,808)</w:t>
            </w:r>
          </w:p>
        </w:tc>
      </w:tr>
      <w:tr>
        <w:trPr>
          <w:trHeight w:val="20"/>
        </w:trPr>
        <w:tc>
          <w:tcPr>
            <w:tcW w:w="4600" w:type="dxa"/>
            <w:vAlign w:val="bottom"/>
            <w:tcBorders>
              <w:top w:val="single" w:sz="8" w:color="CFF0FC"/>
            </w:tcBorders>
          </w:tcPr>
          <w:p>
            <w:pPr>
              <w:spacing w:after="0" w:line="20" w:lineRule="exact"/>
              <w:rPr>
                <w:sz w:val="1"/>
                <w:szCs w:val="1"/>
                <w:color w:val="auto"/>
              </w:rPr>
            </w:pPr>
          </w:p>
        </w:tc>
        <w:tc>
          <w:tcPr>
            <w:tcW w:w="12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510"/>
        <w:spacing w:after="0" w:line="245" w:lineRule="auto"/>
        <w:rPr>
          <w:sz w:val="20"/>
          <w:szCs w:val="20"/>
          <w:color w:val="auto"/>
        </w:rPr>
      </w:pPr>
      <w:r>
        <w:rPr>
          <w:rFonts w:ascii="Arial" w:cs="Arial" w:eastAsia="Arial" w:hAnsi="Arial"/>
          <w:sz w:val="21"/>
          <w:szCs w:val="21"/>
          <w:color w:val="auto"/>
        </w:rPr>
        <w:t>The Company owned 364 individual debt securities with aggregate gross unrealized losses of $40 million at March 31, 2020. Based on a review of each of the securities in the investment securities portfolio at March 31, 2020, the Company concluded that it expected to recover the amortized cost basis of its investment. As of March 31, 2020, the Company does not intend to sell nor is it anticipated that it would be required to sell any of its impaired investment securities at a loss. At March 31, 2020, the Company has not identified events or changes in circumstances which may have a significant adverse effect on the fair value of the $382 million of cost method equity securities.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NOTES TO FINANCIAL STATEMENTS, CONTINUED</w:t>
      </w:r>
    </w:p>
    <w:p>
      <w:pPr>
        <w:spacing w:after="0" w:line="21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2. Investment securities, continued</w:t>
      </w:r>
    </w:p>
    <w:p>
      <w:pPr>
        <w:spacing w:after="0" w:line="115" w:lineRule="exact"/>
        <w:rPr>
          <w:sz w:val="20"/>
          <w:szCs w:val="20"/>
          <w:color w:val="auto"/>
        </w:rPr>
      </w:pPr>
    </w:p>
    <w:p>
      <w:pPr>
        <w:jc w:val="both"/>
        <w:ind w:firstLine="562"/>
        <w:spacing w:after="0" w:line="279" w:lineRule="auto"/>
        <w:rPr>
          <w:sz w:val="20"/>
          <w:szCs w:val="20"/>
          <w:color w:val="auto"/>
        </w:rPr>
      </w:pPr>
      <w:r>
        <w:rPr>
          <w:rFonts w:ascii="Arial" w:cs="Arial" w:eastAsia="Arial" w:hAnsi="Arial"/>
          <w:sz w:val="19"/>
          <w:szCs w:val="19"/>
          <w:color w:val="auto"/>
        </w:rPr>
        <w:t>As described in notes 3 and 15, on January 1, 2020 the Company adopted amended accounting guidance that requires an allowance for credit losses be deducted from the amortized cost basis of financial assets, including investment securities held to maturity, to present their net carrying value that is expected to be collected over their contractual term. The Company estimated no material allowance for credit losses for its investment securities classified as held-to-maturity at January 1, 2020 or March 31, 2020 as the substantial majority of such investment securities are obligations backed by the U.S. government or its agencies.</w:t>
      </w:r>
    </w:p>
    <w:p>
      <w:pPr>
        <w:spacing w:after="0" w:line="15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3. Loans and leases and the allowance for credit losses</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20"/>
          <w:szCs w:val="20"/>
          <w:color w:val="auto"/>
        </w:rPr>
        <w:t>Effective January 1, 2020 the Company adopted amended accounting guidance which requires an allowance for credit losses be deducted from the amortized cost basis of financial assets to present the net carrying value that is expected to be collected over their contractual term considering relevant information about past events, current conditions, and reasonable and supportable forecasts that affect the collectibility of the reported amount. The amended guidance also requires recording an allowance for credit losses for purchased financial assets with a more-than-insignificant amount of credit deterioration since origination. The initial allowance for these assets will be added to the purchase price at acquisition rather than being reported as an expense. Subsequent changes in the allowance will be recorded in the income statement as an adjustment to the provision for credit losses. The new guidance replaced the previous incurred loss model for determining the allowance for credit losses. The adoption resulted in a $132 million increase in the allowance for credit losses at January 1, 2020. Prior to January 1, 2020, the Company generally recognized the excess of cash flows expected at acquisition over the estimated fair value of the acquired loans as interest income over the remaining lives of such loans regardless of the borrowers’ repayment status. Effective with the adoption of the new accounting standard, the Company’s nonaccrual loan policy now applies to loans acquired at a discount. That change added $171 million to nonaccrual loans as of the January 1, 2020 adoption date.</w:t>
      </w:r>
    </w:p>
    <w:p>
      <w:pPr>
        <w:spacing w:after="0" w:line="74"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Past due and nonaccrual loans</w:t>
      </w:r>
    </w:p>
    <w:p>
      <w:pPr>
        <w:spacing w:after="0" w:line="109" w:lineRule="exact"/>
        <w:rPr>
          <w:sz w:val="20"/>
          <w:szCs w:val="20"/>
          <w:color w:val="auto"/>
        </w:rPr>
      </w:pPr>
    </w:p>
    <w:p>
      <w:pPr>
        <w:spacing w:after="0"/>
        <w:rPr>
          <w:sz w:val="20"/>
          <w:szCs w:val="20"/>
          <w:color w:val="auto"/>
        </w:rPr>
      </w:pPr>
      <w:r>
        <w:rPr>
          <w:rFonts w:ascii="Arial" w:cs="Arial" w:eastAsia="Arial" w:hAnsi="Arial"/>
          <w:sz w:val="21"/>
          <w:szCs w:val="21"/>
          <w:color w:val="auto"/>
        </w:rPr>
        <w:t>A summary of current, past due and nonaccrual loans as of March 31, 2020 and December 31, 2019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Accruing</w:t>
            </w: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Loans Past</w:t>
            </w:r>
          </w:p>
        </w:tc>
        <w:tc>
          <w:tcPr>
            <w:tcW w:w="10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0"/>
              </w:rPr>
              <w:t>30-89 Days</w:t>
            </w:r>
          </w:p>
        </w:tc>
        <w:tc>
          <w:tcPr>
            <w:tcW w:w="14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Due 90</w:t>
            </w:r>
          </w:p>
        </w:tc>
        <w:tc>
          <w:tcPr>
            <w:tcW w:w="10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Current</w:t>
            </w:r>
          </w:p>
        </w:tc>
        <w:tc>
          <w:tcPr>
            <w:tcW w:w="1400" w:type="dxa"/>
            <w:vAlign w:val="bottom"/>
            <w:gridSpan w:val="2"/>
            <w:vMerge w:val="continue"/>
          </w:tcPr>
          <w:p>
            <w:pPr>
              <w:spacing w:after="0"/>
              <w:rPr>
                <w:sz w:val="12"/>
                <w:szCs w:val="12"/>
                <w:color w:val="auto"/>
              </w:rPr>
            </w:pPr>
          </w:p>
        </w:tc>
        <w:tc>
          <w:tcPr>
            <w:tcW w:w="14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Days or</w:t>
            </w:r>
          </w:p>
        </w:tc>
        <w:tc>
          <w:tcPr>
            <w:tcW w:w="14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Nonaccrual</w:t>
            </w:r>
          </w:p>
        </w:tc>
        <w:tc>
          <w:tcPr>
            <w:tcW w:w="160" w:type="dxa"/>
            <w:vAlign w:val="bottom"/>
          </w:tcPr>
          <w:p>
            <w:pPr>
              <w:spacing w:after="0"/>
              <w:rPr>
                <w:sz w:val="12"/>
                <w:szCs w:val="12"/>
                <w:color w:val="auto"/>
              </w:rPr>
            </w:pPr>
          </w:p>
        </w:tc>
        <w:tc>
          <w:tcPr>
            <w:tcW w:w="10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Past Due</w:t>
            </w:r>
          </w:p>
        </w:tc>
        <w:tc>
          <w:tcPr>
            <w:tcW w:w="14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More</w:t>
            </w:r>
          </w:p>
        </w:tc>
        <w:tc>
          <w:tcPr>
            <w:tcW w:w="14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3"/>
              </w:rPr>
              <w:t>(In thousands)</w:t>
            </w:r>
          </w:p>
        </w:tc>
        <w:tc>
          <w:tcPr>
            <w:tcW w:w="106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March 31, 2020</w:t>
            </w:r>
          </w:p>
        </w:tc>
        <w:tc>
          <w:tcPr>
            <w:tcW w:w="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tcPr>
          <w:p>
            <w:pPr>
              <w:spacing w:after="0"/>
              <w:rPr>
                <w:sz w:val="20"/>
                <w:szCs w:val="20"/>
                <w:color w:val="auto"/>
              </w:rPr>
            </w:pPr>
            <w:r>
              <w:rPr>
                <w:rFonts w:ascii="Arial" w:cs="Arial" w:eastAsia="Arial" w:hAnsi="Arial"/>
                <w:sz w:val="18"/>
                <w:szCs w:val="18"/>
                <w:color w:val="auto"/>
              </w:rPr>
              <w:t>Commercial, financial, leasing, etc.</w:t>
            </w:r>
          </w:p>
        </w:tc>
        <w:tc>
          <w:tcPr>
            <w:tcW w:w="9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25,727,500</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219,577</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9,924</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286,647</w:t>
            </w:r>
          </w:p>
        </w:tc>
        <w:tc>
          <w:tcPr>
            <w:tcW w:w="34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7"/>
              </w:rPr>
              <w:t>26,243,648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Real estate:</w:t>
            </w:r>
          </w:p>
        </w:tc>
        <w:tc>
          <w:tcPr>
            <w:tcW w:w="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tcPr>
          <w:p>
            <w:pPr>
              <w:ind w:left="260"/>
              <w:spacing w:after="0"/>
              <w:rPr>
                <w:sz w:val="20"/>
                <w:szCs w:val="20"/>
                <w:color w:val="auto"/>
              </w:rPr>
            </w:pPr>
            <w:r>
              <w:rPr>
                <w:rFonts w:ascii="Arial" w:cs="Arial" w:eastAsia="Arial" w:hAnsi="Arial"/>
                <w:sz w:val="18"/>
                <w:szCs w:val="18"/>
                <w:color w:val="auto"/>
              </w:rPr>
              <w:t>Commercial</w:t>
            </w: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27,148,337</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185,572</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35,103</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188,469</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27,557,481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Residential builder and developer</w:t>
            </w:r>
          </w:p>
        </w:tc>
        <w:tc>
          <w:tcPr>
            <w:tcW w:w="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1,426,646</w:t>
            </w:r>
          </w:p>
        </w:tc>
        <w:tc>
          <w:tcPr>
            <w:tcW w:w="3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36,607</w:t>
            </w: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4,204</w:t>
            </w:r>
          </w:p>
        </w:tc>
        <w:tc>
          <w:tcPr>
            <w:tcW w:w="3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3,204</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1,470,661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tcPr>
          <w:p>
            <w:pPr>
              <w:ind w:left="260"/>
              <w:spacing w:after="0"/>
              <w:rPr>
                <w:sz w:val="20"/>
                <w:szCs w:val="20"/>
                <w:color w:val="auto"/>
              </w:rPr>
            </w:pPr>
            <w:r>
              <w:rPr>
                <w:rFonts w:ascii="Arial" w:cs="Arial" w:eastAsia="Arial" w:hAnsi="Arial"/>
                <w:sz w:val="18"/>
                <w:szCs w:val="18"/>
                <w:color w:val="auto"/>
              </w:rPr>
              <w:t>Other commercial construction</w:t>
            </w: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7,427,735</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191,193</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2,101</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34,935</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7,655,964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Residential</w:t>
            </w:r>
          </w:p>
        </w:tc>
        <w:tc>
          <w:tcPr>
            <w:tcW w:w="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12,414,544</w:t>
            </w:r>
          </w:p>
        </w:tc>
        <w:tc>
          <w:tcPr>
            <w:tcW w:w="3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499,077</w:t>
            </w: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474,016</w:t>
            </w:r>
          </w:p>
        </w:tc>
        <w:tc>
          <w:tcPr>
            <w:tcW w:w="3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293,638</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13,681,275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tcPr>
          <w:p>
            <w:pPr>
              <w:ind w:left="260"/>
              <w:spacing w:after="0"/>
              <w:rPr>
                <w:sz w:val="20"/>
                <w:szCs w:val="20"/>
                <w:color w:val="auto"/>
              </w:rPr>
            </w:pPr>
            <w:r>
              <w:rPr>
                <w:rFonts w:ascii="Arial" w:cs="Arial" w:eastAsia="Arial" w:hAnsi="Arial"/>
                <w:sz w:val="18"/>
                <w:szCs w:val="18"/>
                <w:color w:val="auto"/>
              </w:rPr>
              <w:t>Residential — limited documentation</w:t>
            </w: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1,755,197</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87,225</w:t>
            </w:r>
          </w:p>
        </w:tc>
        <w:tc>
          <w:tcPr>
            <w:tcW w:w="320" w:type="dxa"/>
            <w:vAlign w:val="bottom"/>
          </w:tcPr>
          <w:p>
            <w:pPr>
              <w:spacing w:after="0"/>
              <w:rPr>
                <w:sz w:val="19"/>
                <w:szCs w:val="19"/>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119,317</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1,961,739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Consumer:</w:t>
            </w:r>
          </w:p>
        </w:tc>
        <w:tc>
          <w:tcPr>
            <w:tcW w:w="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tcPr>
          <w:p>
            <w:pPr>
              <w:ind w:left="260"/>
              <w:spacing w:after="0"/>
              <w:rPr>
                <w:sz w:val="20"/>
                <w:szCs w:val="20"/>
                <w:color w:val="auto"/>
              </w:rPr>
            </w:pPr>
            <w:r>
              <w:rPr>
                <w:rFonts w:ascii="Arial" w:cs="Arial" w:eastAsia="Arial" w:hAnsi="Arial"/>
                <w:sz w:val="18"/>
                <w:szCs w:val="18"/>
                <w:color w:val="auto"/>
              </w:rPr>
              <w:t>Home equity lines and loans</w:t>
            </w: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4,287,438</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30,396</w:t>
            </w:r>
          </w:p>
        </w:tc>
        <w:tc>
          <w:tcPr>
            <w:tcW w:w="320" w:type="dxa"/>
            <w:vAlign w:val="bottom"/>
          </w:tcPr>
          <w:p>
            <w:pPr>
              <w:spacing w:after="0"/>
              <w:rPr>
                <w:sz w:val="19"/>
                <w:szCs w:val="19"/>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63,071</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4,380,905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Recreational finance</w:t>
            </w:r>
          </w:p>
        </w:tc>
        <w:tc>
          <w:tcPr>
            <w:tcW w:w="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5,778,723</w:t>
            </w:r>
          </w:p>
        </w:tc>
        <w:tc>
          <w:tcPr>
            <w:tcW w:w="3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35,559</w:t>
            </w:r>
          </w:p>
        </w:tc>
        <w:tc>
          <w:tcPr>
            <w:tcW w:w="3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13,405</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5,827,687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tcPr>
          <w:p>
            <w:pPr>
              <w:ind w:left="260"/>
              <w:spacing w:after="0"/>
              <w:rPr>
                <w:sz w:val="20"/>
                <w:szCs w:val="20"/>
                <w:color w:val="auto"/>
              </w:rPr>
            </w:pPr>
            <w:r>
              <w:rPr>
                <w:rFonts w:ascii="Arial" w:cs="Arial" w:eastAsia="Arial" w:hAnsi="Arial"/>
                <w:sz w:val="18"/>
                <w:szCs w:val="18"/>
                <w:color w:val="auto"/>
              </w:rPr>
              <w:t>Automobile</w:t>
            </w: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3,843,504</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65,585</w:t>
            </w:r>
          </w:p>
        </w:tc>
        <w:tc>
          <w:tcPr>
            <w:tcW w:w="320" w:type="dxa"/>
            <w:vAlign w:val="bottom"/>
          </w:tcPr>
          <w:p>
            <w:pPr>
              <w:spacing w:after="0"/>
              <w:rPr>
                <w:sz w:val="19"/>
                <w:szCs w:val="19"/>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19,251</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3,928,340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7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1,374,200</w:t>
            </w:r>
          </w:p>
        </w:tc>
        <w:tc>
          <w:tcPr>
            <w:tcW w:w="340" w:type="dxa"/>
            <w:vAlign w:val="bottom"/>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15,595</w:t>
            </w:r>
          </w:p>
        </w:tc>
        <w:tc>
          <w:tcPr>
            <w:tcW w:w="320" w:type="dxa"/>
            <w:vAlign w:val="bottom"/>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4,969</w:t>
            </w:r>
          </w:p>
        </w:tc>
        <w:tc>
          <w:tcPr>
            <w:tcW w:w="340" w:type="dxa"/>
            <w:vAlign w:val="bottom"/>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39,811</w:t>
            </w:r>
          </w:p>
        </w:tc>
        <w:tc>
          <w:tcPr>
            <w:tcW w:w="3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1,434,575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00" w:type="dxa"/>
            <w:vAlign w:val="bottom"/>
          </w:tcPr>
          <w:p>
            <w:pPr>
              <w:spacing w:after="0"/>
              <w:rPr>
                <w:sz w:val="20"/>
                <w:szCs w:val="20"/>
                <w:color w:val="auto"/>
              </w:rPr>
            </w:pPr>
            <w:r>
              <w:rPr>
                <w:rFonts w:ascii="Arial" w:cs="Arial" w:eastAsia="Arial" w:hAnsi="Arial"/>
                <w:sz w:val="18"/>
                <w:szCs w:val="18"/>
                <w:color w:val="auto"/>
              </w:rPr>
              <w:t>Total</w:t>
            </w:r>
          </w:p>
        </w:tc>
        <w:tc>
          <w:tcPr>
            <w:tcW w:w="76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91,183,824</w:t>
            </w:r>
          </w:p>
        </w:tc>
        <w:tc>
          <w:tcPr>
            <w:tcW w:w="34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1,366,386</w:t>
            </w:r>
          </w:p>
        </w:tc>
        <w:tc>
          <w:tcPr>
            <w:tcW w:w="32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530,317</w:t>
            </w:r>
          </w:p>
        </w:tc>
        <w:tc>
          <w:tcPr>
            <w:tcW w:w="34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1,061,748</w:t>
            </w:r>
          </w:p>
        </w:tc>
        <w:tc>
          <w:tcPr>
            <w:tcW w:w="34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94,142,275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NOTES TO FINANCIAL STATEMENTS, CONTINUED</w:t>
      </w:r>
    </w:p>
    <w:p>
      <w:pPr>
        <w:spacing w:after="0" w:line="21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3. Loans and leases and the allowance for credit losses, continued</w:t>
      </w:r>
    </w:p>
    <w:tbl>
      <w:tblPr>
        <w:tblLayout w:type="fixed"/>
        <w:tblInd w:w="0" w:type="dxa"/>
        <w:tblCellMar>
          <w:top w:w="0" w:type="dxa"/>
          <w:left w:w="0" w:type="dxa"/>
          <w:bottom w:w="0" w:type="dxa"/>
          <w:right w:w="0" w:type="dxa"/>
        </w:tblCellMar>
      </w:tblPr>
      <w:tr>
        <w:trPr>
          <w:trHeight w:val="160"/>
        </w:trPr>
        <w:tc>
          <w:tcPr>
            <w:tcW w:w="34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gridSpan w:val="2"/>
          </w:tcPr>
          <w:p>
            <w:pPr>
              <w:jc w:val="center"/>
              <w:ind w:right="300"/>
              <w:spacing w:after="0" w:line="160" w:lineRule="exact"/>
              <w:rPr>
                <w:sz w:val="20"/>
                <w:szCs w:val="20"/>
                <w:color w:val="auto"/>
              </w:rPr>
            </w:pPr>
            <w:r>
              <w:rPr>
                <w:rFonts w:ascii="Arial" w:cs="Arial" w:eastAsia="Arial" w:hAnsi="Arial"/>
                <w:sz w:val="14"/>
                <w:szCs w:val="14"/>
                <w:b w:val="1"/>
                <w:bCs w:val="1"/>
                <w:color w:val="auto"/>
                <w:w w:val="92"/>
              </w:rPr>
              <w:t>Accruing</w:t>
            </w: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Accruing</w:t>
            </w:r>
          </w:p>
        </w:tc>
        <w:tc>
          <w:tcPr>
            <w:tcW w:w="28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Loans</w:t>
            </w: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Acquired at</w:t>
            </w: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Loans Past</w:t>
            </w:r>
          </w:p>
        </w:tc>
        <w:tc>
          <w:tcPr>
            <w:tcW w:w="28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a Discount</w:t>
            </w: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30-89 Days</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Due 90</w:t>
            </w:r>
          </w:p>
        </w:tc>
        <w:tc>
          <w:tcPr>
            <w:tcW w:w="28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Past Due</w:t>
            </w:r>
          </w:p>
        </w:tc>
        <w:tc>
          <w:tcPr>
            <w:tcW w:w="10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Purchased</w:t>
            </w: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80" w:type="dxa"/>
            <w:vAlign w:val="bottom"/>
          </w:tcPr>
          <w:p>
            <w:pPr>
              <w:spacing w:after="0"/>
              <w:rPr>
                <w:sz w:val="12"/>
                <w:szCs w:val="12"/>
                <w:color w:val="auto"/>
              </w:rPr>
            </w:pPr>
          </w:p>
        </w:tc>
        <w:tc>
          <w:tcPr>
            <w:tcW w:w="12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Current</w:t>
            </w:r>
          </w:p>
        </w:tc>
        <w:tc>
          <w:tcPr>
            <w:tcW w:w="1140" w:type="dxa"/>
            <w:vAlign w:val="bottom"/>
            <w:gridSpan w:val="2"/>
            <w:vMerge w:val="continue"/>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Days or</w:t>
            </w:r>
          </w:p>
        </w:tc>
        <w:tc>
          <w:tcPr>
            <w:tcW w:w="28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90 days</w:t>
            </w:r>
          </w:p>
        </w:tc>
        <w:tc>
          <w:tcPr>
            <w:tcW w:w="1080" w:type="dxa"/>
            <w:vAlign w:val="bottom"/>
            <w:gridSpan w:val="2"/>
            <w:vMerge w:val="continue"/>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Nonaccrual</w:t>
            </w:r>
          </w:p>
        </w:tc>
        <w:tc>
          <w:tcPr>
            <w:tcW w:w="280" w:type="dxa"/>
            <w:vAlign w:val="bottom"/>
          </w:tcPr>
          <w:p>
            <w:pPr>
              <w:spacing w:after="0"/>
              <w:rPr>
                <w:sz w:val="12"/>
                <w:szCs w:val="12"/>
                <w:color w:val="auto"/>
              </w:rPr>
            </w:pPr>
          </w:p>
        </w:tc>
        <w:tc>
          <w:tcPr>
            <w:tcW w:w="104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48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Past Due</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9"/>
              </w:rPr>
              <w:t>More (a)</w:t>
            </w:r>
          </w:p>
        </w:tc>
        <w:tc>
          <w:tcPr>
            <w:tcW w:w="28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or More (b)</w:t>
            </w: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Impaired (c)</w:t>
            </w:r>
          </w:p>
        </w:tc>
        <w:tc>
          <w:tcPr>
            <w:tcW w:w="8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480" w:type="dxa"/>
            <w:vAlign w:val="bottom"/>
            <w:vMerge w:val="restart"/>
          </w:tcPr>
          <w:p>
            <w:pPr>
              <w:spacing w:after="0"/>
              <w:rPr>
                <w:sz w:val="20"/>
                <w:szCs w:val="20"/>
                <w:color w:val="auto"/>
              </w:rPr>
            </w:pPr>
            <w:r>
              <w:rPr>
                <w:rFonts w:ascii="Arial" w:cs="Arial" w:eastAsia="Arial" w:hAnsi="Arial"/>
                <w:sz w:val="18"/>
                <w:szCs w:val="18"/>
                <w:color w:val="auto"/>
              </w:rPr>
              <w:t>December 31, 2019</w:t>
            </w:r>
          </w:p>
        </w:tc>
        <w:tc>
          <w:tcPr>
            <w:tcW w:w="94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w w:val="91"/>
              </w:rPr>
              <w:t>(In thousands)</w:t>
            </w:r>
          </w:p>
        </w:tc>
        <w:tc>
          <w:tcPr>
            <w:tcW w:w="8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3480" w:type="dxa"/>
            <w:vAlign w:val="bottom"/>
            <w:vMerge w:val="continue"/>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Commercial, financial, leasing, etc.</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$23,290,797</w:t>
            </w: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184,011</w:t>
            </w: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16,776</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2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346,557</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$23,838,168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80" w:type="dxa"/>
            <w:vAlign w:val="bottom"/>
          </w:tcPr>
          <w:p>
            <w:pPr>
              <w:spacing w:after="0"/>
              <w:rPr>
                <w:sz w:val="20"/>
                <w:szCs w:val="20"/>
                <w:color w:val="auto"/>
              </w:rPr>
            </w:pPr>
            <w:r>
              <w:rPr>
                <w:rFonts w:ascii="Arial" w:cs="Arial" w:eastAsia="Arial" w:hAnsi="Arial"/>
                <w:sz w:val="18"/>
                <w:szCs w:val="18"/>
                <w:color w:val="auto"/>
              </w:rPr>
              <w:t>Real estate:</w:t>
            </w: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26,311,414</w:t>
            </w: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165,579</w:t>
            </w: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6,740</w:t>
            </w:r>
          </w:p>
        </w:tc>
        <w:tc>
          <w:tcPr>
            <w:tcW w:w="2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15,601</w:t>
            </w: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158,474</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26,657,808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80" w:type="dxa"/>
            <w:vAlign w:val="bottom"/>
          </w:tcPr>
          <w:p>
            <w:pPr>
              <w:ind w:left="260"/>
              <w:spacing w:after="0"/>
              <w:rPr>
                <w:sz w:val="20"/>
                <w:szCs w:val="20"/>
                <w:color w:val="auto"/>
              </w:rPr>
            </w:pPr>
            <w:r>
              <w:rPr>
                <w:rFonts w:ascii="Arial" w:cs="Arial" w:eastAsia="Arial" w:hAnsi="Arial"/>
                <w:sz w:val="18"/>
                <w:szCs w:val="18"/>
                <w:color w:val="auto"/>
              </w:rPr>
              <w:t>Residential builder and developer</w:t>
            </w:r>
          </w:p>
        </w:tc>
        <w:tc>
          <w:tcPr>
            <w:tcW w:w="940" w:type="dxa"/>
            <w:vAlign w:val="bottom"/>
          </w:tcPr>
          <w:p>
            <w:pPr>
              <w:jc w:val="right"/>
              <w:spacing w:after="0"/>
              <w:rPr>
                <w:sz w:val="20"/>
                <w:szCs w:val="20"/>
                <w:color w:val="auto"/>
              </w:rPr>
            </w:pPr>
            <w:r>
              <w:rPr>
                <w:rFonts w:ascii="Arial" w:cs="Arial" w:eastAsia="Arial" w:hAnsi="Arial"/>
                <w:sz w:val="18"/>
                <w:szCs w:val="18"/>
                <w:color w:val="auto"/>
              </w:rPr>
              <w:t>1,521,315</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21,195</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753</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3,982</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1,547,245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commercial construction</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7,204,148</w:t>
            </w: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95,346</w:t>
            </w: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3,360</w:t>
            </w:r>
          </w:p>
        </w:tc>
        <w:tc>
          <w:tcPr>
            <w:tcW w:w="2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1,237</w:t>
            </w: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32,770</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7,336,861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80" w:type="dxa"/>
            <w:vAlign w:val="bottom"/>
          </w:tcPr>
          <w:p>
            <w:pPr>
              <w:ind w:left="260"/>
              <w:spacing w:after="0"/>
              <w:rPr>
                <w:sz w:val="20"/>
                <w:szCs w:val="20"/>
                <w:color w:val="auto"/>
              </w:rPr>
            </w:pPr>
            <w:r>
              <w:rPr>
                <w:rFonts w:ascii="Arial" w:cs="Arial" w:eastAsia="Arial" w:hAnsi="Arial"/>
                <w:sz w:val="18"/>
                <w:szCs w:val="18"/>
                <w:color w:val="auto"/>
              </w:rPr>
              <w:t>Residential</w:t>
            </w:r>
          </w:p>
        </w:tc>
        <w:tc>
          <w:tcPr>
            <w:tcW w:w="940" w:type="dxa"/>
            <w:vAlign w:val="bottom"/>
          </w:tcPr>
          <w:p>
            <w:pPr>
              <w:jc w:val="right"/>
              <w:spacing w:after="0"/>
              <w:rPr>
                <w:sz w:val="20"/>
                <w:szCs w:val="20"/>
                <w:color w:val="auto"/>
              </w:rPr>
            </w:pPr>
            <w:r>
              <w:rPr>
                <w:rFonts w:ascii="Arial" w:cs="Arial" w:eastAsia="Arial" w:hAnsi="Arial"/>
                <w:sz w:val="18"/>
                <w:szCs w:val="18"/>
                <w:color w:val="auto"/>
                <w:w w:val="99"/>
              </w:rPr>
              <w:t>12,760,040</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451,274</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486,515</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5,788</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143,145</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235,663</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14,082,425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Residential — limited</w:t>
            </w:r>
          </w:p>
        </w:tc>
        <w:tc>
          <w:tcPr>
            <w:tcW w:w="9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documentation</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1,858,037</w:t>
            </w:r>
          </w:p>
        </w:tc>
        <w:tc>
          <w:tcPr>
            <w:tcW w:w="28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65,215</w:t>
            </w:r>
          </w:p>
        </w:tc>
        <w:tc>
          <w:tcPr>
            <w:tcW w:w="30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w:t>
            </w:r>
          </w:p>
        </w:tc>
        <w:tc>
          <w:tcPr>
            <w:tcW w:w="28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66,809</w:t>
            </w:r>
          </w:p>
        </w:tc>
        <w:tc>
          <w:tcPr>
            <w:tcW w:w="28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83,427</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2,073,669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480" w:type="dxa"/>
            <w:vAlign w:val="bottom"/>
          </w:tcPr>
          <w:p>
            <w:pPr>
              <w:spacing w:after="0"/>
              <w:rPr>
                <w:sz w:val="20"/>
                <w:szCs w:val="20"/>
                <w:color w:val="auto"/>
              </w:rPr>
            </w:pPr>
            <w:r>
              <w:rPr>
                <w:rFonts w:ascii="Arial" w:cs="Arial" w:eastAsia="Arial" w:hAnsi="Arial"/>
                <w:sz w:val="18"/>
                <w:szCs w:val="18"/>
                <w:color w:val="auto"/>
              </w:rPr>
              <w:t>Consumer:</w:t>
            </w: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Home equity lines and loans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4,386,511</w:t>
            </w: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30,229</w:t>
            </w: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1,662</w:t>
            </w:r>
          </w:p>
        </w:tc>
        <w:tc>
          <w:tcPr>
            <w:tcW w:w="2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63,215</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4,481,617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80" w:type="dxa"/>
            <w:vAlign w:val="bottom"/>
          </w:tcPr>
          <w:p>
            <w:pPr>
              <w:ind w:left="260"/>
              <w:spacing w:after="0"/>
              <w:rPr>
                <w:sz w:val="20"/>
                <w:szCs w:val="20"/>
                <w:color w:val="auto"/>
              </w:rPr>
            </w:pPr>
            <w:r>
              <w:rPr>
                <w:rFonts w:ascii="Arial" w:cs="Arial" w:eastAsia="Arial" w:hAnsi="Arial"/>
                <w:sz w:val="18"/>
                <w:szCs w:val="18"/>
                <w:color w:val="auto"/>
              </w:rPr>
              <w:t>Recreational finance</w:t>
            </w:r>
          </w:p>
        </w:tc>
        <w:tc>
          <w:tcPr>
            <w:tcW w:w="940" w:type="dxa"/>
            <w:vAlign w:val="bottom"/>
          </w:tcPr>
          <w:p>
            <w:pPr>
              <w:jc w:val="right"/>
              <w:spacing w:after="0"/>
              <w:rPr>
                <w:sz w:val="20"/>
                <w:szCs w:val="20"/>
                <w:color w:val="auto"/>
              </w:rPr>
            </w:pPr>
            <w:r>
              <w:rPr>
                <w:rFonts w:ascii="Arial" w:cs="Arial" w:eastAsia="Arial" w:hAnsi="Arial"/>
                <w:sz w:val="18"/>
                <w:szCs w:val="18"/>
                <w:color w:val="auto"/>
              </w:rPr>
              <w:t>5,484,997</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36,827</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99</w:t>
            </w:r>
          </w:p>
        </w:tc>
        <w:tc>
          <w:tcPr>
            <w:tcW w:w="280" w:type="dxa"/>
            <w:vAlign w:val="bottom"/>
          </w:tcPr>
          <w:p>
            <w:pPr>
              <w:spacing w:after="0"/>
              <w:rPr>
                <w:sz w:val="19"/>
                <w:szCs w:val="19"/>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14,219</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5,536,142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Automobile</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3,787,221</w:t>
            </w: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78,478</w:t>
            </w: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21,293</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3,886,992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80" w:type="dxa"/>
            <w:vAlign w:val="bottom"/>
          </w:tcPr>
          <w:p>
            <w:pPr>
              <w:ind w:left="260"/>
              <w:spacing w:after="0"/>
              <w:rPr>
                <w:sz w:val="20"/>
                <w:szCs w:val="20"/>
                <w:color w:val="auto"/>
              </w:rPr>
            </w:pPr>
            <w:r>
              <w:rPr>
                <w:rFonts w:ascii="Arial" w:cs="Arial" w:eastAsia="Arial" w:hAnsi="Arial"/>
                <w:sz w:val="18"/>
                <w:szCs w:val="18"/>
                <w:color w:val="auto"/>
              </w:rPr>
              <w:t>Other</w:t>
            </w:r>
          </w:p>
        </w:tc>
        <w:tc>
          <w:tcPr>
            <w:tcW w:w="940" w:type="dxa"/>
            <w:vAlign w:val="bottom"/>
          </w:tcPr>
          <w:p>
            <w:pPr>
              <w:jc w:val="right"/>
              <w:spacing w:after="0"/>
              <w:rPr>
                <w:sz w:val="20"/>
                <w:szCs w:val="20"/>
                <w:color w:val="auto"/>
              </w:rPr>
            </w:pPr>
            <w:r>
              <w:rPr>
                <w:rFonts w:ascii="Arial" w:cs="Arial" w:eastAsia="Arial" w:hAnsi="Arial"/>
                <w:sz w:val="18"/>
                <w:szCs w:val="18"/>
                <w:color w:val="auto"/>
              </w:rPr>
              <w:t>1,395,240</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45,978</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5,156</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32,056</w:t>
            </w:r>
          </w:p>
        </w:tc>
        <w:tc>
          <w:tcPr>
            <w:tcW w:w="280" w:type="dxa"/>
            <w:vAlign w:val="bottom"/>
          </w:tcPr>
          <w:p>
            <w:pPr>
              <w:spacing w:after="0"/>
              <w:rPr>
                <w:sz w:val="19"/>
                <w:szCs w:val="19"/>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3,512</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1,481,942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87,999,720</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1,174,132</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518,728</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39,632</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227,545</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963,112</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90,922,869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60" w:hanging="552"/>
        <w:spacing w:after="0"/>
        <w:tabs>
          <w:tab w:leader="none" w:pos="5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Excludes loans acquired at a discount.</w:t>
      </w:r>
    </w:p>
    <w:p>
      <w:pPr>
        <w:spacing w:after="0" w:line="8" w:lineRule="exact"/>
        <w:rPr>
          <w:rFonts w:ascii="Arial" w:cs="Arial" w:eastAsia="Arial" w:hAnsi="Arial"/>
          <w:sz w:val="18"/>
          <w:szCs w:val="18"/>
          <w:i w:val="1"/>
          <w:iCs w:val="1"/>
          <w:color w:val="auto"/>
        </w:rPr>
      </w:pPr>
    </w:p>
    <w:p>
      <w:pPr>
        <w:ind w:left="560" w:right="20" w:hanging="552"/>
        <w:spacing w:after="0" w:line="250" w:lineRule="auto"/>
        <w:tabs>
          <w:tab w:leader="none" w:pos="5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Loans acquired at a discount that were recorded at fair value at acquisition date. This category does not include purchased impaired loans that are presented separately.</w:t>
      </w:r>
    </w:p>
    <w:p>
      <w:pPr>
        <w:ind w:left="560" w:hanging="552"/>
        <w:spacing w:after="0"/>
        <w:tabs>
          <w:tab w:leader="none" w:pos="5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Accruing loans acquired at a discount that were impaired at acquisition date and recorded at fair value.</w:t>
      </w:r>
    </w:p>
    <w:p>
      <w:pPr>
        <w:spacing w:after="0" w:line="103" w:lineRule="exact"/>
        <w:rPr>
          <w:sz w:val="20"/>
          <w:szCs w:val="20"/>
          <w:color w:val="auto"/>
        </w:rPr>
      </w:pPr>
    </w:p>
    <w:p>
      <w:pPr>
        <w:jc w:val="both"/>
        <w:ind w:firstLine="510"/>
        <w:spacing w:after="0" w:line="252" w:lineRule="auto"/>
        <w:rPr>
          <w:sz w:val="20"/>
          <w:szCs w:val="20"/>
          <w:color w:val="auto"/>
        </w:rPr>
      </w:pPr>
      <w:r>
        <w:rPr>
          <w:rFonts w:ascii="Arial" w:cs="Arial" w:eastAsia="Arial" w:hAnsi="Arial"/>
          <w:sz w:val="21"/>
          <w:szCs w:val="21"/>
          <w:color w:val="auto"/>
        </w:rPr>
        <w:t>One-to-four family residential mortgage loans held for sale were $374 million and $414 million at March 31, 2020 and December 31, 2019, respectively. Commercial real estate loans held for sale were $250 million at March 31, 2020 and $28 million at December 31, 2019.</w:t>
      </w:r>
    </w:p>
    <w:p>
      <w:pPr>
        <w:spacing w:after="0" w:line="183" w:lineRule="exact"/>
        <w:rPr>
          <w:sz w:val="20"/>
          <w:szCs w:val="20"/>
          <w:color w:val="auto"/>
        </w:rPr>
      </w:pPr>
    </w:p>
    <w:p>
      <w:pPr>
        <w:jc w:val="both"/>
        <w:ind w:firstLine="510"/>
        <w:spacing w:after="0" w:line="252" w:lineRule="auto"/>
        <w:rPr>
          <w:sz w:val="20"/>
          <w:szCs w:val="20"/>
          <w:color w:val="auto"/>
        </w:rPr>
      </w:pPr>
      <w:r>
        <w:rPr>
          <w:rFonts w:ascii="Arial" w:cs="Arial" w:eastAsia="Arial" w:hAnsi="Arial"/>
          <w:sz w:val="21"/>
          <w:szCs w:val="21"/>
          <w:color w:val="auto"/>
        </w:rPr>
        <w:t>The outstanding principal balance and the carrying amount of loans acquired at a discount that were recorded at fair value at the acquisition date for which interest income was recognized based on expected future cash flows that were included in the consolidated balance sheet at December 31, 2019 were as follows:</w:t>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360" w:type="dxa"/>
            <w:vAlign w:val="bottom"/>
            <w:gridSpan w:val="3"/>
          </w:tcPr>
          <w:p>
            <w:pPr>
              <w:ind w:left="200"/>
              <w:spacing w:after="0"/>
              <w:rPr>
                <w:sz w:val="20"/>
                <w:szCs w:val="20"/>
                <w:color w:val="auto"/>
              </w:rPr>
            </w:pPr>
            <w:r>
              <w:rPr>
                <w:rFonts w:ascii="Arial" w:cs="Arial" w:eastAsia="Arial" w:hAnsi="Arial"/>
                <w:sz w:val="14"/>
                <w:szCs w:val="14"/>
                <w:b w:val="1"/>
                <w:bCs w:val="1"/>
                <w:color w:val="auto"/>
              </w:rPr>
              <w:t>(In thousands)</w:t>
            </w:r>
          </w:p>
        </w:tc>
        <w:tc>
          <w:tcPr>
            <w:tcW w:w="4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40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Outstanding principal balance</w:t>
            </w:r>
          </w:p>
        </w:tc>
        <w:tc>
          <w:tcPr>
            <w:tcW w:w="1840" w:type="dxa"/>
            <w:vAlign w:val="bottom"/>
            <w:gridSpan w:val="2"/>
            <w:shd w:val="clear" w:color="auto" w:fill="CFF0FC"/>
          </w:tcPr>
          <w:p>
            <w:pPr>
              <w:jc w:val="right"/>
              <w:ind w:right="379"/>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769,414</w:t>
            </w:r>
          </w:p>
        </w:tc>
        <w:tc>
          <w:tcPr>
            <w:tcW w:w="80" w:type="dxa"/>
            <w:vAlign w:val="bottom"/>
            <w:shd w:val="clear" w:color="auto" w:fill="CFF0FC"/>
          </w:tcPr>
          <w:p>
            <w:pPr>
              <w:spacing w:after="0"/>
              <w:rPr>
                <w:sz w:val="19"/>
                <w:szCs w:val="19"/>
                <w:color w:val="auto"/>
              </w:rPr>
            </w:pPr>
          </w:p>
        </w:tc>
        <w:tc>
          <w:tcPr>
            <w:tcW w:w="4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Carrying amount:</w:t>
            </w:r>
          </w:p>
        </w:tc>
        <w:tc>
          <w:tcPr>
            <w:tcW w:w="1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Commercial, financial, leasing, etc.</w:t>
            </w:r>
          </w:p>
        </w:tc>
        <w:tc>
          <w:tcPr>
            <w:tcW w:w="1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21,114</w:t>
            </w:r>
          </w:p>
        </w:tc>
        <w:tc>
          <w:tcPr>
            <w:tcW w:w="80" w:type="dxa"/>
            <w:vAlign w:val="bottom"/>
            <w:shd w:val="clear" w:color="auto" w:fill="CFF0FC"/>
          </w:tcPr>
          <w:p>
            <w:pPr>
              <w:spacing w:after="0"/>
              <w:rPr>
                <w:sz w:val="19"/>
                <w:szCs w:val="19"/>
                <w:color w:val="auto"/>
              </w:rPr>
            </w:pPr>
          </w:p>
        </w:tc>
        <w:tc>
          <w:tcPr>
            <w:tcW w:w="4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80" w:type="dxa"/>
            <w:vAlign w:val="bottom"/>
          </w:tcPr>
          <w:p>
            <w:pPr>
              <w:ind w:left="240"/>
              <w:spacing w:after="0"/>
              <w:rPr>
                <w:sz w:val="20"/>
                <w:szCs w:val="20"/>
                <w:color w:val="auto"/>
              </w:rPr>
            </w:pPr>
            <w:r>
              <w:rPr>
                <w:rFonts w:ascii="Arial" w:cs="Arial" w:eastAsia="Arial" w:hAnsi="Arial"/>
                <w:sz w:val="18"/>
                <w:szCs w:val="18"/>
                <w:color w:val="auto"/>
              </w:rPr>
              <w:t>Commercial real estate</w:t>
            </w:r>
          </w:p>
        </w:tc>
        <w:tc>
          <w:tcPr>
            <w:tcW w:w="1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94,890</w:t>
            </w:r>
          </w:p>
        </w:tc>
        <w:tc>
          <w:tcPr>
            <w:tcW w:w="8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Residential real estate</w:t>
            </w:r>
          </w:p>
        </w:tc>
        <w:tc>
          <w:tcPr>
            <w:tcW w:w="1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341,807</w:t>
            </w:r>
          </w:p>
        </w:tc>
        <w:tc>
          <w:tcPr>
            <w:tcW w:w="80" w:type="dxa"/>
            <w:vAlign w:val="bottom"/>
            <w:shd w:val="clear" w:color="auto" w:fill="CFF0FC"/>
          </w:tcPr>
          <w:p>
            <w:pPr>
              <w:spacing w:after="0"/>
              <w:rPr>
                <w:sz w:val="19"/>
                <w:szCs w:val="19"/>
                <w:color w:val="auto"/>
              </w:rPr>
            </w:pPr>
          </w:p>
        </w:tc>
        <w:tc>
          <w:tcPr>
            <w:tcW w:w="4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Consumer</w:t>
            </w:r>
          </w:p>
        </w:tc>
        <w:tc>
          <w:tcPr>
            <w:tcW w:w="128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77,785</w:t>
            </w:r>
          </w:p>
        </w:tc>
        <w:tc>
          <w:tcPr>
            <w:tcW w:w="80" w:type="dxa"/>
            <w:vAlign w:val="bottom"/>
            <w:tcBorders>
              <w:bottom w:val="single" w:sz="8" w:color="CFF0FC"/>
            </w:tcBorders>
          </w:tcPr>
          <w:p>
            <w:pPr>
              <w:spacing w:after="0"/>
              <w:rPr>
                <w:sz w:val="19"/>
                <w:szCs w:val="19"/>
                <w:color w:val="auto"/>
              </w:rPr>
            </w:pPr>
          </w:p>
        </w:tc>
        <w:tc>
          <w:tcPr>
            <w:tcW w:w="4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379"/>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535,596</w:t>
            </w:r>
          </w:p>
        </w:tc>
        <w:tc>
          <w:tcPr>
            <w:tcW w:w="80" w:type="dxa"/>
            <w:vAlign w:val="bottom"/>
            <w:tcBorders>
              <w:bottom w:val="single" w:sz="8" w:color="CFF0FC"/>
            </w:tcBorders>
            <w:shd w:val="clear" w:color="auto" w:fill="CFF0FC"/>
          </w:tcPr>
          <w:p>
            <w:pPr>
              <w:spacing w:after="0"/>
              <w:rPr>
                <w:sz w:val="19"/>
                <w:szCs w:val="19"/>
                <w:color w:val="auto"/>
              </w:rPr>
            </w:pPr>
          </w:p>
        </w:tc>
        <w:tc>
          <w:tcPr>
            <w:tcW w:w="4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7"/>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840" w:type="dxa"/>
            <w:vAlign w:val="bottom"/>
            <w:gridSpan w:val="2"/>
          </w:tcPr>
          <w:p>
            <w:pPr>
              <w:jc w:val="right"/>
              <w:ind w:right="39"/>
              <w:spacing w:after="0"/>
              <w:rPr>
                <w:sz w:val="20"/>
                <w:szCs w:val="20"/>
                <w:color w:val="auto"/>
              </w:rPr>
            </w:pPr>
            <w:r>
              <w:rPr>
                <w:rFonts w:ascii="Arial" w:cs="Arial" w:eastAsia="Arial" w:hAnsi="Arial"/>
                <w:sz w:val="18"/>
                <w:szCs w:val="18"/>
                <w:color w:val="auto"/>
              </w:rPr>
              <w:t>-13-</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408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5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-7620</wp:posOffset>
            </wp:positionV>
            <wp:extent cx="82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25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NOTES TO FINANCIAL STATEMENTS, CONTINUED</w:t>
      </w:r>
    </w:p>
    <w:p>
      <w:pPr>
        <w:spacing w:after="0" w:line="21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3. Loans and leases and the allowance for credit losses, continued</w:t>
      </w:r>
    </w:p>
    <w:p>
      <w:pPr>
        <w:spacing w:after="0" w:line="115" w:lineRule="exact"/>
        <w:rPr>
          <w:sz w:val="20"/>
          <w:szCs w:val="20"/>
          <w:color w:val="auto"/>
        </w:rPr>
      </w:pPr>
    </w:p>
    <w:p>
      <w:pPr>
        <w:jc w:val="both"/>
        <w:ind w:firstLine="510"/>
        <w:spacing w:after="0" w:line="252" w:lineRule="auto"/>
        <w:rPr>
          <w:sz w:val="20"/>
          <w:szCs w:val="20"/>
          <w:color w:val="auto"/>
        </w:rPr>
      </w:pPr>
      <w:r>
        <w:rPr>
          <w:rFonts w:ascii="Arial" w:cs="Arial" w:eastAsia="Arial" w:hAnsi="Arial"/>
          <w:sz w:val="21"/>
          <w:szCs w:val="21"/>
          <w:color w:val="auto"/>
        </w:rPr>
        <w:t>Purchased impaired loans included in the table above totaled $228 million at December 31, 2019, representing less than 1% of the Company’s assets at that date. A summary of changes in the accretable yield for loans acquired at a discount for the three months ended March 31, 2019 follows:</w:t>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2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4"/>
              </w:rPr>
              <w:t>Purchased</w:t>
            </w:r>
          </w:p>
        </w:tc>
        <w:tc>
          <w:tcPr>
            <w:tcW w:w="100" w:type="dxa"/>
            <w:vAlign w:val="bottom"/>
          </w:tcPr>
          <w:p>
            <w:pPr>
              <w:spacing w:after="0"/>
              <w:rPr>
                <w:sz w:val="14"/>
                <w:szCs w:val="14"/>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Other</w:t>
            </w:r>
          </w:p>
        </w:tc>
      </w:tr>
      <w:tr>
        <w:trPr>
          <w:trHeight w:val="171"/>
        </w:trPr>
        <w:tc>
          <w:tcPr>
            <w:tcW w:w="4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4"/>
                <w:szCs w:val="14"/>
                <w:b w:val="1"/>
                <w:bCs w:val="1"/>
                <w:color w:val="auto"/>
                <w:w w:val="95"/>
              </w:rPr>
              <w:t>Impaired</w:t>
            </w: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88"/>
              </w:rPr>
              <w:t>Acquired</w:t>
            </w:r>
          </w:p>
        </w:tc>
        <w:tc>
          <w:tcPr>
            <w:tcW w:w="80" w:type="dxa"/>
            <w:vAlign w:val="bottom"/>
          </w:tcPr>
          <w:p>
            <w:pPr>
              <w:spacing w:after="0"/>
              <w:rPr>
                <w:sz w:val="14"/>
                <w:szCs w:val="14"/>
                <w:color w:val="auto"/>
              </w:rPr>
            </w:pPr>
          </w:p>
        </w:tc>
      </w:tr>
      <w:tr>
        <w:trPr>
          <w:trHeight w:val="251"/>
        </w:trPr>
        <w:tc>
          <w:tcPr>
            <w:tcW w:w="4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(In thousands)</w:t>
            </w:r>
          </w:p>
        </w:tc>
      </w:tr>
      <w:tr>
        <w:trPr>
          <w:trHeight w:val="470"/>
        </w:trPr>
        <w:tc>
          <w:tcPr>
            <w:tcW w:w="4140" w:type="dxa"/>
            <w:vAlign w:val="bottom"/>
          </w:tcPr>
          <w:p>
            <w:pPr>
              <w:spacing w:after="0"/>
              <w:rPr>
                <w:sz w:val="20"/>
                <w:szCs w:val="20"/>
                <w:color w:val="auto"/>
              </w:rPr>
            </w:pPr>
            <w:r>
              <w:rPr>
                <w:rFonts w:ascii="Arial" w:cs="Arial" w:eastAsia="Arial" w:hAnsi="Arial"/>
                <w:sz w:val="18"/>
                <w:szCs w:val="18"/>
                <w:color w:val="auto"/>
              </w:rPr>
              <w:t>Balance at beginning of period</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147,210</w:t>
            </w:r>
          </w:p>
        </w:tc>
        <w:tc>
          <w:tcPr>
            <w:tcW w:w="2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96,907</w:t>
            </w:r>
          </w:p>
        </w:tc>
        <w:tc>
          <w:tcPr>
            <w:tcW w:w="80" w:type="dxa"/>
            <w:vAlign w:val="bottom"/>
          </w:tcPr>
          <w:p>
            <w:pPr>
              <w:spacing w:after="0"/>
              <w:rPr>
                <w:sz w:val="24"/>
                <w:szCs w:val="24"/>
                <w:color w:val="auto"/>
              </w:rPr>
            </w:pPr>
          </w:p>
        </w:tc>
      </w:tr>
      <w:tr>
        <w:trPr>
          <w:trHeight w:val="243"/>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9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(18,082)</w:t>
            </w:r>
          </w:p>
        </w:tc>
        <w:tc>
          <w:tcPr>
            <w:tcW w:w="10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(9,717)</w:t>
            </w:r>
          </w:p>
        </w:tc>
      </w:tr>
      <w:tr>
        <w:trPr>
          <w:trHeight w:val="243"/>
        </w:trPr>
        <w:tc>
          <w:tcPr>
            <w:tcW w:w="4140" w:type="dxa"/>
            <w:vAlign w:val="bottom"/>
          </w:tcPr>
          <w:p>
            <w:pPr>
              <w:spacing w:after="0"/>
              <w:rPr>
                <w:sz w:val="20"/>
                <w:szCs w:val="20"/>
                <w:color w:val="auto"/>
              </w:rPr>
            </w:pPr>
            <w:r>
              <w:rPr>
                <w:rFonts w:ascii="Arial" w:cs="Arial" w:eastAsia="Arial" w:hAnsi="Arial"/>
                <w:sz w:val="18"/>
                <w:szCs w:val="18"/>
                <w:color w:val="auto"/>
              </w:rPr>
              <w:t>Reclassifications from nonaccretable balance</w:t>
            </w: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11,189</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4,865</w:t>
            </w:r>
          </w:p>
        </w:tc>
        <w:tc>
          <w:tcPr>
            <w:tcW w:w="80" w:type="dxa"/>
            <w:vAlign w:val="bottom"/>
          </w:tcPr>
          <w:p>
            <w:pPr>
              <w:spacing w:after="0"/>
              <w:rPr>
                <w:sz w:val="21"/>
                <w:szCs w:val="21"/>
                <w:color w:val="auto"/>
              </w:rPr>
            </w:pPr>
          </w:p>
        </w:tc>
      </w:tr>
      <w:tr>
        <w:trPr>
          <w:trHeight w:val="243"/>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Other (a)</w:t>
            </w:r>
          </w:p>
        </w:tc>
        <w:tc>
          <w:tcPr>
            <w:tcW w:w="900" w:type="dxa"/>
            <w:vAlign w:val="bottom"/>
            <w:shd w:val="clear" w:color="auto" w:fill="CFF0FC"/>
          </w:tcPr>
          <w:p>
            <w:pPr>
              <w:spacing w:after="0"/>
              <w:rPr>
                <w:sz w:val="21"/>
                <w:szCs w:val="21"/>
                <w:color w:val="auto"/>
              </w:rPr>
            </w:pPr>
          </w:p>
        </w:tc>
        <w:tc>
          <w:tcPr>
            <w:tcW w:w="8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1,632</w:t>
            </w:r>
          </w:p>
        </w:tc>
        <w:tc>
          <w:tcPr>
            <w:tcW w:w="80" w:type="dxa"/>
            <w:vAlign w:val="bottom"/>
            <w:shd w:val="clear" w:color="auto" w:fill="CFF0FC"/>
          </w:tcPr>
          <w:p>
            <w:pPr>
              <w:spacing w:after="0"/>
              <w:rPr>
                <w:sz w:val="21"/>
                <w:szCs w:val="21"/>
                <w:color w:val="auto"/>
              </w:rPr>
            </w:pPr>
          </w:p>
        </w:tc>
      </w:tr>
      <w:tr>
        <w:trPr>
          <w:trHeight w:val="236"/>
        </w:trPr>
        <w:tc>
          <w:tcPr>
            <w:tcW w:w="414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140,317</w:t>
            </w:r>
          </w:p>
        </w:tc>
        <w:tc>
          <w:tcPr>
            <w:tcW w:w="2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93,687</w:t>
            </w:r>
          </w:p>
        </w:tc>
        <w:tc>
          <w:tcPr>
            <w:tcW w:w="80" w:type="dxa"/>
            <w:vAlign w:val="bottom"/>
          </w:tcPr>
          <w:p>
            <w:pPr>
              <w:spacing w:after="0"/>
              <w:rPr>
                <w:sz w:val="20"/>
                <w:szCs w:val="20"/>
                <w:color w:val="auto"/>
              </w:rPr>
            </w:pPr>
          </w:p>
        </w:tc>
      </w:tr>
      <w:tr>
        <w:trPr>
          <w:trHeight w:val="20"/>
        </w:trPr>
        <w:tc>
          <w:tcPr>
            <w:tcW w:w="4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i w:val="1"/>
          <w:iCs w:val="1"/>
          <w:color w:val="auto"/>
        </w:rPr>
        <w:t>(a)</w:t>
      </w:r>
      <w:r>
        <w:rPr>
          <w:sz w:val="20"/>
          <w:szCs w:val="20"/>
          <w:color w:val="auto"/>
        </w:rPr>
        <w:tab/>
      </w:r>
      <w:r>
        <w:rPr>
          <w:rFonts w:ascii="Arial" w:cs="Arial" w:eastAsia="Arial" w:hAnsi="Arial"/>
          <w:sz w:val="16"/>
          <w:szCs w:val="16"/>
          <w:i w:val="1"/>
          <w:iCs w:val="1"/>
          <w:color w:val="auto"/>
        </w:rPr>
        <w:t>Other changes in expected cash flows including changes in interest rates and prepayment assumptions.</w:t>
      </w:r>
    </w:p>
    <w:p>
      <w:pPr>
        <w:spacing w:after="0" w:line="11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Credit quality indicators</w:t>
      </w:r>
    </w:p>
    <w:p>
      <w:pPr>
        <w:spacing w:after="0" w:line="109"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The Company utilizes a loan grading system to differentiate risk amongst its commercial loans and commercial real estate loans. Loans with a lower expectation of default are assigned one of ten possible “pass” loan grades and are generally ascribed lower loss factors when determining the allowance for credit losses. Loans with an elevated level of credit risk are classified as “criticized” and are ascribed a higher loss factor when determining the allowance for credit losses. Criticized loans may be classified as “nonaccrual” if the Company no longer expects to collect all amounts according to the contractual terms of the loan agreement or the loan is delinquent 90 days or more.</w:t>
      </w:r>
    </w:p>
    <w:p>
      <w:pPr>
        <w:spacing w:after="0" w:line="85" w:lineRule="exact"/>
        <w:rPr>
          <w:sz w:val="20"/>
          <w:szCs w:val="20"/>
          <w:color w:val="auto"/>
        </w:rPr>
      </w:pPr>
    </w:p>
    <w:p>
      <w:pPr>
        <w:jc w:val="both"/>
        <w:ind w:firstLine="510"/>
        <w:spacing w:after="0" w:line="290" w:lineRule="auto"/>
        <w:rPr>
          <w:sz w:val="20"/>
          <w:szCs w:val="20"/>
          <w:color w:val="auto"/>
        </w:rPr>
      </w:pPr>
      <w:r>
        <w:rPr>
          <w:rFonts w:ascii="Arial" w:cs="Arial" w:eastAsia="Arial" w:hAnsi="Arial"/>
          <w:sz w:val="18"/>
          <w:szCs w:val="18"/>
          <w:color w:val="auto"/>
        </w:rPr>
        <w:t>Loan officers in different geographic locations with the support of the Company’s credit department personnel continuously review and reassign loan grades based on their detailed knowledge of individual borrowers and their judgment of the impact on such borrowers resulting from changing conditions in their respective regions. Factors considered in assigning loan grades include borrower-specific information related to expected future cash flows and operating results, collateral values, geographic location, financial condition and performance, payment status, and other information. At least annually, updated financial information is obtained from commercial borrowers associated with pass grade loans and additional analysis is performed. On a quarterly basis, the Company’s centralized credit department reviews all criticized commercial loans and commercial real estate loans greater than $1 million to determine the appropriateness of the assigned loan grade, including whether the loan should be reported as accruing or nonaccruing.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NOTES TO FINANCIAL STATEMENTS, CONTINUED</w:t>
      </w:r>
    </w:p>
    <w:p>
      <w:pPr>
        <w:spacing w:after="0" w:line="32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3. Loans and leases and the allowance for credit losses, continued</w:t>
      </w:r>
    </w:p>
    <w:p>
      <w:pPr>
        <w:spacing w:after="0" w:line="115" w:lineRule="exact"/>
        <w:rPr>
          <w:sz w:val="20"/>
          <w:szCs w:val="20"/>
          <w:color w:val="auto"/>
        </w:rPr>
      </w:pPr>
    </w:p>
    <w:p>
      <w:pPr>
        <w:ind w:right="20" w:firstLine="510"/>
        <w:spacing w:after="0" w:line="263" w:lineRule="auto"/>
        <w:rPr>
          <w:sz w:val="20"/>
          <w:szCs w:val="20"/>
          <w:color w:val="auto"/>
        </w:rPr>
      </w:pPr>
      <w:r>
        <w:rPr>
          <w:rFonts w:ascii="Arial" w:cs="Arial" w:eastAsia="Arial" w:hAnsi="Arial"/>
          <w:sz w:val="21"/>
          <w:szCs w:val="21"/>
          <w:color w:val="auto"/>
        </w:rPr>
        <w:t>The following table summarizes the loan grades applied at March 31, 2020 to the various classes of the Company’s commercial loans and commercial real estate loans by origination year.</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6"/>
                <w:szCs w:val="16"/>
                <w:b w:val="1"/>
                <w:bCs w:val="1"/>
                <w:color w:val="auto"/>
                <w:w w:val="91"/>
              </w:rPr>
              <w:t>Revolving</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2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6"/>
                <w:szCs w:val="16"/>
                <w:b w:val="1"/>
                <w:bCs w:val="1"/>
                <w:color w:val="auto"/>
                <w:w w:val="89"/>
              </w:rPr>
              <w:t>Loans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2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6"/>
                <w:szCs w:val="16"/>
                <w:b w:val="1"/>
                <w:bCs w:val="1"/>
                <w:color w:val="auto"/>
                <w:w w:val="93"/>
              </w:rPr>
              <w:t>Converted</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0"/>
        </w:trPr>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740" w:type="dxa"/>
            <w:vAlign w:val="bottom"/>
            <w:tcBorders>
              <w:bottom w:val="single" w:sz="8" w:color="auto"/>
            </w:tcBorders>
            <w:gridSpan w:val="9"/>
          </w:tcPr>
          <w:p>
            <w:pPr>
              <w:ind w:left="600"/>
              <w:spacing w:after="0"/>
              <w:rPr>
                <w:sz w:val="20"/>
                <w:szCs w:val="20"/>
                <w:color w:val="auto"/>
              </w:rPr>
            </w:pPr>
            <w:r>
              <w:rPr>
                <w:rFonts w:ascii="Arial" w:cs="Arial" w:eastAsia="Arial" w:hAnsi="Arial"/>
                <w:sz w:val="16"/>
                <w:szCs w:val="16"/>
                <w:b w:val="1"/>
                <w:bCs w:val="1"/>
                <w:color w:val="auto"/>
              </w:rPr>
              <w:t>Term Loans by Origination Year</w:t>
            </w:r>
          </w:p>
        </w:tc>
        <w:tc>
          <w:tcPr>
            <w:tcW w:w="6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1"/>
              </w:rPr>
              <w:t>Revolving</w:t>
            </w:r>
          </w:p>
        </w:tc>
        <w:tc>
          <w:tcPr>
            <w:tcW w:w="760" w:type="dxa"/>
            <w:vAlign w:val="bottom"/>
          </w:tcPr>
          <w:p>
            <w:pPr>
              <w:jc w:val="center"/>
              <w:spacing w:after="0"/>
              <w:rPr>
                <w:sz w:val="20"/>
                <w:szCs w:val="20"/>
                <w:color w:val="auto"/>
              </w:rPr>
            </w:pPr>
            <w:r>
              <w:rPr>
                <w:rFonts w:ascii="Arial" w:cs="Arial" w:eastAsia="Arial" w:hAnsi="Arial"/>
                <w:sz w:val="16"/>
                <w:szCs w:val="16"/>
                <w:b w:val="1"/>
                <w:bCs w:val="1"/>
                <w:color w:val="auto"/>
                <w:w w:val="91"/>
              </w:rPr>
              <w:t>to Term</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ind w:right="139"/>
              <w:spacing w:after="0"/>
              <w:rPr>
                <w:sz w:val="20"/>
                <w:szCs w:val="20"/>
                <w:color w:val="auto"/>
              </w:rPr>
            </w:pPr>
            <w:r>
              <w:rPr>
                <w:rFonts w:ascii="Arial" w:cs="Arial" w:eastAsia="Arial" w:hAnsi="Arial"/>
                <w:sz w:val="16"/>
                <w:szCs w:val="16"/>
                <w:b w:val="1"/>
                <w:bCs w:val="1"/>
                <w:color w:val="auto"/>
              </w:rPr>
              <w:t>2020</w:t>
            </w:r>
          </w:p>
        </w:tc>
        <w:tc>
          <w:tcPr>
            <w:tcW w:w="180" w:type="dxa"/>
            <w:vAlign w:val="bottom"/>
          </w:tcPr>
          <w:p>
            <w:pPr>
              <w:spacing w:after="0"/>
              <w:rPr>
                <w:sz w:val="18"/>
                <w:szCs w:val="18"/>
                <w:color w:val="auto"/>
              </w:rPr>
            </w:pPr>
          </w:p>
        </w:tc>
        <w:tc>
          <w:tcPr>
            <w:tcW w:w="740" w:type="dxa"/>
            <w:vAlign w:val="bottom"/>
          </w:tcPr>
          <w:p>
            <w:pPr>
              <w:jc w:val="right"/>
              <w:ind w:right="139"/>
              <w:spacing w:after="0"/>
              <w:rPr>
                <w:sz w:val="20"/>
                <w:szCs w:val="20"/>
                <w:color w:val="auto"/>
              </w:rPr>
            </w:pPr>
            <w:r>
              <w:rPr>
                <w:rFonts w:ascii="Arial" w:cs="Arial" w:eastAsia="Arial" w:hAnsi="Arial"/>
                <w:sz w:val="16"/>
                <w:szCs w:val="16"/>
                <w:b w:val="1"/>
                <w:bCs w:val="1"/>
                <w:color w:val="auto"/>
              </w:rPr>
              <w:t>2019</w:t>
            </w:r>
          </w:p>
        </w:tc>
        <w:tc>
          <w:tcPr>
            <w:tcW w:w="180" w:type="dxa"/>
            <w:vAlign w:val="bottom"/>
          </w:tcPr>
          <w:p>
            <w:pPr>
              <w:spacing w:after="0"/>
              <w:rPr>
                <w:sz w:val="18"/>
                <w:szCs w:val="18"/>
                <w:color w:val="auto"/>
              </w:rPr>
            </w:pPr>
          </w:p>
        </w:tc>
        <w:tc>
          <w:tcPr>
            <w:tcW w:w="740" w:type="dxa"/>
            <w:vAlign w:val="bottom"/>
          </w:tcPr>
          <w:p>
            <w:pPr>
              <w:jc w:val="right"/>
              <w:ind w:right="139"/>
              <w:spacing w:after="0"/>
              <w:rPr>
                <w:sz w:val="20"/>
                <w:szCs w:val="20"/>
                <w:color w:val="auto"/>
              </w:rPr>
            </w:pPr>
            <w:r>
              <w:rPr>
                <w:rFonts w:ascii="Arial" w:cs="Arial" w:eastAsia="Arial" w:hAnsi="Arial"/>
                <w:sz w:val="16"/>
                <w:szCs w:val="16"/>
                <w:b w:val="1"/>
                <w:bCs w:val="1"/>
                <w:color w:val="auto"/>
              </w:rPr>
              <w:t>2018</w:t>
            </w:r>
          </w:p>
        </w:tc>
        <w:tc>
          <w:tcPr>
            <w:tcW w:w="180" w:type="dxa"/>
            <w:vAlign w:val="bottom"/>
          </w:tcPr>
          <w:p>
            <w:pPr>
              <w:spacing w:after="0"/>
              <w:rPr>
                <w:sz w:val="18"/>
                <w:szCs w:val="18"/>
                <w:color w:val="auto"/>
              </w:rPr>
            </w:pPr>
          </w:p>
        </w:tc>
        <w:tc>
          <w:tcPr>
            <w:tcW w:w="740" w:type="dxa"/>
            <w:vAlign w:val="bottom"/>
          </w:tcPr>
          <w:p>
            <w:pPr>
              <w:jc w:val="right"/>
              <w:ind w:right="139"/>
              <w:spacing w:after="0"/>
              <w:rPr>
                <w:sz w:val="20"/>
                <w:szCs w:val="20"/>
                <w:color w:val="auto"/>
              </w:rPr>
            </w:pPr>
            <w:r>
              <w:rPr>
                <w:rFonts w:ascii="Arial" w:cs="Arial" w:eastAsia="Arial" w:hAnsi="Arial"/>
                <w:sz w:val="16"/>
                <w:szCs w:val="16"/>
                <w:b w:val="1"/>
                <w:bCs w:val="1"/>
                <w:color w:val="auto"/>
              </w:rPr>
              <w:t>2017</w:t>
            </w:r>
          </w:p>
        </w:tc>
        <w:tc>
          <w:tcPr>
            <w:tcW w:w="920" w:type="dxa"/>
            <w:vAlign w:val="bottom"/>
            <w:gridSpan w:val="2"/>
          </w:tcPr>
          <w:p>
            <w:pPr>
              <w:jc w:val="right"/>
              <w:ind w:right="139"/>
              <w:spacing w:after="0"/>
              <w:rPr>
                <w:sz w:val="20"/>
                <w:szCs w:val="20"/>
                <w:color w:val="auto"/>
              </w:rPr>
            </w:pPr>
            <w:r>
              <w:rPr>
                <w:rFonts w:ascii="Arial" w:cs="Arial" w:eastAsia="Arial" w:hAnsi="Arial"/>
                <w:sz w:val="16"/>
                <w:szCs w:val="16"/>
                <w:b w:val="1"/>
                <w:bCs w:val="1"/>
                <w:color w:val="auto"/>
              </w:rPr>
              <w:t>2016</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jc w:val="right"/>
              <w:ind w:right="119"/>
              <w:spacing w:after="0"/>
              <w:rPr>
                <w:sz w:val="20"/>
                <w:szCs w:val="20"/>
                <w:color w:val="auto"/>
              </w:rPr>
            </w:pPr>
            <w:r>
              <w:rPr>
                <w:rFonts w:ascii="Arial" w:cs="Arial" w:eastAsia="Arial" w:hAnsi="Arial"/>
                <w:sz w:val="16"/>
                <w:szCs w:val="16"/>
                <w:b w:val="1"/>
                <w:bCs w:val="1"/>
                <w:color w:val="auto"/>
              </w:rPr>
              <w:t>Prior</w:t>
            </w:r>
          </w:p>
        </w:tc>
        <w:tc>
          <w:tcPr>
            <w:tcW w:w="16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Loans</w:t>
            </w:r>
          </w:p>
        </w:tc>
        <w:tc>
          <w:tcPr>
            <w:tcW w:w="760" w:type="dxa"/>
            <w:vAlign w:val="bottom"/>
          </w:tcPr>
          <w:p>
            <w:pPr>
              <w:jc w:val="center"/>
              <w:spacing w:after="0"/>
              <w:rPr>
                <w:sz w:val="20"/>
                <w:szCs w:val="20"/>
                <w:color w:val="auto"/>
              </w:rPr>
            </w:pPr>
            <w:r>
              <w:rPr>
                <w:rFonts w:ascii="Arial" w:cs="Arial" w:eastAsia="Arial" w:hAnsi="Arial"/>
                <w:sz w:val="16"/>
                <w:szCs w:val="16"/>
                <w:b w:val="1"/>
                <w:bCs w:val="1"/>
                <w:color w:val="auto"/>
                <w:w w:val="89"/>
              </w:rPr>
              <w:t>Loans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ind w:left="140"/>
              <w:spacing w:after="0"/>
              <w:rPr>
                <w:sz w:val="20"/>
                <w:szCs w:val="20"/>
                <w:color w:val="auto"/>
              </w:rPr>
            </w:pPr>
            <w:r>
              <w:rPr>
                <w:rFonts w:ascii="Arial" w:cs="Arial" w:eastAsia="Arial" w:hAnsi="Arial"/>
                <w:sz w:val="16"/>
                <w:szCs w:val="16"/>
                <w:b w:val="1"/>
                <w:bCs w:val="1"/>
                <w:color w:val="auto"/>
              </w:rPr>
              <w:t>Total</w:t>
            </w:r>
          </w:p>
        </w:tc>
      </w:tr>
      <w:tr>
        <w:trPr>
          <w:trHeight w:val="206"/>
        </w:trPr>
        <w:tc>
          <w:tcPr>
            <w:tcW w:w="2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4"/>
          </w:tcPr>
          <w:p>
            <w:pPr>
              <w:ind w:left="140"/>
              <w:spacing w:after="0"/>
              <w:rPr>
                <w:sz w:val="20"/>
                <w:szCs w:val="20"/>
                <w:color w:val="auto"/>
              </w:rPr>
            </w:pPr>
            <w:r>
              <w:rPr>
                <w:rFonts w:ascii="Arial" w:cs="Arial" w:eastAsia="Arial" w:hAnsi="Arial"/>
                <w:sz w:val="16"/>
                <w:szCs w:val="16"/>
                <w:b w:val="1"/>
                <w:bCs w:val="1"/>
                <w:color w:val="auto"/>
                <w:w w:val="90"/>
              </w:rPr>
              <w:t>(In thousands)</w:t>
            </w:r>
          </w:p>
        </w:tc>
        <w:tc>
          <w:tcPr>
            <w:tcW w:w="6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8"/>
        </w:trPr>
        <w:tc>
          <w:tcPr>
            <w:tcW w:w="2580" w:type="dxa"/>
            <w:vAlign w:val="bottom"/>
          </w:tcPr>
          <w:p>
            <w:pPr>
              <w:spacing w:after="0"/>
              <w:rPr>
                <w:sz w:val="20"/>
                <w:szCs w:val="20"/>
                <w:color w:val="auto"/>
              </w:rPr>
            </w:pPr>
            <w:r>
              <w:rPr>
                <w:rFonts w:ascii="Arial" w:cs="Arial" w:eastAsia="Arial" w:hAnsi="Arial"/>
                <w:sz w:val="16"/>
                <w:szCs w:val="16"/>
                <w:color w:val="auto"/>
              </w:rPr>
              <w:t>Commercial, financial, leasing, etc.:</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25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Loan grades:</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3"/>
        </w:trPr>
        <w:tc>
          <w:tcPr>
            <w:tcW w:w="2580" w:type="dxa"/>
            <w:vAlign w:val="bottom"/>
          </w:tcPr>
          <w:p>
            <w:pPr>
              <w:ind w:left="420"/>
              <w:spacing w:after="0"/>
              <w:rPr>
                <w:sz w:val="20"/>
                <w:szCs w:val="20"/>
                <w:color w:val="auto"/>
              </w:rPr>
            </w:pPr>
            <w:r>
              <w:rPr>
                <w:rFonts w:ascii="Arial" w:cs="Arial" w:eastAsia="Arial" w:hAnsi="Arial"/>
                <w:sz w:val="16"/>
                <w:szCs w:val="16"/>
                <w:color w:val="auto"/>
              </w:rPr>
              <w:t>Pass</w:t>
            </w:r>
          </w:p>
        </w:tc>
        <w:tc>
          <w:tcPr>
            <w:tcW w:w="3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w w:val="89"/>
              </w:rPr>
              <w:t>1,095,201</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2,767,657</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w w:val="98"/>
              </w:rPr>
              <w:t>1,936,195</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w w:val="98"/>
              </w:rPr>
              <w:t>1,197,480</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966,014</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w w:val="89"/>
              </w:rPr>
              <w:t>1,708,564</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w w:val="99"/>
              </w:rPr>
              <w:t>15,369,119</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35,360</w:t>
            </w:r>
          </w:p>
        </w:tc>
        <w:tc>
          <w:tcPr>
            <w:tcW w:w="3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w w:val="89"/>
              </w:rPr>
              <w:t>25,075,590</w:t>
            </w:r>
          </w:p>
        </w:tc>
        <w:tc>
          <w:tcPr>
            <w:tcW w:w="100" w:type="dxa"/>
            <w:vAlign w:val="bottom"/>
          </w:tcPr>
          <w:p>
            <w:pPr>
              <w:spacing w:after="0"/>
              <w:rPr>
                <w:sz w:val="18"/>
                <w:szCs w:val="18"/>
                <w:color w:val="auto"/>
              </w:rPr>
            </w:pPr>
          </w:p>
        </w:tc>
      </w:tr>
      <w:tr>
        <w:trPr>
          <w:trHeight w:val="219"/>
        </w:trPr>
        <w:tc>
          <w:tcPr>
            <w:tcW w:w="2580" w:type="dxa"/>
            <w:vAlign w:val="bottom"/>
            <w:shd w:val="clear" w:color="auto" w:fill="CFF0FC"/>
          </w:tcPr>
          <w:p>
            <w:pPr>
              <w:ind w:left="420"/>
              <w:spacing w:after="0"/>
              <w:rPr>
                <w:sz w:val="20"/>
                <w:szCs w:val="20"/>
                <w:color w:val="auto"/>
              </w:rPr>
            </w:pPr>
            <w:r>
              <w:rPr>
                <w:rFonts w:ascii="Arial" w:cs="Arial" w:eastAsia="Arial" w:hAnsi="Arial"/>
                <w:sz w:val="16"/>
                <w:szCs w:val="16"/>
                <w:color w:val="auto"/>
              </w:rPr>
              <w:t>Criticized accrual</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1,404</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19,433</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93,675</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29,493</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33,443</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71,221</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621,491</w:t>
            </w: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11,251</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881,411</w:t>
            </w:r>
          </w:p>
        </w:tc>
        <w:tc>
          <w:tcPr>
            <w:tcW w:w="100" w:type="dxa"/>
            <w:vAlign w:val="bottom"/>
            <w:shd w:val="clear" w:color="auto" w:fill="CFF0FC"/>
          </w:tcPr>
          <w:p>
            <w:pPr>
              <w:spacing w:after="0"/>
              <w:rPr>
                <w:sz w:val="19"/>
                <w:szCs w:val="19"/>
                <w:color w:val="auto"/>
              </w:rPr>
            </w:pPr>
          </w:p>
        </w:tc>
      </w:tr>
      <w:tr>
        <w:trPr>
          <w:trHeight w:val="213"/>
        </w:trPr>
        <w:tc>
          <w:tcPr>
            <w:tcW w:w="2580" w:type="dxa"/>
            <w:vAlign w:val="bottom"/>
          </w:tcPr>
          <w:p>
            <w:pPr>
              <w:ind w:left="420"/>
              <w:spacing w:after="0"/>
              <w:rPr>
                <w:sz w:val="20"/>
                <w:szCs w:val="20"/>
                <w:color w:val="auto"/>
              </w:rPr>
            </w:pPr>
            <w:r>
              <w:rPr>
                <w:rFonts w:ascii="Arial" w:cs="Arial" w:eastAsia="Arial" w:hAnsi="Arial"/>
                <w:sz w:val="16"/>
                <w:szCs w:val="16"/>
                <w:color w:val="auto"/>
              </w:rPr>
              <w:t>Criticized nonaccrual</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470</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9,299</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26,006</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31,206</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20,789</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43,176</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149,303</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6,398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286,647</w:t>
            </w:r>
          </w:p>
        </w:tc>
        <w:tc>
          <w:tcPr>
            <w:tcW w:w="100" w:type="dxa"/>
            <w:vAlign w:val="bottom"/>
          </w:tcPr>
          <w:p>
            <w:pPr>
              <w:spacing w:after="0"/>
              <w:rPr>
                <w:sz w:val="18"/>
                <w:szCs w:val="18"/>
                <w:color w:val="auto"/>
              </w:rPr>
            </w:pPr>
          </w:p>
        </w:tc>
      </w:tr>
      <w:tr>
        <w:trPr>
          <w:trHeight w:val="202"/>
        </w:trPr>
        <w:tc>
          <w:tcPr>
            <w:tcW w:w="2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 commercial, financial,</w:t>
            </w:r>
          </w:p>
        </w:tc>
        <w:tc>
          <w:tcPr>
            <w:tcW w:w="2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09"/>
        </w:trPr>
        <w:tc>
          <w:tcPr>
            <w:tcW w:w="25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leasing, etc.</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1,097,075</w:t>
            </w: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2,796,389</w:t>
            </w: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8"/>
              </w:rPr>
              <w:t>2,055,876</w:t>
            </w: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8"/>
              </w:rPr>
              <w:t>1,258,179</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1,020,246</w:t>
            </w: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1,822,961</w:t>
            </w: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16,139,913</w:t>
            </w: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53,009</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26,243,648</w:t>
            </w:r>
          </w:p>
        </w:tc>
        <w:tc>
          <w:tcPr>
            <w:tcW w:w="100" w:type="dxa"/>
            <w:vAlign w:val="bottom"/>
            <w:shd w:val="clear" w:color="auto" w:fill="CFF0FC"/>
          </w:tcPr>
          <w:p>
            <w:pPr>
              <w:spacing w:after="0"/>
              <w:rPr>
                <w:sz w:val="18"/>
                <w:szCs w:val="18"/>
                <w:color w:val="auto"/>
              </w:rPr>
            </w:pPr>
          </w:p>
        </w:tc>
      </w:tr>
      <w:tr>
        <w:trPr>
          <w:trHeight w:val="20"/>
        </w:trPr>
        <w:tc>
          <w:tcPr>
            <w:tcW w:w="25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199"/>
        </w:trPr>
        <w:tc>
          <w:tcPr>
            <w:tcW w:w="2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580" w:type="dxa"/>
            <w:vAlign w:val="bottom"/>
            <w:shd w:val="clear" w:color="auto" w:fill="CFF0FC"/>
          </w:tcPr>
          <w:p>
            <w:pPr>
              <w:spacing w:after="0"/>
              <w:rPr>
                <w:sz w:val="20"/>
                <w:szCs w:val="20"/>
                <w:color w:val="auto"/>
              </w:rPr>
            </w:pPr>
            <w:r>
              <w:rPr>
                <w:rFonts w:ascii="Arial" w:cs="Arial" w:eastAsia="Arial" w:hAnsi="Arial"/>
                <w:sz w:val="16"/>
                <w:szCs w:val="16"/>
                <w:color w:val="auto"/>
              </w:rPr>
              <w:t>Real estate:</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3"/>
        </w:trPr>
        <w:tc>
          <w:tcPr>
            <w:tcW w:w="2580" w:type="dxa"/>
            <w:vAlign w:val="bottom"/>
          </w:tcPr>
          <w:p>
            <w:pPr>
              <w:spacing w:after="0"/>
              <w:rPr>
                <w:sz w:val="20"/>
                <w:szCs w:val="20"/>
                <w:color w:val="auto"/>
              </w:rPr>
            </w:pPr>
            <w:r>
              <w:rPr>
                <w:rFonts w:ascii="Arial" w:cs="Arial" w:eastAsia="Arial" w:hAnsi="Arial"/>
                <w:sz w:val="16"/>
                <w:szCs w:val="16"/>
                <w:color w:val="auto"/>
              </w:rPr>
              <w:t>Commercial:</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25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Loan grades:</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3"/>
        </w:trPr>
        <w:tc>
          <w:tcPr>
            <w:tcW w:w="2580" w:type="dxa"/>
            <w:vAlign w:val="bottom"/>
          </w:tcPr>
          <w:p>
            <w:pPr>
              <w:ind w:left="420"/>
              <w:spacing w:after="0"/>
              <w:rPr>
                <w:sz w:val="20"/>
                <w:szCs w:val="20"/>
                <w:color w:val="auto"/>
              </w:rPr>
            </w:pPr>
            <w:r>
              <w:rPr>
                <w:rFonts w:ascii="Arial" w:cs="Arial" w:eastAsia="Arial" w:hAnsi="Arial"/>
                <w:sz w:val="16"/>
                <w:szCs w:val="16"/>
                <w:color w:val="auto"/>
              </w:rPr>
              <w:t>Pass</w:t>
            </w:r>
          </w:p>
        </w:tc>
        <w:tc>
          <w:tcPr>
            <w:tcW w:w="3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w w:val="89"/>
              </w:rPr>
              <w:t>1,371,675</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5,272,662</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w w:val="98"/>
              </w:rPr>
              <w:t>4,130,012</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w w:val="98"/>
              </w:rPr>
              <w:t>3,170,722</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3,808,737</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w w:val="89"/>
              </w:rPr>
              <w:t>8,005,615</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917,651</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w w:val="89"/>
              </w:rPr>
              <w:t>26,677,074</w:t>
            </w:r>
          </w:p>
        </w:tc>
        <w:tc>
          <w:tcPr>
            <w:tcW w:w="100" w:type="dxa"/>
            <w:vAlign w:val="bottom"/>
          </w:tcPr>
          <w:p>
            <w:pPr>
              <w:spacing w:after="0"/>
              <w:rPr>
                <w:sz w:val="18"/>
                <w:szCs w:val="18"/>
                <w:color w:val="auto"/>
              </w:rPr>
            </w:pPr>
          </w:p>
        </w:tc>
      </w:tr>
      <w:tr>
        <w:trPr>
          <w:trHeight w:val="219"/>
        </w:trPr>
        <w:tc>
          <w:tcPr>
            <w:tcW w:w="2580" w:type="dxa"/>
            <w:vAlign w:val="bottom"/>
            <w:shd w:val="clear" w:color="auto" w:fill="CFF0FC"/>
          </w:tcPr>
          <w:p>
            <w:pPr>
              <w:ind w:left="420"/>
              <w:spacing w:after="0"/>
              <w:rPr>
                <w:sz w:val="20"/>
                <w:szCs w:val="20"/>
                <w:color w:val="auto"/>
              </w:rPr>
            </w:pPr>
            <w:r>
              <w:rPr>
                <w:rFonts w:ascii="Arial" w:cs="Arial" w:eastAsia="Arial" w:hAnsi="Arial"/>
                <w:sz w:val="16"/>
                <w:szCs w:val="16"/>
                <w:color w:val="auto"/>
              </w:rPr>
              <w:t>Criticized accrual</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3,936</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94,202</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62,334</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41,201</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77,229</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380,061</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32,975</w:t>
            </w: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691,938</w:t>
            </w:r>
          </w:p>
        </w:tc>
        <w:tc>
          <w:tcPr>
            <w:tcW w:w="100" w:type="dxa"/>
            <w:vAlign w:val="bottom"/>
            <w:shd w:val="clear" w:color="auto" w:fill="CFF0FC"/>
          </w:tcPr>
          <w:p>
            <w:pPr>
              <w:spacing w:after="0"/>
              <w:rPr>
                <w:sz w:val="19"/>
                <w:szCs w:val="19"/>
                <w:color w:val="auto"/>
              </w:rPr>
            </w:pPr>
          </w:p>
        </w:tc>
      </w:tr>
      <w:tr>
        <w:trPr>
          <w:trHeight w:val="213"/>
        </w:trPr>
        <w:tc>
          <w:tcPr>
            <w:tcW w:w="2580" w:type="dxa"/>
            <w:vAlign w:val="bottom"/>
            <w:tcBorders>
              <w:bottom w:val="single" w:sz="8" w:color="CFF0FC"/>
            </w:tcBorders>
          </w:tcPr>
          <w:p>
            <w:pPr>
              <w:ind w:left="420"/>
              <w:spacing w:after="0"/>
              <w:rPr>
                <w:sz w:val="20"/>
                <w:szCs w:val="20"/>
                <w:color w:val="auto"/>
              </w:rPr>
            </w:pPr>
            <w:r>
              <w:rPr>
                <w:rFonts w:ascii="Arial" w:cs="Arial" w:eastAsia="Arial" w:hAnsi="Arial"/>
                <w:sz w:val="16"/>
                <w:szCs w:val="16"/>
                <w:color w:val="auto"/>
              </w:rPr>
              <w:t>Criticized nonaccrual</w:t>
            </w: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FF0FC"/>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3,574</w:t>
            </w:r>
          </w:p>
        </w:tc>
        <w:tc>
          <w:tcPr>
            <w:tcW w:w="180" w:type="dxa"/>
            <w:vAlign w:val="bottom"/>
            <w:tcBorders>
              <w:bottom w:val="single" w:sz="8" w:color="CFF0FC"/>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5,640</w:t>
            </w:r>
          </w:p>
        </w:tc>
        <w:tc>
          <w:tcPr>
            <w:tcW w:w="180" w:type="dxa"/>
            <w:vAlign w:val="bottom"/>
            <w:tcBorders>
              <w:bottom w:val="single" w:sz="8" w:color="CFF0FC"/>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20,081</w:t>
            </w:r>
          </w:p>
        </w:tc>
        <w:tc>
          <w:tcPr>
            <w:tcW w:w="180" w:type="dxa"/>
            <w:vAlign w:val="bottom"/>
            <w:tcBorders>
              <w:bottom w:val="single" w:sz="8" w:color="CFF0FC"/>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38,353</w:t>
            </w:r>
          </w:p>
        </w:tc>
        <w:tc>
          <w:tcPr>
            <w:tcW w:w="180" w:type="dxa"/>
            <w:vAlign w:val="bottom"/>
            <w:tcBorders>
              <w:bottom w:val="single" w:sz="8" w:color="CFF0FC"/>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120,378</w:t>
            </w:r>
          </w:p>
        </w:tc>
        <w:tc>
          <w:tcPr>
            <w:tcW w:w="160" w:type="dxa"/>
            <w:vAlign w:val="bottom"/>
            <w:tcBorders>
              <w:bottom w:val="single" w:sz="8" w:color="CFF0FC"/>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443</w:t>
            </w:r>
          </w:p>
        </w:tc>
        <w:tc>
          <w:tcPr>
            <w:tcW w:w="18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188,469</w:t>
            </w:r>
          </w:p>
        </w:tc>
        <w:tc>
          <w:tcPr>
            <w:tcW w:w="100" w:type="dxa"/>
            <w:vAlign w:val="bottom"/>
            <w:tcBorders>
              <w:bottom w:val="single" w:sz="8" w:color="CFF0FC"/>
            </w:tcBorders>
          </w:tcPr>
          <w:p>
            <w:pPr>
              <w:spacing w:after="0"/>
              <w:rPr>
                <w:sz w:val="18"/>
                <w:szCs w:val="18"/>
                <w:color w:val="auto"/>
              </w:rPr>
            </w:pPr>
          </w:p>
        </w:tc>
      </w:tr>
      <w:tr>
        <w:trPr>
          <w:trHeight w:val="209"/>
        </w:trPr>
        <w:tc>
          <w:tcPr>
            <w:tcW w:w="2580" w:type="dxa"/>
            <w:vAlign w:val="bottom"/>
            <w:shd w:val="clear" w:color="auto" w:fill="CFF0FC"/>
          </w:tcPr>
          <w:p>
            <w:pPr>
              <w:spacing w:after="0"/>
              <w:rPr>
                <w:sz w:val="20"/>
                <w:szCs w:val="20"/>
                <w:color w:val="auto"/>
              </w:rPr>
            </w:pPr>
            <w:r>
              <w:rPr>
                <w:rFonts w:ascii="Arial" w:cs="Arial" w:eastAsia="Arial" w:hAnsi="Arial"/>
                <w:sz w:val="16"/>
                <w:szCs w:val="16"/>
                <w:color w:val="auto"/>
              </w:rPr>
              <w:t>Total commercial real estate</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1,375,611</w:t>
            </w: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5,370,438</w:t>
            </w: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8"/>
              </w:rPr>
              <w:t>4,197,986</w:t>
            </w: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8"/>
              </w:rPr>
              <w:t>3,232,004</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3,924,319</w:t>
            </w: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8,506,054</w:t>
            </w: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951,069</w:t>
            </w: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27,557,481</w:t>
            </w:r>
          </w:p>
        </w:tc>
        <w:tc>
          <w:tcPr>
            <w:tcW w:w="100" w:type="dxa"/>
            <w:vAlign w:val="bottom"/>
            <w:shd w:val="clear" w:color="auto" w:fill="CFF0FC"/>
          </w:tcPr>
          <w:p>
            <w:pPr>
              <w:spacing w:after="0"/>
              <w:rPr>
                <w:sz w:val="18"/>
                <w:szCs w:val="18"/>
                <w:color w:val="auto"/>
              </w:rPr>
            </w:pPr>
          </w:p>
        </w:tc>
      </w:tr>
      <w:tr>
        <w:trPr>
          <w:trHeight w:val="20"/>
        </w:trPr>
        <w:tc>
          <w:tcPr>
            <w:tcW w:w="25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199"/>
        </w:trPr>
        <w:tc>
          <w:tcPr>
            <w:tcW w:w="2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580" w:type="dxa"/>
            <w:vAlign w:val="bottom"/>
            <w:shd w:val="clear" w:color="auto" w:fill="CFF0FC"/>
          </w:tcPr>
          <w:p>
            <w:pPr>
              <w:spacing w:after="0"/>
              <w:rPr>
                <w:sz w:val="20"/>
                <w:szCs w:val="20"/>
                <w:color w:val="auto"/>
              </w:rPr>
            </w:pPr>
            <w:r>
              <w:rPr>
                <w:rFonts w:ascii="Arial" w:cs="Arial" w:eastAsia="Arial" w:hAnsi="Arial"/>
                <w:sz w:val="16"/>
                <w:szCs w:val="16"/>
                <w:color w:val="auto"/>
              </w:rPr>
              <w:t>Residential builder and developer:</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3"/>
        </w:trPr>
        <w:tc>
          <w:tcPr>
            <w:tcW w:w="2580" w:type="dxa"/>
            <w:vAlign w:val="bottom"/>
          </w:tcPr>
          <w:p>
            <w:pPr>
              <w:ind w:left="220"/>
              <w:spacing w:after="0"/>
              <w:rPr>
                <w:sz w:val="20"/>
                <w:szCs w:val="20"/>
                <w:color w:val="auto"/>
              </w:rPr>
            </w:pPr>
            <w:r>
              <w:rPr>
                <w:rFonts w:ascii="Arial" w:cs="Arial" w:eastAsia="Arial" w:hAnsi="Arial"/>
                <w:sz w:val="16"/>
                <w:szCs w:val="16"/>
                <w:color w:val="auto"/>
              </w:rPr>
              <w:t>Loan grades: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2580" w:type="dxa"/>
            <w:vAlign w:val="bottom"/>
            <w:shd w:val="clear" w:color="auto" w:fill="CFF0FC"/>
          </w:tcPr>
          <w:p>
            <w:pPr>
              <w:ind w:left="420"/>
              <w:spacing w:after="0"/>
              <w:rPr>
                <w:sz w:val="20"/>
                <w:szCs w:val="20"/>
                <w:color w:val="auto"/>
              </w:rPr>
            </w:pPr>
            <w:r>
              <w:rPr>
                <w:rFonts w:ascii="Arial" w:cs="Arial" w:eastAsia="Arial" w:hAnsi="Arial"/>
                <w:sz w:val="16"/>
                <w:szCs w:val="16"/>
                <w:color w:val="auto"/>
              </w:rPr>
              <w:t>Pass</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116,793</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639,055</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286,402</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67,825</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20,183</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20,312</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236,688</w:t>
            </w: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1,387,258</w:t>
            </w:r>
          </w:p>
        </w:tc>
        <w:tc>
          <w:tcPr>
            <w:tcW w:w="100" w:type="dxa"/>
            <w:vAlign w:val="bottom"/>
            <w:shd w:val="clear" w:color="auto" w:fill="CFF0FC"/>
          </w:tcPr>
          <w:p>
            <w:pPr>
              <w:spacing w:after="0"/>
              <w:rPr>
                <w:sz w:val="19"/>
                <w:szCs w:val="19"/>
                <w:color w:val="auto"/>
              </w:rPr>
            </w:pPr>
          </w:p>
        </w:tc>
      </w:tr>
      <w:tr>
        <w:trPr>
          <w:trHeight w:val="213"/>
        </w:trPr>
        <w:tc>
          <w:tcPr>
            <w:tcW w:w="2580" w:type="dxa"/>
            <w:vAlign w:val="bottom"/>
          </w:tcPr>
          <w:p>
            <w:pPr>
              <w:ind w:left="420"/>
              <w:spacing w:after="0"/>
              <w:rPr>
                <w:sz w:val="20"/>
                <w:szCs w:val="20"/>
                <w:color w:val="auto"/>
              </w:rPr>
            </w:pPr>
            <w:r>
              <w:rPr>
                <w:rFonts w:ascii="Arial" w:cs="Arial" w:eastAsia="Arial" w:hAnsi="Arial"/>
                <w:sz w:val="16"/>
                <w:szCs w:val="16"/>
                <w:color w:val="auto"/>
              </w:rPr>
              <w:t>Criticized accrual</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3,528</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19,862</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2,185</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17,169</w:t>
            </w:r>
          </w:p>
        </w:tc>
        <w:tc>
          <w:tcPr>
            <w:tcW w:w="180" w:type="dxa"/>
            <w:vAlign w:val="bottom"/>
          </w:tcPr>
          <w:p>
            <w:pPr>
              <w:spacing w:after="0"/>
              <w:rPr>
                <w:sz w:val="18"/>
                <w:szCs w:val="18"/>
                <w:color w:val="auto"/>
              </w:rPr>
            </w:pPr>
          </w:p>
        </w:tc>
        <w:tc>
          <w:tcPr>
            <w:tcW w:w="98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21,226</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16,229</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80,199</w:t>
            </w:r>
          </w:p>
        </w:tc>
        <w:tc>
          <w:tcPr>
            <w:tcW w:w="100" w:type="dxa"/>
            <w:vAlign w:val="bottom"/>
          </w:tcPr>
          <w:p>
            <w:pPr>
              <w:spacing w:after="0"/>
              <w:rPr>
                <w:sz w:val="18"/>
                <w:szCs w:val="18"/>
                <w:color w:val="auto"/>
              </w:rPr>
            </w:pPr>
          </w:p>
        </w:tc>
      </w:tr>
      <w:tr>
        <w:trPr>
          <w:trHeight w:val="219"/>
        </w:trPr>
        <w:tc>
          <w:tcPr>
            <w:tcW w:w="2580" w:type="dxa"/>
            <w:vAlign w:val="bottom"/>
            <w:shd w:val="clear" w:color="auto" w:fill="CFF0FC"/>
          </w:tcPr>
          <w:p>
            <w:pPr>
              <w:ind w:left="420"/>
              <w:spacing w:after="0"/>
              <w:rPr>
                <w:sz w:val="20"/>
                <w:szCs w:val="20"/>
                <w:color w:val="auto"/>
              </w:rPr>
            </w:pPr>
            <w:r>
              <w:rPr>
                <w:rFonts w:ascii="Arial" w:cs="Arial" w:eastAsia="Arial" w:hAnsi="Arial"/>
                <w:sz w:val="16"/>
                <w:szCs w:val="16"/>
                <w:color w:val="auto"/>
              </w:rPr>
              <w:t>Criticized nonaccrual</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1,162</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536</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1,506</w:t>
            </w:r>
          </w:p>
        </w:tc>
        <w:tc>
          <w:tcPr>
            <w:tcW w:w="1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3,204</w:t>
            </w:r>
          </w:p>
        </w:tc>
        <w:tc>
          <w:tcPr>
            <w:tcW w:w="100" w:type="dxa"/>
            <w:vAlign w:val="bottom"/>
            <w:shd w:val="clear" w:color="auto" w:fill="CFF0FC"/>
          </w:tcPr>
          <w:p>
            <w:pPr>
              <w:spacing w:after="0"/>
              <w:rPr>
                <w:sz w:val="19"/>
                <w:szCs w:val="19"/>
                <w:color w:val="auto"/>
              </w:rPr>
            </w:pPr>
          </w:p>
        </w:tc>
      </w:tr>
      <w:tr>
        <w:trPr>
          <w:trHeight w:val="199"/>
        </w:trPr>
        <w:tc>
          <w:tcPr>
            <w:tcW w:w="2580" w:type="dxa"/>
            <w:vAlign w:val="bottom"/>
          </w:tcPr>
          <w:p>
            <w:pPr>
              <w:spacing w:after="0"/>
              <w:rPr>
                <w:sz w:val="20"/>
                <w:szCs w:val="20"/>
                <w:color w:val="auto"/>
              </w:rPr>
            </w:pPr>
            <w:r>
              <w:rPr>
                <w:rFonts w:ascii="Arial" w:cs="Arial" w:eastAsia="Arial" w:hAnsi="Arial"/>
                <w:sz w:val="16"/>
                <w:szCs w:val="16"/>
                <w:color w:val="auto"/>
              </w:rPr>
              <w:t>Total residential builder and</w:t>
            </w: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49"/>
        </w:trPr>
        <w:tc>
          <w:tcPr>
            <w:tcW w:w="2580" w:type="dxa"/>
            <w:vAlign w:val="bottom"/>
          </w:tcPr>
          <w:p>
            <w:pPr>
              <w:ind w:left="120"/>
              <w:spacing w:after="0"/>
              <w:rPr>
                <w:sz w:val="20"/>
                <w:szCs w:val="20"/>
                <w:color w:val="auto"/>
              </w:rPr>
            </w:pPr>
            <w:r>
              <w:rPr>
                <w:rFonts w:ascii="Arial" w:cs="Arial" w:eastAsia="Arial" w:hAnsi="Arial"/>
                <w:sz w:val="16"/>
                <w:szCs w:val="16"/>
                <w:color w:val="auto"/>
              </w:rPr>
              <w:t>developer</w:t>
            </w:r>
          </w:p>
        </w:tc>
        <w:tc>
          <w:tcPr>
            <w:tcW w:w="3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120,321</w:t>
            </w: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658,917</w:t>
            </w: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289,749</w:t>
            </w: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84,994</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20,719</w:t>
            </w: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43,044</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252,917</w:t>
            </w: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1,470,661</w:t>
            </w:r>
          </w:p>
        </w:tc>
        <w:tc>
          <w:tcPr>
            <w:tcW w:w="100" w:type="dxa"/>
            <w:vAlign w:val="bottom"/>
          </w:tcPr>
          <w:p>
            <w:pPr>
              <w:spacing w:after="0"/>
              <w:rPr>
                <w:sz w:val="21"/>
                <w:szCs w:val="21"/>
                <w:color w:val="auto"/>
              </w:rPr>
            </w:pPr>
          </w:p>
        </w:tc>
      </w:tr>
      <w:tr>
        <w:trPr>
          <w:trHeight w:val="199"/>
        </w:trPr>
        <w:tc>
          <w:tcPr>
            <w:tcW w:w="258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13"/>
        </w:trPr>
        <w:tc>
          <w:tcPr>
            <w:tcW w:w="2580" w:type="dxa"/>
            <w:vAlign w:val="bottom"/>
          </w:tcPr>
          <w:p>
            <w:pPr>
              <w:spacing w:after="0"/>
              <w:rPr>
                <w:sz w:val="20"/>
                <w:szCs w:val="20"/>
                <w:color w:val="auto"/>
              </w:rPr>
            </w:pPr>
            <w:r>
              <w:rPr>
                <w:rFonts w:ascii="Arial" w:cs="Arial" w:eastAsia="Arial" w:hAnsi="Arial"/>
                <w:sz w:val="16"/>
                <w:szCs w:val="16"/>
                <w:color w:val="auto"/>
              </w:rPr>
              <w:t>Other commercial construction:</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25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Loan grades:</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3"/>
        </w:trPr>
        <w:tc>
          <w:tcPr>
            <w:tcW w:w="2580" w:type="dxa"/>
            <w:vAlign w:val="bottom"/>
          </w:tcPr>
          <w:p>
            <w:pPr>
              <w:ind w:left="420"/>
              <w:spacing w:after="0"/>
              <w:rPr>
                <w:sz w:val="20"/>
                <w:szCs w:val="20"/>
                <w:color w:val="auto"/>
              </w:rPr>
            </w:pPr>
            <w:r>
              <w:rPr>
                <w:rFonts w:ascii="Arial" w:cs="Arial" w:eastAsia="Arial" w:hAnsi="Arial"/>
                <w:sz w:val="16"/>
                <w:szCs w:val="16"/>
                <w:color w:val="auto"/>
              </w:rPr>
              <w:t>Pass</w:t>
            </w:r>
          </w:p>
        </w:tc>
        <w:tc>
          <w:tcPr>
            <w:tcW w:w="3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265,269</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2,103,938</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w w:val="98"/>
              </w:rPr>
              <w:t>2,461,589</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w w:val="98"/>
              </w:rPr>
              <w:t>1,503,162</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569,710</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395,373</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79,664</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7,378,705</w:t>
            </w:r>
          </w:p>
        </w:tc>
        <w:tc>
          <w:tcPr>
            <w:tcW w:w="100" w:type="dxa"/>
            <w:vAlign w:val="bottom"/>
          </w:tcPr>
          <w:p>
            <w:pPr>
              <w:spacing w:after="0"/>
              <w:rPr>
                <w:sz w:val="18"/>
                <w:szCs w:val="18"/>
                <w:color w:val="auto"/>
              </w:rPr>
            </w:pPr>
          </w:p>
        </w:tc>
      </w:tr>
      <w:tr>
        <w:trPr>
          <w:trHeight w:val="219"/>
        </w:trPr>
        <w:tc>
          <w:tcPr>
            <w:tcW w:w="2580" w:type="dxa"/>
            <w:vAlign w:val="bottom"/>
            <w:shd w:val="clear" w:color="auto" w:fill="CFF0FC"/>
          </w:tcPr>
          <w:p>
            <w:pPr>
              <w:ind w:left="420"/>
              <w:spacing w:after="0"/>
              <w:rPr>
                <w:sz w:val="20"/>
                <w:szCs w:val="20"/>
                <w:color w:val="auto"/>
              </w:rPr>
            </w:pPr>
            <w:r>
              <w:rPr>
                <w:rFonts w:ascii="Arial" w:cs="Arial" w:eastAsia="Arial" w:hAnsi="Arial"/>
                <w:sz w:val="16"/>
                <w:szCs w:val="16"/>
                <w:color w:val="auto"/>
              </w:rPr>
              <w:t>Criticized accrual</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26,780</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35,264</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28,020</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143,403</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8,857</w:t>
            </w:r>
          </w:p>
        </w:tc>
        <w:tc>
          <w:tcPr>
            <w:tcW w:w="1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242,324</w:t>
            </w:r>
          </w:p>
        </w:tc>
        <w:tc>
          <w:tcPr>
            <w:tcW w:w="100" w:type="dxa"/>
            <w:vAlign w:val="bottom"/>
            <w:shd w:val="clear" w:color="auto" w:fill="CFF0FC"/>
          </w:tcPr>
          <w:p>
            <w:pPr>
              <w:spacing w:after="0"/>
              <w:rPr>
                <w:sz w:val="19"/>
                <w:szCs w:val="19"/>
                <w:color w:val="auto"/>
              </w:rPr>
            </w:pPr>
          </w:p>
        </w:tc>
      </w:tr>
      <w:tr>
        <w:trPr>
          <w:trHeight w:val="213"/>
        </w:trPr>
        <w:tc>
          <w:tcPr>
            <w:tcW w:w="2580" w:type="dxa"/>
            <w:vAlign w:val="bottom"/>
          </w:tcPr>
          <w:p>
            <w:pPr>
              <w:ind w:left="420"/>
              <w:spacing w:after="0"/>
              <w:rPr>
                <w:sz w:val="20"/>
                <w:szCs w:val="20"/>
                <w:color w:val="auto"/>
              </w:rPr>
            </w:pPr>
            <w:r>
              <w:rPr>
                <w:rFonts w:ascii="Arial" w:cs="Arial" w:eastAsia="Arial" w:hAnsi="Arial"/>
                <w:sz w:val="16"/>
                <w:szCs w:val="16"/>
                <w:color w:val="auto"/>
              </w:rPr>
              <w:t>Criticized nonaccrual</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350</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7,851</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21,592</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5,142</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34,935</w:t>
            </w:r>
          </w:p>
        </w:tc>
        <w:tc>
          <w:tcPr>
            <w:tcW w:w="100" w:type="dxa"/>
            <w:vAlign w:val="bottom"/>
          </w:tcPr>
          <w:p>
            <w:pPr>
              <w:spacing w:after="0"/>
              <w:rPr>
                <w:sz w:val="18"/>
                <w:szCs w:val="18"/>
                <w:color w:val="auto"/>
              </w:rPr>
            </w:pPr>
          </w:p>
        </w:tc>
      </w:tr>
      <w:tr>
        <w:trPr>
          <w:trHeight w:val="202"/>
        </w:trPr>
        <w:tc>
          <w:tcPr>
            <w:tcW w:w="2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 other commercial</w:t>
            </w:r>
          </w:p>
        </w:tc>
        <w:tc>
          <w:tcPr>
            <w:tcW w:w="2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09"/>
        </w:trPr>
        <w:tc>
          <w:tcPr>
            <w:tcW w:w="25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construction</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265,269</w:t>
            </w: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2,130,718</w:t>
            </w: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8"/>
              </w:rPr>
              <w:t>2,496,853</w:t>
            </w: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8"/>
              </w:rPr>
              <w:t>1,531,532</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720,964</w:t>
            </w: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425,822</w:t>
            </w: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84,806</w:t>
            </w: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7,655,964</w:t>
            </w:r>
          </w:p>
        </w:tc>
        <w:tc>
          <w:tcPr>
            <w:tcW w:w="100" w:type="dxa"/>
            <w:vAlign w:val="bottom"/>
            <w:shd w:val="clear" w:color="auto" w:fill="CFF0FC"/>
          </w:tcPr>
          <w:p>
            <w:pPr>
              <w:spacing w:after="0"/>
              <w:rPr>
                <w:sz w:val="18"/>
                <w:szCs w:val="18"/>
                <w:color w:val="auto"/>
              </w:rPr>
            </w:pPr>
          </w:p>
        </w:tc>
      </w:tr>
      <w:tr>
        <w:trPr>
          <w:trHeight w:val="20"/>
        </w:trPr>
        <w:tc>
          <w:tcPr>
            <w:tcW w:w="25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NOTES TO FINANCIAL STATEMENTS, CONTINUED</w:t>
      </w:r>
    </w:p>
    <w:p>
      <w:pPr>
        <w:spacing w:after="0" w:line="21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3. Loans and leases and the allowance for credit losses, continued</w:t>
      </w:r>
    </w:p>
    <w:p>
      <w:pPr>
        <w:spacing w:after="0" w:line="115" w:lineRule="exact"/>
        <w:rPr>
          <w:sz w:val="20"/>
          <w:szCs w:val="20"/>
          <w:color w:val="auto"/>
        </w:rPr>
      </w:pPr>
    </w:p>
    <w:p>
      <w:pPr>
        <w:jc w:val="both"/>
        <w:ind w:right="20" w:firstLine="510"/>
        <w:spacing w:after="0" w:line="252" w:lineRule="auto"/>
        <w:rPr>
          <w:sz w:val="20"/>
          <w:szCs w:val="20"/>
          <w:color w:val="auto"/>
        </w:rPr>
      </w:pPr>
      <w:r>
        <w:rPr>
          <w:rFonts w:ascii="Arial" w:cs="Arial" w:eastAsia="Arial" w:hAnsi="Arial"/>
          <w:sz w:val="21"/>
          <w:szCs w:val="21"/>
          <w:color w:val="auto"/>
        </w:rPr>
        <w:t>The Company considers repayment performance a significant indicator of credit quality for its residential real estate loan and consumer loan portfolios. A summary of loans in accrual and nonaccrual status at March 31, 2020 for the various classes of the Company’s residential real estate loans and consumer loans by origination year is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Arial" w:cs="Arial" w:eastAsia="Arial" w:hAnsi="Arial"/>
                <w:sz w:val="16"/>
                <w:szCs w:val="16"/>
                <w:b w:val="1"/>
                <w:bCs w:val="1"/>
                <w:color w:val="auto"/>
                <w:w w:val="91"/>
              </w:rPr>
              <w:t>Revolving</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Arial" w:cs="Arial" w:eastAsia="Arial" w:hAnsi="Arial"/>
                <w:sz w:val="16"/>
                <w:szCs w:val="16"/>
                <w:b w:val="1"/>
                <w:bCs w:val="1"/>
                <w:color w:val="auto"/>
                <w:w w:val="89"/>
              </w:rPr>
              <w:t>Loans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Arial" w:cs="Arial" w:eastAsia="Arial" w:hAnsi="Arial"/>
                <w:sz w:val="16"/>
                <w:szCs w:val="16"/>
                <w:b w:val="1"/>
                <w:bCs w:val="1"/>
                <w:color w:val="auto"/>
                <w:w w:val="90"/>
              </w:rPr>
              <w:t>Converted</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520" w:type="dxa"/>
            <w:vAlign w:val="bottom"/>
            <w:tcBorders>
              <w:bottom w:val="single" w:sz="8" w:color="auto"/>
            </w:tcBorders>
            <w:gridSpan w:val="8"/>
          </w:tcPr>
          <w:p>
            <w:pPr>
              <w:ind w:left="580"/>
              <w:spacing w:after="0"/>
              <w:rPr>
                <w:sz w:val="20"/>
                <w:szCs w:val="20"/>
                <w:color w:val="auto"/>
              </w:rPr>
            </w:pPr>
            <w:r>
              <w:rPr>
                <w:rFonts w:ascii="Arial" w:cs="Arial" w:eastAsia="Arial" w:hAnsi="Arial"/>
                <w:sz w:val="16"/>
                <w:szCs w:val="16"/>
                <w:b w:val="1"/>
                <w:bCs w:val="1"/>
                <w:color w:val="auto"/>
              </w:rPr>
              <w:t>Term Loans by Origination Year</w:t>
            </w:r>
          </w:p>
        </w:tc>
        <w:tc>
          <w:tcPr>
            <w:tcW w:w="7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Revolving</w:t>
            </w:r>
          </w:p>
        </w:tc>
        <w:tc>
          <w:tcPr>
            <w:tcW w:w="800" w:type="dxa"/>
            <w:vAlign w:val="bottom"/>
          </w:tcPr>
          <w:p>
            <w:pPr>
              <w:jc w:val="center"/>
              <w:spacing w:after="0"/>
              <w:rPr>
                <w:sz w:val="20"/>
                <w:szCs w:val="20"/>
                <w:color w:val="auto"/>
              </w:rPr>
            </w:pPr>
            <w:r>
              <w:rPr>
                <w:rFonts w:ascii="Arial" w:cs="Arial" w:eastAsia="Arial" w:hAnsi="Arial"/>
                <w:sz w:val="16"/>
                <w:szCs w:val="16"/>
                <w:b w:val="1"/>
                <w:bCs w:val="1"/>
                <w:color w:val="auto"/>
                <w:w w:val="91"/>
              </w:rPr>
              <w:t>to Term</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ind w:right="79"/>
              <w:spacing w:after="0"/>
              <w:rPr>
                <w:sz w:val="20"/>
                <w:szCs w:val="20"/>
                <w:color w:val="auto"/>
              </w:rPr>
            </w:pPr>
            <w:r>
              <w:rPr>
                <w:rFonts w:ascii="Arial" w:cs="Arial" w:eastAsia="Arial" w:hAnsi="Arial"/>
                <w:sz w:val="16"/>
                <w:szCs w:val="16"/>
                <w:b w:val="1"/>
                <w:bCs w:val="1"/>
                <w:color w:val="auto"/>
              </w:rPr>
              <w:t>2020</w:t>
            </w:r>
          </w:p>
        </w:tc>
        <w:tc>
          <w:tcPr>
            <w:tcW w:w="220" w:type="dxa"/>
            <w:vAlign w:val="bottom"/>
          </w:tcPr>
          <w:p>
            <w:pPr>
              <w:spacing w:after="0"/>
              <w:rPr>
                <w:sz w:val="19"/>
                <w:szCs w:val="19"/>
                <w:color w:val="auto"/>
              </w:rPr>
            </w:pPr>
          </w:p>
        </w:tc>
        <w:tc>
          <w:tcPr>
            <w:tcW w:w="760" w:type="dxa"/>
            <w:vAlign w:val="bottom"/>
          </w:tcPr>
          <w:p>
            <w:pPr>
              <w:jc w:val="right"/>
              <w:ind w:right="139"/>
              <w:spacing w:after="0"/>
              <w:rPr>
                <w:sz w:val="20"/>
                <w:szCs w:val="20"/>
                <w:color w:val="auto"/>
              </w:rPr>
            </w:pPr>
            <w:r>
              <w:rPr>
                <w:rFonts w:ascii="Arial" w:cs="Arial" w:eastAsia="Arial" w:hAnsi="Arial"/>
                <w:sz w:val="16"/>
                <w:szCs w:val="16"/>
                <w:b w:val="1"/>
                <w:bCs w:val="1"/>
                <w:color w:val="auto"/>
              </w:rPr>
              <w:t>2019</w:t>
            </w:r>
          </w:p>
        </w:tc>
        <w:tc>
          <w:tcPr>
            <w:tcW w:w="220" w:type="dxa"/>
            <w:vAlign w:val="bottom"/>
          </w:tcPr>
          <w:p>
            <w:pPr>
              <w:spacing w:after="0"/>
              <w:rPr>
                <w:sz w:val="19"/>
                <w:szCs w:val="19"/>
                <w:color w:val="auto"/>
              </w:rPr>
            </w:pPr>
          </w:p>
        </w:tc>
        <w:tc>
          <w:tcPr>
            <w:tcW w:w="620" w:type="dxa"/>
            <w:vAlign w:val="bottom"/>
          </w:tcPr>
          <w:p>
            <w:pPr>
              <w:jc w:val="right"/>
              <w:ind w:right="79"/>
              <w:spacing w:after="0"/>
              <w:rPr>
                <w:sz w:val="20"/>
                <w:szCs w:val="20"/>
                <w:color w:val="auto"/>
              </w:rPr>
            </w:pPr>
            <w:r>
              <w:rPr>
                <w:rFonts w:ascii="Arial" w:cs="Arial" w:eastAsia="Arial" w:hAnsi="Arial"/>
                <w:sz w:val="16"/>
                <w:szCs w:val="16"/>
                <w:b w:val="1"/>
                <w:bCs w:val="1"/>
                <w:color w:val="auto"/>
              </w:rPr>
              <w:t>2018</w:t>
            </w:r>
          </w:p>
        </w:tc>
        <w:tc>
          <w:tcPr>
            <w:tcW w:w="220" w:type="dxa"/>
            <w:vAlign w:val="bottom"/>
          </w:tcPr>
          <w:p>
            <w:pPr>
              <w:spacing w:after="0"/>
              <w:rPr>
                <w:sz w:val="19"/>
                <w:szCs w:val="19"/>
                <w:color w:val="auto"/>
              </w:rPr>
            </w:pPr>
          </w:p>
        </w:tc>
        <w:tc>
          <w:tcPr>
            <w:tcW w:w="640" w:type="dxa"/>
            <w:vAlign w:val="bottom"/>
          </w:tcPr>
          <w:p>
            <w:pPr>
              <w:jc w:val="right"/>
              <w:ind w:right="79"/>
              <w:spacing w:after="0"/>
              <w:rPr>
                <w:sz w:val="20"/>
                <w:szCs w:val="20"/>
                <w:color w:val="auto"/>
              </w:rPr>
            </w:pPr>
            <w:r>
              <w:rPr>
                <w:rFonts w:ascii="Arial" w:cs="Arial" w:eastAsia="Arial" w:hAnsi="Arial"/>
                <w:sz w:val="16"/>
                <w:szCs w:val="16"/>
                <w:b w:val="1"/>
                <w:bCs w:val="1"/>
                <w:color w:val="auto"/>
              </w:rPr>
              <w:t>2017</w:t>
            </w:r>
          </w:p>
        </w:tc>
        <w:tc>
          <w:tcPr>
            <w:tcW w:w="220" w:type="dxa"/>
            <w:vAlign w:val="bottom"/>
          </w:tcPr>
          <w:p>
            <w:pPr>
              <w:spacing w:after="0"/>
              <w:rPr>
                <w:sz w:val="19"/>
                <w:szCs w:val="19"/>
                <w:color w:val="auto"/>
              </w:rPr>
            </w:pPr>
          </w:p>
        </w:tc>
        <w:tc>
          <w:tcPr>
            <w:tcW w:w="620" w:type="dxa"/>
            <w:vAlign w:val="bottom"/>
          </w:tcPr>
          <w:p>
            <w:pPr>
              <w:jc w:val="right"/>
              <w:ind w:right="79"/>
              <w:spacing w:after="0"/>
              <w:rPr>
                <w:sz w:val="20"/>
                <w:szCs w:val="20"/>
                <w:color w:val="auto"/>
              </w:rPr>
            </w:pPr>
            <w:r>
              <w:rPr>
                <w:rFonts w:ascii="Arial" w:cs="Arial" w:eastAsia="Arial" w:hAnsi="Arial"/>
                <w:sz w:val="16"/>
                <w:szCs w:val="16"/>
                <w:b w:val="1"/>
                <w:bCs w:val="1"/>
                <w:color w:val="auto"/>
              </w:rPr>
              <w:t>2016</w:t>
            </w:r>
          </w:p>
        </w:tc>
        <w:tc>
          <w:tcPr>
            <w:tcW w:w="220" w:type="dxa"/>
            <w:vAlign w:val="bottom"/>
          </w:tcPr>
          <w:p>
            <w:pPr>
              <w:spacing w:after="0"/>
              <w:rPr>
                <w:sz w:val="19"/>
                <w:szCs w:val="19"/>
                <w:color w:val="auto"/>
              </w:rPr>
            </w:pPr>
          </w:p>
        </w:tc>
        <w:tc>
          <w:tcPr>
            <w:tcW w:w="980" w:type="dxa"/>
            <w:vAlign w:val="bottom"/>
            <w:gridSpan w:val="2"/>
          </w:tcPr>
          <w:p>
            <w:pPr>
              <w:ind w:left="180"/>
              <w:spacing w:after="0"/>
              <w:rPr>
                <w:sz w:val="20"/>
                <w:szCs w:val="20"/>
                <w:color w:val="auto"/>
              </w:rPr>
            </w:pPr>
            <w:r>
              <w:rPr>
                <w:rFonts w:ascii="Arial" w:cs="Arial" w:eastAsia="Arial" w:hAnsi="Arial"/>
                <w:sz w:val="16"/>
                <w:szCs w:val="16"/>
                <w:b w:val="1"/>
                <w:bCs w:val="1"/>
                <w:color w:val="auto"/>
              </w:rPr>
              <w:t>Prior</w:t>
            </w:r>
          </w:p>
        </w:tc>
        <w:tc>
          <w:tcPr>
            <w:tcW w:w="9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Loans</w:t>
            </w:r>
          </w:p>
        </w:tc>
        <w:tc>
          <w:tcPr>
            <w:tcW w:w="800" w:type="dxa"/>
            <w:vAlign w:val="bottom"/>
          </w:tcPr>
          <w:p>
            <w:pPr>
              <w:jc w:val="center"/>
              <w:spacing w:after="0"/>
              <w:rPr>
                <w:sz w:val="20"/>
                <w:szCs w:val="20"/>
                <w:color w:val="auto"/>
              </w:rPr>
            </w:pPr>
            <w:r>
              <w:rPr>
                <w:rFonts w:ascii="Arial" w:cs="Arial" w:eastAsia="Arial" w:hAnsi="Arial"/>
                <w:sz w:val="16"/>
                <w:szCs w:val="16"/>
                <w:b w:val="1"/>
                <w:bCs w:val="1"/>
                <w:color w:val="auto"/>
                <w:w w:val="89"/>
              </w:rPr>
              <w:t>Loans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ind w:left="14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820" w:type="dxa"/>
            <w:vAlign w:val="bottom"/>
            <w:tcBorders>
              <w:top w:val="single" w:sz="8" w:color="auto"/>
            </w:tcBorders>
            <w:gridSpan w:val="4"/>
          </w:tcPr>
          <w:p>
            <w:pPr>
              <w:ind w:left="40"/>
              <w:spacing w:after="0"/>
              <w:rPr>
                <w:sz w:val="20"/>
                <w:szCs w:val="20"/>
                <w:color w:val="auto"/>
              </w:rPr>
            </w:pPr>
            <w:r>
              <w:rPr>
                <w:rFonts w:ascii="Arial" w:cs="Arial" w:eastAsia="Arial" w:hAnsi="Arial"/>
                <w:sz w:val="16"/>
                <w:szCs w:val="16"/>
                <w:b w:val="1"/>
                <w:bCs w:val="1"/>
                <w:color w:val="auto"/>
              </w:rPr>
              <w:t>(In thousands)</w:t>
            </w:r>
          </w:p>
        </w:tc>
        <w:tc>
          <w:tcPr>
            <w:tcW w:w="7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2800" w:type="dxa"/>
            <w:vAlign w:val="bottom"/>
            <w:gridSpan w:val="2"/>
          </w:tcPr>
          <w:p>
            <w:pPr>
              <w:spacing w:after="0"/>
              <w:rPr>
                <w:sz w:val="20"/>
                <w:szCs w:val="20"/>
                <w:color w:val="auto"/>
              </w:rPr>
            </w:pPr>
            <w:r>
              <w:rPr>
                <w:rFonts w:ascii="Arial" w:cs="Arial" w:eastAsia="Arial" w:hAnsi="Arial"/>
                <w:sz w:val="18"/>
                <w:szCs w:val="18"/>
                <w:color w:val="auto"/>
              </w:rPr>
              <w:t>Residential:</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780" w:type="dxa"/>
            <w:vAlign w:val="bottom"/>
            <w:shd w:val="clear" w:color="auto" w:fill="CFF0FC"/>
          </w:tcPr>
          <w:p>
            <w:pPr>
              <w:ind w:left="440"/>
              <w:spacing w:after="0"/>
              <w:rPr>
                <w:sz w:val="20"/>
                <w:szCs w:val="20"/>
                <w:color w:val="auto"/>
              </w:rPr>
            </w:pPr>
            <w:r>
              <w:rPr>
                <w:rFonts w:ascii="Arial" w:cs="Arial" w:eastAsia="Arial" w:hAnsi="Arial"/>
                <w:sz w:val="18"/>
                <w:szCs w:val="18"/>
                <w:color w:val="auto"/>
              </w:rPr>
              <w:t>Current</w:t>
            </w:r>
          </w:p>
        </w:tc>
        <w:tc>
          <w:tcPr>
            <w:tcW w:w="2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704,732</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1,520,330</w:t>
            </w: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650,458</w:t>
            </w: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641,908</w:t>
            </w: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756,672</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8,094,685</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45,759</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12,414,544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780" w:type="dxa"/>
            <w:vAlign w:val="bottom"/>
          </w:tcPr>
          <w:p>
            <w:pPr>
              <w:ind w:left="440"/>
              <w:spacing w:after="0"/>
              <w:rPr>
                <w:sz w:val="20"/>
                <w:szCs w:val="20"/>
                <w:color w:val="auto"/>
              </w:rPr>
            </w:pPr>
            <w:r>
              <w:rPr>
                <w:rFonts w:ascii="Arial" w:cs="Arial" w:eastAsia="Arial" w:hAnsi="Arial"/>
                <w:sz w:val="18"/>
                <w:szCs w:val="18"/>
                <w:color w:val="auto"/>
              </w:rPr>
              <w:t>30-89 days past due</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1,029</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6,951</w:t>
            </w: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13,882</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38,945</w:t>
            </w: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16,851</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419,583</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1,836</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499,077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780" w:type="dxa"/>
            <w:vAlign w:val="bottom"/>
            <w:shd w:val="clear" w:color="auto" w:fill="CFF0FC"/>
          </w:tcPr>
          <w:p>
            <w:pPr>
              <w:ind w:left="440"/>
              <w:spacing w:after="0"/>
              <w:rPr>
                <w:sz w:val="20"/>
                <w:szCs w:val="20"/>
                <w:color w:val="auto"/>
              </w:rPr>
            </w:pPr>
            <w:r>
              <w:rPr>
                <w:rFonts w:ascii="Arial" w:cs="Arial" w:eastAsia="Arial" w:hAnsi="Arial"/>
                <w:sz w:val="18"/>
                <w:szCs w:val="18"/>
                <w:color w:val="auto"/>
              </w:rPr>
              <w:t>Accruing loans past due 90</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80" w:type="dxa"/>
            <w:vAlign w:val="bottom"/>
            <w:shd w:val="clear" w:color="auto" w:fill="CFF0FC"/>
          </w:tcPr>
          <w:p>
            <w:pPr>
              <w:ind w:left="520"/>
              <w:spacing w:after="0"/>
              <w:rPr>
                <w:sz w:val="20"/>
                <w:szCs w:val="20"/>
                <w:color w:val="auto"/>
              </w:rPr>
            </w:pPr>
            <w:r>
              <w:rPr>
                <w:rFonts w:ascii="Arial" w:cs="Arial" w:eastAsia="Arial" w:hAnsi="Arial"/>
                <w:sz w:val="18"/>
                <w:szCs w:val="18"/>
                <w:color w:val="auto"/>
              </w:rPr>
              <w:t>days or more</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4,496</w:t>
            </w:r>
          </w:p>
        </w:tc>
        <w:tc>
          <w:tcPr>
            <w:tcW w:w="22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22,933</w:t>
            </w:r>
          </w:p>
        </w:tc>
        <w:tc>
          <w:tcPr>
            <w:tcW w:w="22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113,273</w:t>
            </w:r>
          </w:p>
        </w:tc>
        <w:tc>
          <w:tcPr>
            <w:tcW w:w="22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25,993</w:t>
            </w:r>
          </w:p>
        </w:tc>
        <w:tc>
          <w:tcPr>
            <w:tcW w:w="22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307,321</w:t>
            </w:r>
          </w:p>
        </w:tc>
        <w:tc>
          <w:tcPr>
            <w:tcW w:w="22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474,016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780" w:type="dxa"/>
            <w:vAlign w:val="bottom"/>
            <w:tcBorders>
              <w:bottom w:val="single" w:sz="8" w:color="CFF0FC"/>
            </w:tcBorders>
          </w:tcPr>
          <w:p>
            <w:pPr>
              <w:ind w:left="440"/>
              <w:spacing w:after="0"/>
              <w:rPr>
                <w:sz w:val="20"/>
                <w:szCs w:val="20"/>
                <w:color w:val="auto"/>
              </w:rPr>
            </w:pPr>
            <w:r>
              <w:rPr>
                <w:rFonts w:ascii="Arial" w:cs="Arial" w:eastAsia="Arial" w:hAnsi="Arial"/>
                <w:sz w:val="18"/>
                <w:szCs w:val="18"/>
                <w:color w:val="auto"/>
              </w:rPr>
              <w:t>Nonaccrual</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1,609</w:t>
            </w:r>
          </w:p>
        </w:tc>
        <w:tc>
          <w:tcPr>
            <w:tcW w:w="22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5,356</w:t>
            </w:r>
          </w:p>
        </w:tc>
        <w:tc>
          <w:tcPr>
            <w:tcW w:w="22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981</w:t>
            </w:r>
          </w:p>
        </w:tc>
        <w:tc>
          <w:tcPr>
            <w:tcW w:w="22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285,465</w:t>
            </w:r>
          </w:p>
        </w:tc>
        <w:tc>
          <w:tcPr>
            <w:tcW w:w="22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w:t>
            </w:r>
          </w:p>
        </w:tc>
        <w:tc>
          <w:tcPr>
            <w:tcW w:w="22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293,638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80" w:type="dxa"/>
            <w:vAlign w:val="bottom"/>
            <w:shd w:val="clear" w:color="auto" w:fill="CFF0FC"/>
          </w:tcPr>
          <w:p>
            <w:pPr>
              <w:spacing w:after="0"/>
              <w:rPr>
                <w:sz w:val="20"/>
                <w:szCs w:val="20"/>
                <w:color w:val="auto"/>
              </w:rPr>
            </w:pPr>
            <w:r>
              <w:rPr>
                <w:rFonts w:ascii="Arial" w:cs="Arial" w:eastAsia="Arial" w:hAnsi="Arial"/>
                <w:sz w:val="18"/>
                <w:szCs w:val="18"/>
                <w:color w:val="auto"/>
              </w:rPr>
              <w:t>Total residential</w:t>
            </w:r>
          </w:p>
        </w:tc>
        <w:tc>
          <w:tcPr>
            <w:tcW w:w="2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705,761</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1,531,777</w:t>
            </w: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688,882</w:t>
            </w: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799,482</w:t>
            </w: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800,497</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9,107,054</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47,822</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13,681,275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2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2780" w:type="dxa"/>
            <w:vAlign w:val="bottom"/>
            <w:shd w:val="clear" w:color="auto" w:fill="CFF0FC"/>
          </w:tcPr>
          <w:p>
            <w:pPr>
              <w:spacing w:after="0"/>
              <w:rPr>
                <w:sz w:val="20"/>
                <w:szCs w:val="20"/>
                <w:color w:val="auto"/>
              </w:rPr>
            </w:pPr>
            <w:r>
              <w:rPr>
                <w:rFonts w:ascii="Arial" w:cs="Arial" w:eastAsia="Arial" w:hAnsi="Arial"/>
                <w:sz w:val="18"/>
                <w:szCs w:val="18"/>
                <w:color w:val="auto"/>
                <w:w w:val="96"/>
              </w:rPr>
              <w:t>Residential - limited documentation:</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780" w:type="dxa"/>
            <w:vAlign w:val="bottom"/>
          </w:tcPr>
          <w:p>
            <w:pPr>
              <w:ind w:left="440"/>
              <w:spacing w:after="0"/>
              <w:rPr>
                <w:sz w:val="20"/>
                <w:szCs w:val="20"/>
                <w:color w:val="auto"/>
              </w:rPr>
            </w:pPr>
            <w:r>
              <w:rPr>
                <w:rFonts w:ascii="Arial" w:cs="Arial" w:eastAsia="Arial" w:hAnsi="Arial"/>
                <w:sz w:val="18"/>
                <w:szCs w:val="18"/>
                <w:color w:val="auto"/>
              </w:rPr>
              <w:t>Current</w:t>
            </w:r>
          </w:p>
        </w:tc>
        <w:tc>
          <w:tcPr>
            <w:tcW w:w="2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1,755,197</w:t>
            </w:r>
          </w:p>
        </w:tc>
        <w:tc>
          <w:tcPr>
            <w:tcW w:w="22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1,755,197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780" w:type="dxa"/>
            <w:vAlign w:val="bottom"/>
            <w:shd w:val="clear" w:color="auto" w:fill="CFF0FC"/>
          </w:tcPr>
          <w:p>
            <w:pPr>
              <w:ind w:left="440"/>
              <w:spacing w:after="0"/>
              <w:rPr>
                <w:sz w:val="20"/>
                <w:szCs w:val="20"/>
                <w:color w:val="auto"/>
              </w:rPr>
            </w:pPr>
            <w:r>
              <w:rPr>
                <w:rFonts w:ascii="Arial" w:cs="Arial" w:eastAsia="Arial" w:hAnsi="Arial"/>
                <w:sz w:val="18"/>
                <w:szCs w:val="18"/>
                <w:color w:val="auto"/>
              </w:rPr>
              <w:t>30-89 days past due</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87,225</w:t>
            </w: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87,225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780" w:type="dxa"/>
            <w:vAlign w:val="bottom"/>
          </w:tcPr>
          <w:p>
            <w:pPr>
              <w:ind w:left="440"/>
              <w:spacing w:after="0"/>
              <w:rPr>
                <w:sz w:val="20"/>
                <w:szCs w:val="20"/>
                <w:color w:val="auto"/>
              </w:rPr>
            </w:pPr>
            <w:r>
              <w:rPr>
                <w:rFonts w:ascii="Arial" w:cs="Arial" w:eastAsia="Arial" w:hAnsi="Arial"/>
                <w:sz w:val="18"/>
                <w:szCs w:val="18"/>
                <w:color w:val="auto"/>
              </w:rPr>
              <w:t>Accruing loans past due 90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80" w:type="dxa"/>
            <w:vAlign w:val="bottom"/>
          </w:tcPr>
          <w:p>
            <w:pPr>
              <w:ind w:left="520"/>
              <w:spacing w:after="0"/>
              <w:rPr>
                <w:sz w:val="20"/>
                <w:szCs w:val="20"/>
                <w:color w:val="auto"/>
              </w:rPr>
            </w:pPr>
            <w:r>
              <w:rPr>
                <w:rFonts w:ascii="Arial" w:cs="Arial" w:eastAsia="Arial" w:hAnsi="Arial"/>
                <w:sz w:val="18"/>
                <w:szCs w:val="18"/>
                <w:color w:val="auto"/>
              </w:rPr>
              <w:t>days or more</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780" w:type="dxa"/>
            <w:vAlign w:val="bottom"/>
            <w:shd w:val="clear" w:color="auto" w:fill="CFF0FC"/>
          </w:tcPr>
          <w:p>
            <w:pPr>
              <w:ind w:left="440"/>
              <w:spacing w:after="0"/>
              <w:rPr>
                <w:sz w:val="20"/>
                <w:szCs w:val="20"/>
                <w:color w:val="auto"/>
              </w:rPr>
            </w:pPr>
            <w:r>
              <w:rPr>
                <w:rFonts w:ascii="Arial" w:cs="Arial" w:eastAsia="Arial" w:hAnsi="Arial"/>
                <w:sz w:val="18"/>
                <w:szCs w:val="18"/>
                <w:color w:val="auto"/>
              </w:rPr>
              <w:t>Nonaccrual</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119,317</w:t>
            </w: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119,317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800" w:type="dxa"/>
            <w:vAlign w:val="bottom"/>
            <w:gridSpan w:val="2"/>
          </w:tcPr>
          <w:p>
            <w:pPr>
              <w:spacing w:after="0"/>
              <w:rPr>
                <w:sz w:val="20"/>
                <w:szCs w:val="20"/>
                <w:color w:val="auto"/>
              </w:rPr>
            </w:pPr>
            <w:r>
              <w:rPr>
                <w:rFonts w:ascii="Arial" w:cs="Arial" w:eastAsia="Arial" w:hAnsi="Arial"/>
                <w:sz w:val="18"/>
                <w:szCs w:val="18"/>
                <w:color w:val="auto"/>
              </w:rPr>
              <w:t>Total residential - limited</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780" w:type="dxa"/>
            <w:vAlign w:val="bottom"/>
          </w:tcPr>
          <w:p>
            <w:pPr>
              <w:ind w:left="120"/>
              <w:spacing w:after="0"/>
              <w:rPr>
                <w:sz w:val="20"/>
                <w:szCs w:val="20"/>
                <w:color w:val="auto"/>
              </w:rPr>
            </w:pPr>
            <w:r>
              <w:rPr>
                <w:rFonts w:ascii="Arial" w:cs="Arial" w:eastAsia="Arial" w:hAnsi="Arial"/>
                <w:sz w:val="18"/>
                <w:szCs w:val="18"/>
                <w:color w:val="auto"/>
              </w:rPr>
              <w:t>documentation</w:t>
            </w:r>
          </w:p>
        </w:tc>
        <w:tc>
          <w:tcPr>
            <w:tcW w:w="2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1,961,739</w:t>
            </w:r>
          </w:p>
        </w:tc>
        <w:tc>
          <w:tcPr>
            <w:tcW w:w="22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1,961,739</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7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Consumer:</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780" w:type="dxa"/>
            <w:vAlign w:val="bottom"/>
            <w:shd w:val="clear" w:color="auto" w:fill="CFF0FC"/>
          </w:tcPr>
          <w:p>
            <w:pPr>
              <w:spacing w:after="0"/>
              <w:rPr>
                <w:sz w:val="20"/>
                <w:szCs w:val="20"/>
                <w:color w:val="auto"/>
              </w:rPr>
            </w:pPr>
            <w:r>
              <w:rPr>
                <w:rFonts w:ascii="Arial" w:cs="Arial" w:eastAsia="Arial" w:hAnsi="Arial"/>
                <w:sz w:val="18"/>
                <w:szCs w:val="18"/>
                <w:color w:val="auto"/>
              </w:rPr>
              <w:t>Home equity lines and loans:</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780" w:type="dxa"/>
            <w:vAlign w:val="bottom"/>
          </w:tcPr>
          <w:p>
            <w:pPr>
              <w:ind w:left="440"/>
              <w:spacing w:after="0"/>
              <w:rPr>
                <w:sz w:val="20"/>
                <w:szCs w:val="20"/>
                <w:color w:val="auto"/>
              </w:rPr>
            </w:pPr>
            <w:r>
              <w:rPr>
                <w:rFonts w:ascii="Arial" w:cs="Arial" w:eastAsia="Arial" w:hAnsi="Arial"/>
                <w:sz w:val="18"/>
                <w:szCs w:val="18"/>
                <w:color w:val="auto"/>
              </w:rPr>
              <w:t>Current</w:t>
            </w:r>
          </w:p>
        </w:tc>
        <w:tc>
          <w:tcPr>
            <w:tcW w:w="2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411</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5,576</w:t>
            </w: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3,298</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3,251</w:t>
            </w: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516</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68,281</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2,822,191</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1,383,914</w:t>
            </w:r>
          </w:p>
        </w:tc>
        <w:tc>
          <w:tcPr>
            <w:tcW w:w="3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4,287,438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780" w:type="dxa"/>
            <w:vAlign w:val="bottom"/>
            <w:shd w:val="clear" w:color="auto" w:fill="CFF0FC"/>
          </w:tcPr>
          <w:p>
            <w:pPr>
              <w:ind w:left="440"/>
              <w:spacing w:after="0"/>
              <w:rPr>
                <w:sz w:val="20"/>
                <w:szCs w:val="20"/>
                <w:color w:val="auto"/>
              </w:rPr>
            </w:pPr>
            <w:r>
              <w:rPr>
                <w:rFonts w:ascii="Arial" w:cs="Arial" w:eastAsia="Arial" w:hAnsi="Arial"/>
                <w:sz w:val="18"/>
                <w:szCs w:val="18"/>
                <w:color w:val="auto"/>
              </w:rPr>
              <w:t>30-89 days past due</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4,129</w:t>
            </w: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26,267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30,396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780" w:type="dxa"/>
            <w:vAlign w:val="bottom"/>
          </w:tcPr>
          <w:p>
            <w:pPr>
              <w:ind w:left="440"/>
              <w:spacing w:after="0"/>
              <w:rPr>
                <w:sz w:val="20"/>
                <w:szCs w:val="20"/>
                <w:color w:val="auto"/>
              </w:rPr>
            </w:pPr>
            <w:r>
              <w:rPr>
                <w:rFonts w:ascii="Arial" w:cs="Arial" w:eastAsia="Arial" w:hAnsi="Arial"/>
                <w:sz w:val="18"/>
                <w:szCs w:val="18"/>
                <w:color w:val="auto"/>
              </w:rPr>
              <w:t>Accruing loans past due 90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80" w:type="dxa"/>
            <w:vAlign w:val="bottom"/>
          </w:tcPr>
          <w:p>
            <w:pPr>
              <w:ind w:left="520"/>
              <w:spacing w:after="0"/>
              <w:rPr>
                <w:sz w:val="20"/>
                <w:szCs w:val="20"/>
                <w:color w:val="auto"/>
              </w:rPr>
            </w:pPr>
            <w:r>
              <w:rPr>
                <w:rFonts w:ascii="Arial" w:cs="Arial" w:eastAsia="Arial" w:hAnsi="Arial"/>
                <w:sz w:val="18"/>
                <w:szCs w:val="18"/>
                <w:color w:val="auto"/>
              </w:rPr>
              <w:t>days or more</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780" w:type="dxa"/>
            <w:vAlign w:val="bottom"/>
            <w:shd w:val="clear" w:color="auto" w:fill="CFF0FC"/>
          </w:tcPr>
          <w:p>
            <w:pPr>
              <w:ind w:left="440"/>
              <w:spacing w:after="0"/>
              <w:rPr>
                <w:sz w:val="20"/>
                <w:szCs w:val="20"/>
                <w:color w:val="auto"/>
              </w:rPr>
            </w:pPr>
            <w:r>
              <w:rPr>
                <w:rFonts w:ascii="Arial" w:cs="Arial" w:eastAsia="Arial" w:hAnsi="Arial"/>
                <w:sz w:val="18"/>
                <w:szCs w:val="18"/>
                <w:color w:val="auto"/>
              </w:rPr>
              <w:t>Nonaccrual</w:t>
            </w:r>
          </w:p>
        </w:tc>
        <w:tc>
          <w:tcPr>
            <w:tcW w:w="1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w:t>
            </w:r>
          </w:p>
        </w:tc>
        <w:tc>
          <w:tcPr>
            <w:tcW w:w="22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6,034</w:t>
            </w:r>
          </w:p>
        </w:tc>
        <w:tc>
          <w:tcPr>
            <w:tcW w:w="22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401</w:t>
            </w:r>
          </w:p>
        </w:tc>
        <w:tc>
          <w:tcPr>
            <w:tcW w:w="220" w:type="dxa"/>
            <w:vAlign w:val="bottom"/>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56,616</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63,071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800" w:type="dxa"/>
            <w:vAlign w:val="bottom"/>
            <w:gridSpan w:val="2"/>
          </w:tcPr>
          <w:p>
            <w:pPr>
              <w:spacing w:after="0"/>
              <w:rPr>
                <w:sz w:val="20"/>
                <w:szCs w:val="20"/>
                <w:color w:val="auto"/>
              </w:rPr>
            </w:pPr>
            <w:r>
              <w:rPr>
                <w:rFonts w:ascii="Arial" w:cs="Arial" w:eastAsia="Arial" w:hAnsi="Arial"/>
                <w:sz w:val="18"/>
                <w:szCs w:val="18"/>
                <w:color w:val="auto"/>
              </w:rPr>
              <w:t>Total home equity lines and loans</w:t>
            </w:r>
          </w:p>
        </w:tc>
        <w:tc>
          <w:tcPr>
            <w:tcW w:w="2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411</w:t>
            </w:r>
          </w:p>
        </w:tc>
        <w:tc>
          <w:tcPr>
            <w:tcW w:w="2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5,576</w:t>
            </w:r>
          </w:p>
        </w:tc>
        <w:tc>
          <w:tcPr>
            <w:tcW w:w="2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3,318</w:t>
            </w:r>
          </w:p>
        </w:tc>
        <w:tc>
          <w:tcPr>
            <w:tcW w:w="2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3,251</w:t>
            </w:r>
          </w:p>
        </w:tc>
        <w:tc>
          <w:tcPr>
            <w:tcW w:w="2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516</w:t>
            </w:r>
          </w:p>
        </w:tc>
        <w:tc>
          <w:tcPr>
            <w:tcW w:w="2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78,444</w:t>
            </w: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2,822,592</w:t>
            </w: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1,466,797</w:t>
            </w:r>
          </w:p>
        </w:tc>
        <w:tc>
          <w:tcPr>
            <w:tcW w:w="3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4,380,905</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NOTES TO FINANCIAL STATEMENTS, CONTINUED</w:t>
      </w:r>
    </w:p>
    <w:p>
      <w:pPr>
        <w:spacing w:after="0" w:line="21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3. Loans and leases and the allowance for credit losses, continued</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8"/>
              </w:rPr>
              <w:t>Revolving</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Loans</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0"/>
              </w:rPr>
              <w:t>Converted</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920" w:type="dxa"/>
            <w:vAlign w:val="bottom"/>
            <w:tcBorders>
              <w:bottom w:val="single" w:sz="8" w:color="auto"/>
            </w:tcBorders>
            <w:gridSpan w:val="9"/>
          </w:tcPr>
          <w:p>
            <w:pPr>
              <w:ind w:left="740"/>
              <w:spacing w:after="0"/>
              <w:rPr>
                <w:sz w:val="20"/>
                <w:szCs w:val="20"/>
                <w:color w:val="auto"/>
              </w:rPr>
            </w:pPr>
            <w:r>
              <w:rPr>
                <w:rFonts w:ascii="Arial" w:cs="Arial" w:eastAsia="Arial" w:hAnsi="Arial"/>
                <w:sz w:val="16"/>
                <w:szCs w:val="16"/>
                <w:b w:val="1"/>
                <w:bCs w:val="1"/>
                <w:color w:val="auto"/>
              </w:rPr>
              <w:t>Term Loans by Origination Year</w:t>
            </w:r>
          </w:p>
        </w:tc>
        <w:tc>
          <w:tcPr>
            <w:tcW w:w="7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8"/>
              </w:rPr>
              <w:t>Revolving</w:t>
            </w:r>
          </w:p>
        </w:tc>
        <w:tc>
          <w:tcPr>
            <w:tcW w:w="9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1"/>
              </w:rPr>
              <w:t>to Term</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ind w:right="159"/>
              <w:spacing w:after="0"/>
              <w:rPr>
                <w:sz w:val="20"/>
                <w:szCs w:val="20"/>
                <w:color w:val="auto"/>
              </w:rPr>
            </w:pPr>
            <w:r>
              <w:rPr>
                <w:rFonts w:ascii="Arial" w:cs="Arial" w:eastAsia="Arial" w:hAnsi="Arial"/>
                <w:sz w:val="16"/>
                <w:szCs w:val="16"/>
                <w:b w:val="1"/>
                <w:bCs w:val="1"/>
                <w:color w:val="auto"/>
              </w:rPr>
              <w:t>2020</w:t>
            </w:r>
          </w:p>
        </w:tc>
        <w:tc>
          <w:tcPr>
            <w:tcW w:w="180" w:type="dxa"/>
            <w:vAlign w:val="bottom"/>
          </w:tcPr>
          <w:p>
            <w:pPr>
              <w:spacing w:after="0"/>
              <w:rPr>
                <w:sz w:val="19"/>
                <w:szCs w:val="19"/>
                <w:color w:val="auto"/>
              </w:rPr>
            </w:pPr>
          </w:p>
        </w:tc>
        <w:tc>
          <w:tcPr>
            <w:tcW w:w="820" w:type="dxa"/>
            <w:vAlign w:val="bottom"/>
          </w:tcPr>
          <w:p>
            <w:pPr>
              <w:jc w:val="right"/>
              <w:ind w:right="159"/>
              <w:spacing w:after="0"/>
              <w:rPr>
                <w:sz w:val="20"/>
                <w:szCs w:val="20"/>
                <w:color w:val="auto"/>
              </w:rPr>
            </w:pPr>
            <w:r>
              <w:rPr>
                <w:rFonts w:ascii="Arial" w:cs="Arial" w:eastAsia="Arial" w:hAnsi="Arial"/>
                <w:sz w:val="16"/>
                <w:szCs w:val="16"/>
                <w:b w:val="1"/>
                <w:bCs w:val="1"/>
                <w:color w:val="auto"/>
              </w:rPr>
              <w:t>2019</w:t>
            </w:r>
          </w:p>
        </w:tc>
        <w:tc>
          <w:tcPr>
            <w:tcW w:w="180" w:type="dxa"/>
            <w:vAlign w:val="bottom"/>
          </w:tcPr>
          <w:p>
            <w:pPr>
              <w:spacing w:after="0"/>
              <w:rPr>
                <w:sz w:val="19"/>
                <w:szCs w:val="19"/>
                <w:color w:val="auto"/>
              </w:rPr>
            </w:pPr>
          </w:p>
        </w:tc>
        <w:tc>
          <w:tcPr>
            <w:tcW w:w="820" w:type="dxa"/>
            <w:vAlign w:val="bottom"/>
          </w:tcPr>
          <w:p>
            <w:pPr>
              <w:jc w:val="right"/>
              <w:ind w:right="159"/>
              <w:spacing w:after="0"/>
              <w:rPr>
                <w:sz w:val="20"/>
                <w:szCs w:val="20"/>
                <w:color w:val="auto"/>
              </w:rPr>
            </w:pPr>
            <w:r>
              <w:rPr>
                <w:rFonts w:ascii="Arial" w:cs="Arial" w:eastAsia="Arial" w:hAnsi="Arial"/>
                <w:sz w:val="16"/>
                <w:szCs w:val="16"/>
                <w:b w:val="1"/>
                <w:bCs w:val="1"/>
                <w:color w:val="auto"/>
              </w:rPr>
              <w:t>2018</w:t>
            </w:r>
          </w:p>
        </w:tc>
        <w:tc>
          <w:tcPr>
            <w:tcW w:w="180" w:type="dxa"/>
            <w:vAlign w:val="bottom"/>
          </w:tcPr>
          <w:p>
            <w:pPr>
              <w:spacing w:after="0"/>
              <w:rPr>
                <w:sz w:val="19"/>
                <w:szCs w:val="19"/>
                <w:color w:val="auto"/>
              </w:rPr>
            </w:pPr>
          </w:p>
        </w:tc>
        <w:tc>
          <w:tcPr>
            <w:tcW w:w="740" w:type="dxa"/>
            <w:vAlign w:val="bottom"/>
          </w:tcPr>
          <w:p>
            <w:pPr>
              <w:jc w:val="right"/>
              <w:ind w:right="139"/>
              <w:spacing w:after="0"/>
              <w:rPr>
                <w:sz w:val="20"/>
                <w:szCs w:val="20"/>
                <w:color w:val="auto"/>
              </w:rPr>
            </w:pPr>
            <w:r>
              <w:rPr>
                <w:rFonts w:ascii="Arial" w:cs="Arial" w:eastAsia="Arial" w:hAnsi="Arial"/>
                <w:sz w:val="16"/>
                <w:szCs w:val="16"/>
                <w:b w:val="1"/>
                <w:bCs w:val="1"/>
                <w:color w:val="auto"/>
              </w:rPr>
              <w:t>2017</w:t>
            </w:r>
          </w:p>
        </w:tc>
        <w:tc>
          <w:tcPr>
            <w:tcW w:w="940" w:type="dxa"/>
            <w:vAlign w:val="bottom"/>
            <w:gridSpan w:val="2"/>
          </w:tcPr>
          <w:p>
            <w:pPr>
              <w:jc w:val="right"/>
              <w:ind w:right="139"/>
              <w:spacing w:after="0"/>
              <w:rPr>
                <w:sz w:val="20"/>
                <w:szCs w:val="20"/>
                <w:color w:val="auto"/>
              </w:rPr>
            </w:pPr>
            <w:r>
              <w:rPr>
                <w:rFonts w:ascii="Arial" w:cs="Arial" w:eastAsia="Arial" w:hAnsi="Arial"/>
                <w:sz w:val="16"/>
                <w:szCs w:val="16"/>
                <w:b w:val="1"/>
                <w:bCs w:val="1"/>
                <w:color w:val="auto"/>
              </w:rPr>
              <w:t>2016</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gridSpan w:val="2"/>
          </w:tcPr>
          <w:p>
            <w:pPr>
              <w:ind w:left="160"/>
              <w:spacing w:after="0"/>
              <w:rPr>
                <w:sz w:val="20"/>
                <w:szCs w:val="20"/>
                <w:color w:val="auto"/>
              </w:rPr>
            </w:pPr>
            <w:r>
              <w:rPr>
                <w:rFonts w:ascii="Arial" w:cs="Arial" w:eastAsia="Arial" w:hAnsi="Arial"/>
                <w:sz w:val="16"/>
                <w:szCs w:val="16"/>
                <w:b w:val="1"/>
                <w:bCs w:val="1"/>
                <w:color w:val="auto"/>
              </w:rPr>
              <w:t>Prior</w:t>
            </w:r>
          </w:p>
        </w:tc>
        <w:tc>
          <w:tcPr>
            <w:tcW w:w="10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3"/>
              </w:rPr>
              <w:t>Loans</w:t>
            </w:r>
          </w:p>
        </w:tc>
        <w:tc>
          <w:tcPr>
            <w:tcW w:w="9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Loans</w:t>
            </w:r>
          </w:p>
        </w:tc>
        <w:tc>
          <w:tcPr>
            <w:tcW w:w="100" w:type="dxa"/>
            <w:vAlign w:val="bottom"/>
          </w:tcPr>
          <w:p>
            <w:pPr>
              <w:spacing w:after="0"/>
              <w:rPr>
                <w:sz w:val="19"/>
                <w:szCs w:val="19"/>
                <w:color w:val="auto"/>
              </w:rPr>
            </w:pPr>
          </w:p>
        </w:tc>
        <w:tc>
          <w:tcPr>
            <w:tcW w:w="840" w:type="dxa"/>
            <w:vAlign w:val="bottom"/>
            <w:gridSpan w:val="2"/>
          </w:tcPr>
          <w:p>
            <w:pPr>
              <w:ind w:left="16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gridSpan w:val="4"/>
          </w:tcPr>
          <w:p>
            <w:pPr>
              <w:ind w:left="140"/>
              <w:spacing w:after="0"/>
              <w:rPr>
                <w:sz w:val="20"/>
                <w:szCs w:val="20"/>
                <w:color w:val="auto"/>
              </w:rPr>
            </w:pPr>
            <w:r>
              <w:rPr>
                <w:rFonts w:ascii="Arial" w:cs="Arial" w:eastAsia="Arial" w:hAnsi="Arial"/>
                <w:sz w:val="16"/>
                <w:szCs w:val="16"/>
                <w:b w:val="1"/>
                <w:bCs w:val="1"/>
                <w:color w:val="auto"/>
                <w:w w:val="92"/>
              </w:rPr>
              <w:t>(In thousands)</w:t>
            </w:r>
          </w:p>
        </w:tc>
        <w:tc>
          <w:tcPr>
            <w:tcW w:w="7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2480" w:type="dxa"/>
            <w:vAlign w:val="bottom"/>
            <w:gridSpan w:val="2"/>
          </w:tcPr>
          <w:p>
            <w:pPr>
              <w:spacing w:after="0"/>
              <w:rPr>
                <w:sz w:val="20"/>
                <w:szCs w:val="20"/>
                <w:color w:val="auto"/>
              </w:rPr>
            </w:pPr>
            <w:r>
              <w:rPr>
                <w:rFonts w:ascii="Arial" w:cs="Arial" w:eastAsia="Arial" w:hAnsi="Arial"/>
                <w:sz w:val="18"/>
                <w:szCs w:val="18"/>
                <w:color w:val="auto"/>
              </w:rPr>
              <w:t>Recreational finance:</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460" w:type="dxa"/>
            <w:vAlign w:val="bottom"/>
            <w:shd w:val="clear" w:color="auto" w:fill="CFF0FC"/>
          </w:tcPr>
          <w:p>
            <w:pPr>
              <w:ind w:left="440"/>
              <w:spacing w:after="0"/>
              <w:rPr>
                <w:sz w:val="20"/>
                <w:szCs w:val="20"/>
                <w:color w:val="auto"/>
              </w:rPr>
            </w:pPr>
            <w:r>
              <w:rPr>
                <w:rFonts w:ascii="Arial" w:cs="Arial" w:eastAsia="Arial" w:hAnsi="Arial"/>
                <w:sz w:val="18"/>
                <w:szCs w:val="18"/>
                <w:color w:val="auto"/>
              </w:rPr>
              <w:t>Current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566,034</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2,151,461</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1,126,908</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775,213</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435,562</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723,545</w:t>
            </w: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5,778,723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460" w:type="dxa"/>
            <w:vAlign w:val="bottom"/>
          </w:tcPr>
          <w:p>
            <w:pPr>
              <w:ind w:left="440"/>
              <w:spacing w:after="0"/>
              <w:rPr>
                <w:sz w:val="20"/>
                <w:szCs w:val="20"/>
                <w:color w:val="auto"/>
              </w:rPr>
            </w:pPr>
            <w:r>
              <w:rPr>
                <w:rFonts w:ascii="Arial" w:cs="Arial" w:eastAsia="Arial" w:hAnsi="Arial"/>
                <w:sz w:val="18"/>
                <w:szCs w:val="18"/>
                <w:color w:val="auto"/>
              </w:rPr>
              <w:t>30-89 days past due</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775</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7,022</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6,779</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6,380</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4,114</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10,489</w:t>
            </w:r>
          </w:p>
        </w:tc>
        <w:tc>
          <w:tcPr>
            <w:tcW w:w="20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35,559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460" w:type="dxa"/>
            <w:vAlign w:val="bottom"/>
            <w:shd w:val="clear" w:color="auto" w:fill="CFF0FC"/>
          </w:tcPr>
          <w:p>
            <w:pPr>
              <w:ind w:left="420"/>
              <w:spacing w:after="0"/>
              <w:rPr>
                <w:sz w:val="20"/>
                <w:szCs w:val="20"/>
                <w:color w:val="auto"/>
              </w:rPr>
            </w:pPr>
            <w:r>
              <w:rPr>
                <w:rFonts w:ascii="Arial" w:cs="Arial" w:eastAsia="Arial" w:hAnsi="Arial"/>
                <w:sz w:val="18"/>
                <w:szCs w:val="18"/>
                <w:color w:val="auto"/>
              </w:rPr>
              <w:t>Accruing loans past due</w:t>
            </w: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60" w:type="dxa"/>
            <w:vAlign w:val="bottom"/>
            <w:shd w:val="clear" w:color="auto" w:fill="CFF0FC"/>
          </w:tcPr>
          <w:p>
            <w:pPr>
              <w:ind w:left="580"/>
              <w:spacing w:after="0"/>
              <w:rPr>
                <w:sz w:val="20"/>
                <w:szCs w:val="20"/>
                <w:color w:val="auto"/>
              </w:rPr>
            </w:pPr>
            <w:r>
              <w:rPr>
                <w:rFonts w:ascii="Arial" w:cs="Arial" w:eastAsia="Arial" w:hAnsi="Arial"/>
                <w:sz w:val="18"/>
                <w:szCs w:val="18"/>
                <w:color w:val="auto"/>
              </w:rPr>
              <w:t>90 days or more</w:t>
            </w:r>
          </w:p>
        </w:tc>
        <w:tc>
          <w:tcPr>
            <w:tcW w:w="10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980" w:type="dxa"/>
            <w:vAlign w:val="bottom"/>
            <w:gridSpan w:val="3"/>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460" w:type="dxa"/>
            <w:vAlign w:val="bottom"/>
            <w:tcBorders>
              <w:bottom w:val="single" w:sz="8" w:color="CFF0FC"/>
            </w:tcBorders>
          </w:tcPr>
          <w:p>
            <w:pPr>
              <w:ind w:left="440"/>
              <w:spacing w:after="0"/>
              <w:rPr>
                <w:sz w:val="20"/>
                <w:szCs w:val="20"/>
                <w:color w:val="auto"/>
              </w:rPr>
            </w:pPr>
            <w:r>
              <w:rPr>
                <w:rFonts w:ascii="Arial" w:cs="Arial" w:eastAsia="Arial" w:hAnsi="Arial"/>
                <w:sz w:val="18"/>
                <w:szCs w:val="18"/>
                <w:color w:val="auto"/>
              </w:rPr>
              <w:t>Nonaccrual</w:t>
            </w: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1,810</w:t>
            </w:r>
          </w:p>
        </w:tc>
        <w:tc>
          <w:tcPr>
            <w:tcW w:w="18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2,470</w:t>
            </w:r>
          </w:p>
        </w:tc>
        <w:tc>
          <w:tcPr>
            <w:tcW w:w="18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4,297</w:t>
            </w:r>
          </w:p>
        </w:tc>
        <w:tc>
          <w:tcPr>
            <w:tcW w:w="20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1,517</w:t>
            </w:r>
          </w:p>
        </w:tc>
        <w:tc>
          <w:tcPr>
            <w:tcW w:w="18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3,311</w:t>
            </w:r>
          </w:p>
        </w:tc>
        <w:tc>
          <w:tcPr>
            <w:tcW w:w="20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13,405</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recreational finance</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566,809</w:t>
            </w:r>
          </w:p>
        </w:tc>
        <w:tc>
          <w:tcPr>
            <w:tcW w:w="18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2,160,293</w:t>
            </w:r>
          </w:p>
        </w:tc>
        <w:tc>
          <w:tcPr>
            <w:tcW w:w="18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1,136,157</w:t>
            </w:r>
          </w:p>
        </w:tc>
        <w:tc>
          <w:tcPr>
            <w:tcW w:w="18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785,890</w:t>
            </w:r>
          </w:p>
        </w:tc>
        <w:tc>
          <w:tcPr>
            <w:tcW w:w="20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441,193</w:t>
            </w:r>
          </w:p>
        </w:tc>
        <w:tc>
          <w:tcPr>
            <w:tcW w:w="18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737,345</w:t>
            </w:r>
          </w:p>
        </w:tc>
        <w:tc>
          <w:tcPr>
            <w:tcW w:w="20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5,827,687</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80" w:type="dxa"/>
            <w:vAlign w:val="bottom"/>
            <w:gridSpan w:val="2"/>
            <w:vMerge w:val="restart"/>
          </w:tcPr>
          <w:p>
            <w:pPr>
              <w:spacing w:after="0"/>
              <w:rPr>
                <w:sz w:val="20"/>
                <w:szCs w:val="20"/>
                <w:color w:val="auto"/>
              </w:rPr>
            </w:pPr>
            <w:r>
              <w:rPr>
                <w:rFonts w:ascii="Arial" w:cs="Arial" w:eastAsia="Arial" w:hAnsi="Arial"/>
                <w:sz w:val="18"/>
                <w:szCs w:val="18"/>
                <w:color w:val="auto"/>
              </w:rPr>
              <w:t>Automobile:</w:t>
            </w: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4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460" w:type="dxa"/>
            <w:vAlign w:val="bottom"/>
            <w:shd w:val="clear" w:color="auto" w:fill="CFF0FC"/>
          </w:tcPr>
          <w:p>
            <w:pPr>
              <w:ind w:left="440"/>
              <w:spacing w:after="0"/>
              <w:rPr>
                <w:sz w:val="20"/>
                <w:szCs w:val="20"/>
                <w:color w:val="auto"/>
              </w:rPr>
            </w:pPr>
            <w:r>
              <w:rPr>
                <w:rFonts w:ascii="Arial" w:cs="Arial" w:eastAsia="Arial" w:hAnsi="Arial"/>
                <w:sz w:val="18"/>
                <w:szCs w:val="18"/>
                <w:color w:val="auto"/>
              </w:rPr>
              <w:t>Current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388,305</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1,449,075</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884,926</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670,264</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295,567</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155,367</w:t>
            </w: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3,843,504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460" w:type="dxa"/>
            <w:vAlign w:val="bottom"/>
          </w:tcPr>
          <w:p>
            <w:pPr>
              <w:ind w:left="440"/>
              <w:spacing w:after="0"/>
              <w:rPr>
                <w:sz w:val="20"/>
                <w:szCs w:val="20"/>
                <w:color w:val="auto"/>
              </w:rPr>
            </w:pPr>
            <w:r>
              <w:rPr>
                <w:rFonts w:ascii="Arial" w:cs="Arial" w:eastAsia="Arial" w:hAnsi="Arial"/>
                <w:sz w:val="18"/>
                <w:szCs w:val="18"/>
                <w:color w:val="auto"/>
              </w:rPr>
              <w:t>30-89 days past due</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427</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11,910</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16,391</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17,837</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11,256</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7,764</w:t>
            </w:r>
          </w:p>
        </w:tc>
        <w:tc>
          <w:tcPr>
            <w:tcW w:w="20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65,585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460" w:type="dxa"/>
            <w:vAlign w:val="bottom"/>
            <w:shd w:val="clear" w:color="auto" w:fill="CFF0FC"/>
          </w:tcPr>
          <w:p>
            <w:pPr>
              <w:ind w:left="420"/>
              <w:spacing w:after="0"/>
              <w:rPr>
                <w:sz w:val="20"/>
                <w:szCs w:val="20"/>
                <w:color w:val="auto"/>
              </w:rPr>
            </w:pPr>
            <w:r>
              <w:rPr>
                <w:rFonts w:ascii="Arial" w:cs="Arial" w:eastAsia="Arial" w:hAnsi="Arial"/>
                <w:sz w:val="18"/>
                <w:szCs w:val="18"/>
                <w:color w:val="auto"/>
              </w:rPr>
              <w:t>Accruing loans past due</w:t>
            </w: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60" w:type="dxa"/>
            <w:vAlign w:val="bottom"/>
            <w:shd w:val="clear" w:color="auto" w:fill="CFF0FC"/>
          </w:tcPr>
          <w:p>
            <w:pPr>
              <w:ind w:left="580"/>
              <w:spacing w:after="0"/>
              <w:rPr>
                <w:sz w:val="20"/>
                <w:szCs w:val="20"/>
                <w:color w:val="auto"/>
              </w:rPr>
            </w:pPr>
            <w:r>
              <w:rPr>
                <w:rFonts w:ascii="Arial" w:cs="Arial" w:eastAsia="Arial" w:hAnsi="Arial"/>
                <w:sz w:val="18"/>
                <w:szCs w:val="18"/>
                <w:color w:val="auto"/>
              </w:rPr>
              <w:t>90 days or more</w:t>
            </w:r>
          </w:p>
        </w:tc>
        <w:tc>
          <w:tcPr>
            <w:tcW w:w="10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980" w:type="dxa"/>
            <w:vAlign w:val="bottom"/>
            <w:gridSpan w:val="3"/>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460" w:type="dxa"/>
            <w:vAlign w:val="bottom"/>
            <w:tcBorders>
              <w:bottom w:val="single" w:sz="8" w:color="CFF0FC"/>
            </w:tcBorders>
          </w:tcPr>
          <w:p>
            <w:pPr>
              <w:ind w:left="440"/>
              <w:spacing w:after="0"/>
              <w:rPr>
                <w:sz w:val="20"/>
                <w:szCs w:val="20"/>
                <w:color w:val="auto"/>
              </w:rPr>
            </w:pPr>
            <w:r>
              <w:rPr>
                <w:rFonts w:ascii="Arial" w:cs="Arial" w:eastAsia="Arial" w:hAnsi="Arial"/>
                <w:sz w:val="18"/>
                <w:szCs w:val="18"/>
                <w:color w:val="auto"/>
              </w:rPr>
              <w:t>Nonaccrual</w:t>
            </w: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2,930</w:t>
            </w:r>
          </w:p>
        </w:tc>
        <w:tc>
          <w:tcPr>
            <w:tcW w:w="18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5,418</w:t>
            </w:r>
          </w:p>
        </w:tc>
        <w:tc>
          <w:tcPr>
            <w:tcW w:w="18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4,854</w:t>
            </w:r>
          </w:p>
        </w:tc>
        <w:tc>
          <w:tcPr>
            <w:tcW w:w="20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3,219</w:t>
            </w:r>
          </w:p>
        </w:tc>
        <w:tc>
          <w:tcPr>
            <w:tcW w:w="18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2,830</w:t>
            </w:r>
          </w:p>
        </w:tc>
        <w:tc>
          <w:tcPr>
            <w:tcW w:w="20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19,251</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60" w:type="dxa"/>
            <w:vAlign w:val="bottom"/>
            <w:shd w:val="clear" w:color="auto" w:fill="CFF0FC"/>
          </w:tcPr>
          <w:p>
            <w:pPr>
              <w:spacing w:after="0"/>
              <w:rPr>
                <w:sz w:val="20"/>
                <w:szCs w:val="20"/>
                <w:color w:val="auto"/>
              </w:rPr>
            </w:pPr>
            <w:r>
              <w:rPr>
                <w:rFonts w:ascii="Arial" w:cs="Arial" w:eastAsia="Arial" w:hAnsi="Arial"/>
                <w:sz w:val="18"/>
                <w:szCs w:val="18"/>
                <w:color w:val="auto"/>
              </w:rPr>
              <w:t>Total automobile</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388,732</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1,463,915</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906,735</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692,955</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310,042</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165,961</w:t>
            </w: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3,928,340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246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460" w:type="dxa"/>
            <w:vAlign w:val="bottom"/>
          </w:tcPr>
          <w:p>
            <w:pPr>
              <w:ind w:left="440"/>
              <w:spacing w:after="0"/>
              <w:rPr>
                <w:sz w:val="20"/>
                <w:szCs w:val="20"/>
                <w:color w:val="auto"/>
              </w:rPr>
            </w:pPr>
            <w:r>
              <w:rPr>
                <w:rFonts w:ascii="Arial" w:cs="Arial" w:eastAsia="Arial" w:hAnsi="Arial"/>
                <w:sz w:val="18"/>
                <w:szCs w:val="18"/>
                <w:color w:val="auto"/>
              </w:rPr>
              <w:t>Current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60,112</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191,347</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83,549</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54,055</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11,047</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40,868</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931,015</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2,207</w:t>
            </w: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1,374,200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460" w:type="dxa"/>
            <w:vAlign w:val="bottom"/>
            <w:shd w:val="clear" w:color="auto" w:fill="CFF0FC"/>
          </w:tcPr>
          <w:p>
            <w:pPr>
              <w:ind w:left="440"/>
              <w:spacing w:after="0"/>
              <w:rPr>
                <w:sz w:val="20"/>
                <w:szCs w:val="20"/>
                <w:color w:val="auto"/>
              </w:rPr>
            </w:pPr>
            <w:r>
              <w:rPr>
                <w:rFonts w:ascii="Arial" w:cs="Arial" w:eastAsia="Arial" w:hAnsi="Arial"/>
                <w:sz w:val="18"/>
                <w:szCs w:val="18"/>
                <w:color w:val="auto"/>
              </w:rPr>
              <w:t>30-89 days past due</w:t>
            </w: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4,025</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932</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466</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135</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1,207</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7,773</w:t>
            </w: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1,033</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15,595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460" w:type="dxa"/>
            <w:vAlign w:val="bottom"/>
          </w:tcPr>
          <w:p>
            <w:pPr>
              <w:ind w:left="420"/>
              <w:spacing w:after="0"/>
              <w:rPr>
                <w:sz w:val="20"/>
                <w:szCs w:val="20"/>
                <w:color w:val="auto"/>
              </w:rPr>
            </w:pPr>
            <w:r>
              <w:rPr>
                <w:rFonts w:ascii="Arial" w:cs="Arial" w:eastAsia="Arial" w:hAnsi="Arial"/>
                <w:sz w:val="18"/>
                <w:szCs w:val="18"/>
                <w:color w:val="auto"/>
              </w:rPr>
              <w:t>Accruing loans past due</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60" w:type="dxa"/>
            <w:vAlign w:val="bottom"/>
          </w:tcPr>
          <w:p>
            <w:pPr>
              <w:ind w:left="580"/>
              <w:spacing w:after="0"/>
              <w:rPr>
                <w:sz w:val="20"/>
                <w:szCs w:val="20"/>
                <w:color w:val="auto"/>
              </w:rPr>
            </w:pPr>
            <w:r>
              <w:rPr>
                <w:rFonts w:ascii="Arial" w:cs="Arial" w:eastAsia="Arial" w:hAnsi="Arial"/>
                <w:sz w:val="18"/>
                <w:szCs w:val="18"/>
                <w:color w:val="auto"/>
              </w:rPr>
              <w:t>90 days or more</w:t>
            </w:r>
          </w:p>
        </w:tc>
        <w:tc>
          <w:tcPr>
            <w:tcW w:w="10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8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379</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4,590</w:t>
            </w:r>
          </w:p>
        </w:tc>
        <w:tc>
          <w:tcPr>
            <w:tcW w:w="18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4,969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460" w:type="dxa"/>
            <w:vAlign w:val="bottom"/>
            <w:shd w:val="clear" w:color="auto" w:fill="CFF0FC"/>
          </w:tcPr>
          <w:p>
            <w:pPr>
              <w:ind w:left="440"/>
              <w:spacing w:after="0"/>
              <w:rPr>
                <w:sz w:val="20"/>
                <w:szCs w:val="20"/>
                <w:color w:val="auto"/>
              </w:rPr>
            </w:pPr>
            <w:r>
              <w:rPr>
                <w:rFonts w:ascii="Arial" w:cs="Arial" w:eastAsia="Arial" w:hAnsi="Arial"/>
                <w:sz w:val="18"/>
                <w:szCs w:val="18"/>
                <w:color w:val="auto"/>
              </w:rPr>
              <w:t>Nonaccrual</w:t>
            </w:r>
          </w:p>
        </w:tc>
        <w:tc>
          <w:tcPr>
            <w:tcW w:w="1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2,032</w:t>
            </w:r>
          </w:p>
        </w:tc>
        <w:tc>
          <w:tcPr>
            <w:tcW w:w="18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262</w:t>
            </w:r>
          </w:p>
        </w:tc>
        <w:tc>
          <w:tcPr>
            <w:tcW w:w="18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450</w:t>
            </w:r>
          </w:p>
        </w:tc>
        <w:tc>
          <w:tcPr>
            <w:tcW w:w="18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222</w:t>
            </w:r>
          </w:p>
        </w:tc>
        <w:tc>
          <w:tcPr>
            <w:tcW w:w="20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48</w:t>
            </w:r>
          </w:p>
        </w:tc>
        <w:tc>
          <w:tcPr>
            <w:tcW w:w="18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928</w:t>
            </w:r>
          </w:p>
        </w:tc>
        <w:tc>
          <w:tcPr>
            <w:tcW w:w="20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35,560</w:t>
            </w:r>
          </w:p>
        </w:tc>
        <w:tc>
          <w:tcPr>
            <w:tcW w:w="180" w:type="dxa"/>
            <w:vAlign w:val="bottom"/>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309</w:t>
            </w:r>
          </w:p>
        </w:tc>
        <w:tc>
          <w:tcPr>
            <w:tcW w:w="1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39,811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480" w:type="dxa"/>
            <w:vAlign w:val="bottom"/>
            <w:gridSpan w:val="2"/>
          </w:tcPr>
          <w:p>
            <w:pPr>
              <w:spacing w:after="0"/>
              <w:rPr>
                <w:sz w:val="20"/>
                <w:szCs w:val="20"/>
                <w:color w:val="auto"/>
              </w:rPr>
            </w:pPr>
            <w:r>
              <w:rPr>
                <w:rFonts w:ascii="Arial" w:cs="Arial" w:eastAsia="Arial" w:hAnsi="Arial"/>
                <w:sz w:val="18"/>
                <w:szCs w:val="18"/>
                <w:color w:val="auto"/>
              </w:rPr>
              <w:t>Total other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62,168</w:t>
            </w: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195,634</w:t>
            </w: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84,931</w:t>
            </w: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54,743</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11,230</w:t>
            </w: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43,382</w:t>
            </w: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978,938</w:t>
            </w:r>
          </w:p>
        </w:tc>
        <w:tc>
          <w:tcPr>
            <w:tcW w:w="1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3,549</w:t>
            </w:r>
          </w:p>
        </w:tc>
        <w:tc>
          <w:tcPr>
            <w:tcW w:w="18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1,434,575</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680" w:type="dxa"/>
            <w:vAlign w:val="bottom"/>
            <w:tcBorders>
              <w:top w:val="single" w:sz="8" w:color="auto"/>
              <w:bottom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820" w:type="dxa"/>
            <w:vAlign w:val="bottom"/>
            <w:tcBorders>
              <w:top w:val="single" w:sz="8" w:color="auto"/>
              <w:bottom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820" w:type="dxa"/>
            <w:vAlign w:val="bottom"/>
            <w:tcBorders>
              <w:top w:val="single" w:sz="8" w:color="auto"/>
              <w:bottom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bottom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bottom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auto"/>
              <w:bottom w:val="single" w:sz="8" w:color="auto"/>
            </w:tcBorders>
            <w:shd w:val="clear" w:color="auto" w:fill="CFF0FC"/>
          </w:tcPr>
          <w:p>
            <w:pPr>
              <w:spacing w:after="0"/>
              <w:rPr>
                <w:sz w:val="18"/>
                <w:szCs w:val="18"/>
                <w:color w:val="auto"/>
              </w:rPr>
            </w:pPr>
          </w:p>
        </w:tc>
        <w:tc>
          <w:tcPr>
            <w:tcW w:w="760" w:type="dxa"/>
            <w:vAlign w:val="bottom"/>
            <w:tcBorders>
              <w:top w:val="single" w:sz="8" w:color="auto"/>
              <w:bottom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820" w:type="dxa"/>
            <w:vAlign w:val="bottom"/>
            <w:tcBorders>
              <w:top w:val="single" w:sz="8" w:color="auto"/>
              <w:bottom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bottom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760" w:type="dxa"/>
            <w:vAlign w:val="bottom"/>
            <w:tcBorders>
              <w:top w:val="single" w:sz="8" w:color="auto"/>
              <w:bottom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480" w:type="dxa"/>
            <w:vAlign w:val="bottom"/>
            <w:gridSpan w:val="2"/>
          </w:tcPr>
          <w:p>
            <w:pPr>
              <w:spacing w:after="0"/>
              <w:rPr>
                <w:sz w:val="20"/>
                <w:szCs w:val="20"/>
                <w:color w:val="auto"/>
              </w:rPr>
            </w:pPr>
            <w:r>
              <w:rPr>
                <w:rFonts w:ascii="Arial" w:cs="Arial" w:eastAsia="Arial" w:hAnsi="Arial"/>
                <w:sz w:val="18"/>
                <w:szCs w:val="18"/>
                <w:color w:val="auto"/>
              </w:rPr>
              <w:t>Total loans and leases at</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60" w:type="dxa"/>
            <w:vAlign w:val="bottom"/>
          </w:tcPr>
          <w:p>
            <w:pPr>
              <w:ind w:left="120"/>
              <w:spacing w:after="0"/>
              <w:rPr>
                <w:sz w:val="20"/>
                <w:szCs w:val="20"/>
                <w:color w:val="auto"/>
              </w:rPr>
            </w:pPr>
            <w:r>
              <w:rPr>
                <w:rFonts w:ascii="Arial" w:cs="Arial" w:eastAsia="Arial" w:hAnsi="Arial"/>
                <w:sz w:val="18"/>
                <w:szCs w:val="18"/>
                <w:color w:val="auto"/>
              </w:rPr>
              <w:t>March 31, 2020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w w:val="89"/>
              </w:rPr>
              <w:t>4,582,157</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9"/>
              </w:rPr>
              <w:t>16,313,657</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9"/>
              </w:rPr>
              <w:t>11,860,487</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8,443,030</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7,249,726</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w w:val="92"/>
              </w:rPr>
              <w:t>22,891,806</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7"/>
              </w:rPr>
              <w:t>21,278,057</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1,523,355</w:t>
            </w:r>
          </w:p>
        </w:tc>
        <w:tc>
          <w:tcPr>
            <w:tcW w:w="1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w w:val="89"/>
              </w:rPr>
              <w:t>94,142,275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21"/>
          <w:szCs w:val="21"/>
          <w:color w:val="auto"/>
        </w:rPr>
        <w:t>The following table summarizes the loan grades applied at December 31, 2019 to the various classes of the Company’s commercial loans and commercial real estate loans.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0" w:type="dxa"/>
            <w:vAlign w:val="bottom"/>
          </w:tcPr>
          <w:p>
            <w:pPr>
              <w:spacing w:after="0"/>
              <w:rPr>
                <w:sz w:val="14"/>
                <w:szCs w:val="14"/>
                <w:color w:val="auto"/>
              </w:rPr>
            </w:pPr>
          </w:p>
        </w:tc>
        <w:tc>
          <w:tcPr>
            <w:tcW w:w="11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Commercial,</w:t>
            </w:r>
          </w:p>
        </w:tc>
        <w:tc>
          <w:tcPr>
            <w:tcW w:w="9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Real Estate</w:t>
            </w:r>
          </w:p>
        </w:tc>
        <w:tc>
          <w:tcPr>
            <w:tcW w:w="8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46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tcPr>
          <w:p>
            <w:pPr>
              <w:jc w:val="center"/>
              <w:ind w:right="260"/>
              <w:spacing w:after="0" w:line="146" w:lineRule="exact"/>
              <w:rPr>
                <w:sz w:val="20"/>
                <w:szCs w:val="20"/>
                <w:color w:val="auto"/>
              </w:rPr>
            </w:pPr>
            <w:r>
              <w:rPr>
                <w:rFonts w:ascii="Arial" w:cs="Arial" w:eastAsia="Arial" w:hAnsi="Arial"/>
                <w:sz w:val="14"/>
                <w:szCs w:val="14"/>
                <w:b w:val="1"/>
                <w:bCs w:val="1"/>
                <w:color w:val="auto"/>
                <w:w w:val="93"/>
              </w:rPr>
              <w:t>Residential</w:t>
            </w:r>
          </w:p>
        </w:tc>
        <w:tc>
          <w:tcPr>
            <w:tcW w:w="860" w:type="dxa"/>
            <w:vAlign w:val="bottom"/>
          </w:tcPr>
          <w:p>
            <w:pPr>
              <w:jc w:val="center"/>
              <w:spacing w:after="0" w:line="146"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60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Financial,</w:t>
            </w: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Builder and</w:t>
            </w:r>
          </w:p>
        </w:tc>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Commercial</w:t>
            </w:r>
          </w:p>
        </w:tc>
        <w:tc>
          <w:tcPr>
            <w:tcW w:w="0" w:type="dxa"/>
            <w:vAlign w:val="bottom"/>
          </w:tcPr>
          <w:p>
            <w:pPr>
              <w:spacing w:after="0"/>
              <w:rPr>
                <w:sz w:val="1"/>
                <w:szCs w:val="1"/>
                <w:color w:val="auto"/>
              </w:rPr>
            </w:pPr>
          </w:p>
        </w:tc>
      </w:tr>
      <w:tr>
        <w:trPr>
          <w:trHeight w:val="171"/>
        </w:trPr>
        <w:tc>
          <w:tcPr>
            <w:tcW w:w="460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Leasing, etc.</w:t>
            </w:r>
          </w:p>
        </w:tc>
        <w:tc>
          <w:tcPr>
            <w:tcW w:w="1140" w:type="dxa"/>
            <w:vAlign w:val="bottom"/>
            <w:gridSpan w:val="2"/>
          </w:tcPr>
          <w:p>
            <w:pPr>
              <w:ind w:left="60"/>
              <w:spacing w:after="0"/>
              <w:rPr>
                <w:sz w:val="20"/>
                <w:szCs w:val="20"/>
                <w:color w:val="auto"/>
              </w:rPr>
            </w:pPr>
            <w:r>
              <w:rPr>
                <w:rFonts w:ascii="Arial" w:cs="Arial" w:eastAsia="Arial" w:hAnsi="Arial"/>
                <w:sz w:val="14"/>
                <w:szCs w:val="14"/>
                <w:b w:val="1"/>
                <w:bCs w:val="1"/>
                <w:color w:val="auto"/>
              </w:rPr>
              <w:t>Commercial</w:t>
            </w: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Developer</w:t>
            </w:r>
          </w:p>
        </w:tc>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Construction</w:t>
            </w:r>
          </w:p>
        </w:tc>
        <w:tc>
          <w:tcPr>
            <w:tcW w:w="0" w:type="dxa"/>
            <w:vAlign w:val="bottom"/>
          </w:tcPr>
          <w:p>
            <w:pPr>
              <w:spacing w:after="0"/>
              <w:rPr>
                <w:sz w:val="1"/>
                <w:szCs w:val="1"/>
                <w:color w:val="auto"/>
              </w:rPr>
            </w:pPr>
          </w:p>
        </w:tc>
      </w:tr>
      <w:tr>
        <w:trPr>
          <w:trHeight w:val="155"/>
        </w:trPr>
        <w:tc>
          <w:tcPr>
            <w:tcW w:w="460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260" w:type="dxa"/>
            <w:vAlign w:val="bottom"/>
            <w:tcBorders>
              <w:top w:val="single" w:sz="8" w:color="auto"/>
            </w:tcBorders>
            <w:gridSpan w:val="4"/>
          </w:tcPr>
          <w:p>
            <w:pPr>
              <w:ind w:left="520"/>
              <w:spacing w:after="0" w:line="155" w:lineRule="exact"/>
              <w:rPr>
                <w:sz w:val="20"/>
                <w:szCs w:val="20"/>
                <w:color w:val="auto"/>
              </w:rPr>
            </w:pPr>
            <w:r>
              <w:rPr>
                <w:rFonts w:ascii="Arial" w:cs="Arial" w:eastAsia="Arial" w:hAnsi="Arial"/>
                <w:sz w:val="14"/>
                <w:szCs w:val="14"/>
                <w:b w:val="1"/>
                <w:bCs w:val="1"/>
                <w:color w:val="auto"/>
              </w:rPr>
              <w:t>(In thousands)</w:t>
            </w:r>
          </w:p>
        </w:tc>
        <w:tc>
          <w:tcPr>
            <w:tcW w:w="8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December 31, 2019</w:t>
            </w: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tcPr>
          <w:p>
            <w:pPr>
              <w:spacing w:after="0"/>
              <w:rPr>
                <w:sz w:val="20"/>
                <w:szCs w:val="20"/>
                <w:color w:val="auto"/>
              </w:rPr>
            </w:pPr>
            <w:r>
              <w:rPr>
                <w:rFonts w:ascii="Arial" w:cs="Arial" w:eastAsia="Arial" w:hAnsi="Arial"/>
                <w:sz w:val="18"/>
                <w:szCs w:val="18"/>
                <w:color w:val="auto"/>
              </w:rPr>
              <w:t>Pass</w:t>
            </w:r>
          </w:p>
        </w:tc>
        <w:tc>
          <w:tcPr>
            <w:tcW w:w="940" w:type="dxa"/>
            <w:vAlign w:val="bottom"/>
          </w:tcPr>
          <w:p>
            <w:pPr>
              <w:jc w:val="right"/>
              <w:spacing w:after="0"/>
              <w:rPr>
                <w:sz w:val="20"/>
                <w:szCs w:val="20"/>
                <w:color w:val="auto"/>
              </w:rPr>
            </w:pPr>
            <w:r>
              <w:rPr>
                <w:rFonts w:ascii="Arial" w:cs="Arial" w:eastAsia="Arial" w:hAnsi="Arial"/>
                <w:sz w:val="18"/>
                <w:szCs w:val="18"/>
                <w:color w:val="auto"/>
                <w:w w:val="89"/>
              </w:rPr>
              <w:t>$22,595,821</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25,728,725</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1,419,162</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7,092,799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Criticized accrual</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895,790</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770,609</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124,101</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211,292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Criticized nonaccrual</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346,557</w:t>
            </w:r>
          </w:p>
        </w:tc>
        <w:tc>
          <w:tcPr>
            <w:tcW w:w="24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158,474</w:t>
            </w:r>
          </w:p>
        </w:tc>
        <w:tc>
          <w:tcPr>
            <w:tcW w:w="24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3,982</w:t>
            </w:r>
          </w:p>
        </w:tc>
        <w:tc>
          <w:tcPr>
            <w:tcW w:w="26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32,770</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23,838,168</w:t>
            </w:r>
          </w:p>
        </w:tc>
        <w:tc>
          <w:tcPr>
            <w:tcW w:w="24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26,657,808</w:t>
            </w:r>
          </w:p>
        </w:tc>
        <w:tc>
          <w:tcPr>
            <w:tcW w:w="24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1,547,245</w:t>
            </w:r>
          </w:p>
        </w:tc>
        <w:tc>
          <w:tcPr>
            <w:tcW w:w="26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7,336,861</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NOTES TO FINANCIAL STATEMENTS, CONTINUED</w:t>
      </w:r>
    </w:p>
    <w:p>
      <w:pPr>
        <w:spacing w:after="0" w:line="219" w:lineRule="exact"/>
        <w:rPr>
          <w:sz w:val="20"/>
          <w:szCs w:val="20"/>
          <w:color w:val="auto"/>
        </w:rPr>
      </w:pPr>
    </w:p>
    <w:p>
      <w:pPr>
        <w:ind w:right="5500" w:firstLine="8"/>
        <w:spacing w:after="0" w:line="351" w:lineRule="auto"/>
        <w:tabs>
          <w:tab w:leader="none" w:pos="207" w:val="left"/>
        </w:tabs>
        <w:numPr>
          <w:ilvl w:val="0"/>
          <w:numId w:val="5"/>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Loans and leases and the allowance for credit losses, continued </w:t>
      </w:r>
      <w:r>
        <w:rPr>
          <w:rFonts w:ascii="Arial" w:cs="Arial" w:eastAsia="Arial" w:hAnsi="Arial"/>
          <w:sz w:val="21"/>
          <w:szCs w:val="21"/>
          <w:b w:val="1"/>
          <w:bCs w:val="1"/>
          <w:i w:val="1"/>
          <w:iCs w:val="1"/>
          <w:color w:val="auto"/>
        </w:rPr>
        <w:t>Allowance for credit losses</w:t>
      </w:r>
    </w:p>
    <w:p>
      <w:pPr>
        <w:spacing w:after="0" w:line="1" w:lineRule="exact"/>
        <w:rPr>
          <w:sz w:val="20"/>
          <w:szCs w:val="20"/>
          <w:color w:val="auto"/>
        </w:rPr>
      </w:pPr>
    </w:p>
    <w:p>
      <w:pPr>
        <w:jc w:val="both"/>
        <w:spacing w:after="0" w:line="288" w:lineRule="auto"/>
        <w:rPr>
          <w:sz w:val="20"/>
          <w:szCs w:val="20"/>
          <w:color w:val="auto"/>
        </w:rPr>
      </w:pPr>
      <w:r>
        <w:rPr>
          <w:rFonts w:ascii="Arial" w:cs="Arial" w:eastAsia="Arial" w:hAnsi="Arial"/>
          <w:sz w:val="20"/>
          <w:szCs w:val="20"/>
          <w:color w:val="auto"/>
        </w:rPr>
        <w:t>For purposes of determining the level of the allowance for credit losses, the Company evaluates its loan and lease portfolio by loan type. Changes in the allowance for credit losses for the three months ended March 31, 2020 were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2120" w:type="dxa"/>
            <w:vAlign w:val="bottom"/>
            <w:gridSpan w:val="4"/>
          </w:tcPr>
          <w:p>
            <w:pPr>
              <w:jc w:val="center"/>
              <w:ind w:left="899"/>
              <w:spacing w:after="0"/>
              <w:rPr>
                <w:sz w:val="20"/>
                <w:szCs w:val="20"/>
                <w:color w:val="auto"/>
              </w:rPr>
            </w:pPr>
            <w:r>
              <w:rPr>
                <w:rFonts w:ascii="Arial" w:cs="Arial" w:eastAsia="Arial" w:hAnsi="Arial"/>
                <w:sz w:val="14"/>
                <w:szCs w:val="14"/>
                <w:b w:val="1"/>
                <w:bCs w:val="1"/>
                <w:color w:val="auto"/>
                <w:w w:val="92"/>
              </w:rPr>
              <w:t>Commercial,</w:t>
            </w:r>
          </w:p>
        </w:tc>
        <w:tc>
          <w:tcPr>
            <w:tcW w:w="120" w:type="dxa"/>
            <w:vAlign w:val="bottom"/>
          </w:tcPr>
          <w:p>
            <w:pPr>
              <w:spacing w:after="0"/>
              <w:rPr>
                <w:sz w:val="14"/>
                <w:szCs w:val="14"/>
                <w:color w:val="auto"/>
              </w:rPr>
            </w:pPr>
          </w:p>
        </w:tc>
        <w:tc>
          <w:tcPr>
            <w:tcW w:w="2100" w:type="dxa"/>
            <w:vAlign w:val="bottom"/>
            <w:gridSpan w:val="4"/>
            <w:vMerge w:val="restart"/>
          </w:tcPr>
          <w:p>
            <w:pPr>
              <w:jc w:val="right"/>
              <w:ind w:right="860"/>
              <w:spacing w:after="0"/>
              <w:rPr>
                <w:sz w:val="20"/>
                <w:szCs w:val="20"/>
                <w:color w:val="auto"/>
              </w:rPr>
            </w:pPr>
            <w:r>
              <w:rPr>
                <w:rFonts w:ascii="Arial" w:cs="Arial" w:eastAsia="Arial" w:hAnsi="Arial"/>
                <w:sz w:val="14"/>
                <w:szCs w:val="14"/>
                <w:b w:val="1"/>
                <w:bCs w:val="1"/>
                <w:color w:val="auto"/>
              </w:rPr>
              <w:t>Real Estate</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2"/>
              </w:rPr>
              <w:t>Financial,</w:t>
            </w:r>
          </w:p>
        </w:tc>
        <w:tc>
          <w:tcPr>
            <w:tcW w:w="120" w:type="dxa"/>
            <w:vAlign w:val="bottom"/>
          </w:tcPr>
          <w:p>
            <w:pPr>
              <w:spacing w:after="0"/>
              <w:rPr>
                <w:sz w:val="14"/>
                <w:szCs w:val="14"/>
                <w:color w:val="auto"/>
              </w:rPr>
            </w:pPr>
          </w:p>
        </w:tc>
        <w:tc>
          <w:tcPr>
            <w:tcW w:w="2100" w:type="dxa"/>
            <w:vAlign w:val="bottom"/>
            <w:gridSpan w:val="4"/>
            <w:vMerge w:val="continue"/>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8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960" w:type="dxa"/>
            <w:vAlign w:val="bottom"/>
            <w:gridSpan w:val="3"/>
          </w:tcPr>
          <w:p>
            <w:pPr>
              <w:jc w:val="center"/>
              <w:ind w:right="200"/>
              <w:spacing w:after="0" w:line="155" w:lineRule="exact"/>
              <w:rPr>
                <w:sz w:val="20"/>
                <w:szCs w:val="20"/>
                <w:color w:val="auto"/>
              </w:rPr>
            </w:pPr>
            <w:r>
              <w:rPr>
                <w:rFonts w:ascii="Arial" w:cs="Arial" w:eastAsia="Arial" w:hAnsi="Arial"/>
                <w:sz w:val="14"/>
                <w:szCs w:val="14"/>
                <w:b w:val="1"/>
                <w:bCs w:val="1"/>
                <w:color w:val="auto"/>
                <w:w w:val="89"/>
              </w:rPr>
              <w:t>Leasing, etc.</w:t>
            </w:r>
          </w:p>
        </w:tc>
        <w:tc>
          <w:tcPr>
            <w:tcW w:w="120" w:type="dxa"/>
            <w:vAlign w:val="bottom"/>
          </w:tcPr>
          <w:p>
            <w:pPr>
              <w:spacing w:after="0"/>
              <w:rPr>
                <w:sz w:val="13"/>
                <w:szCs w:val="13"/>
                <w:color w:val="auto"/>
              </w:rPr>
            </w:pPr>
          </w:p>
        </w:tc>
        <w:tc>
          <w:tcPr>
            <w:tcW w:w="1060" w:type="dxa"/>
            <w:vAlign w:val="bottom"/>
            <w:tcBorders>
              <w:top w:val="single" w:sz="8" w:color="auto"/>
            </w:tcBorders>
            <w:gridSpan w:val="2"/>
          </w:tcPr>
          <w:p>
            <w:pPr>
              <w:jc w:val="right"/>
              <w:ind w:right="300"/>
              <w:spacing w:after="0" w:line="155" w:lineRule="exact"/>
              <w:rPr>
                <w:sz w:val="20"/>
                <w:szCs w:val="20"/>
                <w:color w:val="auto"/>
              </w:rPr>
            </w:pPr>
            <w:r>
              <w:rPr>
                <w:rFonts w:ascii="Arial" w:cs="Arial" w:eastAsia="Arial" w:hAnsi="Arial"/>
                <w:sz w:val="14"/>
                <w:szCs w:val="14"/>
                <w:b w:val="1"/>
                <w:bCs w:val="1"/>
                <w:color w:val="auto"/>
                <w:w w:val="92"/>
              </w:rPr>
              <w:t>Commercial</w:t>
            </w: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3"/>
              </w:rPr>
              <w:t>Residential</w:t>
            </w:r>
          </w:p>
        </w:tc>
        <w:tc>
          <w:tcPr>
            <w:tcW w:w="300" w:type="dxa"/>
            <w:vAlign w:val="bottom"/>
          </w:tcPr>
          <w:p>
            <w:pPr>
              <w:spacing w:after="0"/>
              <w:rPr>
                <w:sz w:val="13"/>
                <w:szCs w:val="13"/>
                <w:color w:val="auto"/>
              </w:rPr>
            </w:pPr>
          </w:p>
        </w:tc>
        <w:tc>
          <w:tcPr>
            <w:tcW w:w="920" w:type="dxa"/>
            <w:vAlign w:val="bottom"/>
            <w:gridSpan w:val="2"/>
          </w:tcPr>
          <w:p>
            <w:pPr>
              <w:jc w:val="right"/>
              <w:ind w:right="240"/>
              <w:spacing w:after="0" w:line="155" w:lineRule="exact"/>
              <w:rPr>
                <w:sz w:val="20"/>
                <w:szCs w:val="20"/>
                <w:color w:val="auto"/>
              </w:rPr>
            </w:pPr>
            <w:r>
              <w:rPr>
                <w:rFonts w:ascii="Arial" w:cs="Arial" w:eastAsia="Arial" w:hAnsi="Arial"/>
                <w:sz w:val="14"/>
                <w:szCs w:val="14"/>
                <w:b w:val="1"/>
                <w:bCs w:val="1"/>
                <w:color w:val="auto"/>
                <w:w w:val="95"/>
              </w:rPr>
              <w:t>Consumer</w:t>
            </w:r>
          </w:p>
        </w:tc>
        <w:tc>
          <w:tcPr>
            <w:tcW w:w="1160" w:type="dxa"/>
            <w:vAlign w:val="bottom"/>
            <w:gridSpan w:val="3"/>
          </w:tcPr>
          <w:p>
            <w:pPr>
              <w:jc w:val="right"/>
              <w:ind w:right="300"/>
              <w:spacing w:after="0" w:line="155" w:lineRule="exact"/>
              <w:rPr>
                <w:sz w:val="20"/>
                <w:szCs w:val="20"/>
                <w:color w:val="auto"/>
              </w:rPr>
            </w:pPr>
            <w:r>
              <w:rPr>
                <w:rFonts w:ascii="Arial" w:cs="Arial" w:eastAsia="Arial" w:hAnsi="Arial"/>
                <w:sz w:val="14"/>
                <w:szCs w:val="14"/>
                <w:b w:val="1"/>
                <w:bCs w:val="1"/>
                <w:color w:val="auto"/>
              </w:rPr>
              <w:t>Unallocated</w:t>
            </w:r>
          </w:p>
        </w:tc>
        <w:tc>
          <w:tcPr>
            <w:tcW w:w="960" w:type="dxa"/>
            <w:vAlign w:val="bottom"/>
            <w:gridSpan w:val="2"/>
          </w:tcPr>
          <w:p>
            <w:pPr>
              <w:jc w:val="right"/>
              <w:ind w:right="380"/>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0"/>
        </w:trPr>
        <w:tc>
          <w:tcPr>
            <w:tcW w:w="38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960" w:type="dxa"/>
            <w:vAlign w:val="bottom"/>
            <w:tcBorders>
              <w:top w:val="single" w:sz="8" w:color="auto"/>
            </w:tcBorders>
            <w:gridSpan w:val="4"/>
          </w:tcPr>
          <w:p>
            <w:pPr>
              <w:jc w:val="right"/>
              <w:ind w:right="60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4"/>
        </w:trPr>
        <w:tc>
          <w:tcPr>
            <w:tcW w:w="3860" w:type="dxa"/>
            <w:vAlign w:val="bottom"/>
          </w:tcPr>
          <w:p>
            <w:pPr>
              <w:spacing w:after="0"/>
              <w:rPr>
                <w:sz w:val="20"/>
                <w:szCs w:val="20"/>
                <w:color w:val="auto"/>
              </w:rPr>
            </w:pPr>
            <w:r>
              <w:rPr>
                <w:rFonts w:ascii="Arial" w:cs="Arial" w:eastAsia="Arial" w:hAnsi="Arial"/>
                <w:sz w:val="18"/>
                <w:szCs w:val="18"/>
                <w:color w:val="auto"/>
              </w:rPr>
              <w:t>Beginning balance</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366,094</w:t>
            </w:r>
          </w:p>
        </w:tc>
        <w:tc>
          <w:tcPr>
            <w:tcW w:w="18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322,201</w:t>
            </w: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56,033</w:t>
            </w:r>
          </w:p>
        </w:tc>
        <w:tc>
          <w:tcPr>
            <w:tcW w:w="3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229,118</w:t>
            </w:r>
          </w:p>
        </w:tc>
        <w:tc>
          <w:tcPr>
            <w:tcW w:w="18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77,625</w:t>
            </w: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86"/>
              </w:rPr>
              <w:t>$ 1,051,071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Adoption of new accounting standard</w:t>
            </w:r>
          </w:p>
        </w:tc>
        <w:tc>
          <w:tcPr>
            <w:tcW w:w="1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(61,474)</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23,656</w:t>
            </w: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53,896</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194,004</w:t>
            </w:r>
          </w:p>
        </w:tc>
        <w:tc>
          <w:tcPr>
            <w:tcW w:w="180" w:type="dxa"/>
            <w:vAlign w:val="bottom"/>
            <w:shd w:val="clear" w:color="auto" w:fill="CFF0FC"/>
          </w:tcPr>
          <w:p>
            <w:pPr>
              <w:spacing w:after="0"/>
              <w:rPr>
                <w:sz w:val="19"/>
                <w:szCs w:val="19"/>
                <w:color w:val="auto"/>
              </w:rPr>
            </w:pPr>
          </w:p>
        </w:tc>
        <w:tc>
          <w:tcPr>
            <w:tcW w:w="116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(77,625)</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132,457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tcPr>
          <w:p>
            <w:pPr>
              <w:spacing w:after="0"/>
              <w:rPr>
                <w:sz w:val="20"/>
                <w:szCs w:val="20"/>
                <w:color w:val="auto"/>
              </w:rPr>
            </w:pPr>
            <w:r>
              <w:rPr>
                <w:rFonts w:ascii="Arial" w:cs="Arial" w:eastAsia="Arial" w:hAnsi="Arial"/>
                <w:sz w:val="18"/>
                <w:szCs w:val="18"/>
                <w:color w:val="auto"/>
              </w:rPr>
              <w:t>Provision for credit losses</w:t>
            </w: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66,594</w:t>
            </w:r>
          </w:p>
        </w:tc>
        <w:tc>
          <w:tcPr>
            <w:tcW w:w="1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88,666</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9,291</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85,449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Net charge-offs</w:t>
            </w:r>
          </w:p>
        </w:tc>
        <w:tc>
          <w:tcPr>
            <w:tcW w:w="1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tcPr>
          <w:p>
            <w:pPr>
              <w:ind w:left="260"/>
              <w:spacing w:after="0"/>
              <w:rPr>
                <w:sz w:val="20"/>
                <w:szCs w:val="20"/>
                <w:color w:val="auto"/>
              </w:rPr>
            </w:pPr>
            <w:r>
              <w:rPr>
                <w:rFonts w:ascii="Arial" w:cs="Arial" w:eastAsia="Arial" w:hAnsi="Arial"/>
                <w:sz w:val="18"/>
                <w:szCs w:val="18"/>
                <w:color w:val="auto"/>
              </w:rPr>
              <w:t>Charge-offs</w:t>
            </w: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(16,383)</w:t>
            </w:r>
          </w:p>
        </w:tc>
        <w:tc>
          <w:tcPr>
            <w:tcW w:w="1180" w:type="dxa"/>
            <w:vAlign w:val="bottom"/>
            <w:gridSpan w:val="3"/>
          </w:tcPr>
          <w:p>
            <w:pPr>
              <w:jc w:val="right"/>
              <w:ind w:right="220"/>
              <w:spacing w:after="0"/>
              <w:rPr>
                <w:sz w:val="20"/>
                <w:szCs w:val="20"/>
                <w:color w:val="auto"/>
              </w:rPr>
            </w:pPr>
            <w:r>
              <w:rPr>
                <w:rFonts w:ascii="Arial" w:cs="Arial" w:eastAsia="Arial" w:hAnsi="Arial"/>
                <w:sz w:val="18"/>
                <w:szCs w:val="18"/>
                <w:color w:val="auto"/>
              </w:rPr>
              <w:t>(1,272)</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(5,102)</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(44,947)</w:t>
            </w:r>
          </w:p>
        </w:tc>
        <w:tc>
          <w:tcPr>
            <w:tcW w:w="120" w:type="dxa"/>
            <w:vAlign w:val="bottom"/>
          </w:tcPr>
          <w:p>
            <w:pPr>
              <w:spacing w:after="0"/>
              <w:rPr>
                <w:sz w:val="19"/>
                <w:szCs w:val="19"/>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(67,704)</w:t>
            </w:r>
          </w:p>
        </w:tc>
        <w:tc>
          <w:tcPr>
            <w:tcW w:w="0" w:type="dxa"/>
            <w:vAlign w:val="bottom"/>
          </w:tcPr>
          <w:p>
            <w:pPr>
              <w:spacing w:after="0"/>
              <w:rPr>
                <w:sz w:val="1"/>
                <w:szCs w:val="1"/>
                <w:color w:val="auto"/>
              </w:rPr>
            </w:pPr>
          </w:p>
        </w:tc>
      </w:tr>
      <w:tr>
        <w:trPr>
          <w:trHeight w:val="229"/>
        </w:trPr>
        <w:tc>
          <w:tcPr>
            <w:tcW w:w="3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Recoveries</w:t>
            </w:r>
          </w:p>
        </w:tc>
        <w:tc>
          <w:tcPr>
            <w:tcW w:w="1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3,261</w:t>
            </w: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438</w:t>
            </w: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1,674</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13,169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charge-offs</w:t>
            </w:r>
          </w:p>
        </w:tc>
        <w:tc>
          <w:tcPr>
            <w:tcW w:w="116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(13,122)</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(834)</w:t>
            </w:r>
          </w:p>
        </w:tc>
        <w:tc>
          <w:tcPr>
            <w:tcW w:w="280" w:type="dxa"/>
            <w:vAlign w:val="bottom"/>
            <w:tcBorders>
              <w:bottom w:val="single" w:sz="8" w:color="CFF0FC"/>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(3,428)</w:t>
            </w:r>
          </w:p>
        </w:tc>
        <w:tc>
          <w:tcPr>
            <w:tcW w:w="300" w:type="dxa"/>
            <w:vAlign w:val="bottom"/>
            <w:tcBorders>
              <w:bottom w:val="single" w:sz="8" w:color="CFF0FC"/>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(31,778)</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(49,162)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Ending balance</w:t>
            </w:r>
          </w:p>
        </w:tc>
        <w:tc>
          <w:tcPr>
            <w:tcW w:w="11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358,092</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433,689</w:t>
            </w:r>
          </w:p>
        </w:tc>
        <w:tc>
          <w:tcPr>
            <w:tcW w:w="28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115,792</w:t>
            </w:r>
          </w:p>
        </w:tc>
        <w:tc>
          <w:tcPr>
            <w:tcW w:w="30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476,793</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$ 1,384,366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520"/>
        <w:spacing w:after="0"/>
        <w:rPr>
          <w:sz w:val="20"/>
          <w:szCs w:val="20"/>
          <w:color w:val="auto"/>
        </w:rPr>
      </w:pPr>
      <w:r>
        <w:rPr>
          <w:rFonts w:ascii="Arial" w:cs="Arial" w:eastAsia="Arial" w:hAnsi="Arial"/>
          <w:sz w:val="21"/>
          <w:szCs w:val="21"/>
          <w:color w:val="auto"/>
        </w:rPr>
        <w:t>Changes in the allowance for credit losses for the three months ended March 31, 2019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Commercial,</w:t>
            </w:r>
          </w:p>
        </w:tc>
        <w:tc>
          <w:tcPr>
            <w:tcW w:w="2020" w:type="dxa"/>
            <w:vAlign w:val="bottom"/>
            <w:gridSpan w:val="5"/>
            <w:vMerge w:val="restart"/>
          </w:tcPr>
          <w:p>
            <w:pPr>
              <w:jc w:val="right"/>
              <w:ind w:right="820"/>
              <w:spacing w:after="0"/>
              <w:rPr>
                <w:sz w:val="20"/>
                <w:szCs w:val="20"/>
                <w:color w:val="auto"/>
              </w:rPr>
            </w:pPr>
            <w:r>
              <w:rPr>
                <w:rFonts w:ascii="Arial" w:cs="Arial" w:eastAsia="Arial" w:hAnsi="Arial"/>
                <w:sz w:val="14"/>
                <w:szCs w:val="14"/>
                <w:b w:val="1"/>
                <w:bCs w:val="1"/>
                <w:color w:val="auto"/>
              </w:rPr>
              <w:t>Real Estate</w:t>
            </w: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080" w:type="dxa"/>
            <w:vAlign w:val="bottom"/>
            <w:gridSpan w:val="3"/>
          </w:tcPr>
          <w:p>
            <w:pPr>
              <w:ind w:left="80"/>
              <w:spacing w:after="0"/>
              <w:rPr>
                <w:sz w:val="20"/>
                <w:szCs w:val="20"/>
                <w:color w:val="auto"/>
              </w:rPr>
            </w:pPr>
            <w:r>
              <w:rPr>
                <w:rFonts w:ascii="Arial" w:cs="Arial" w:eastAsia="Arial" w:hAnsi="Arial"/>
                <w:sz w:val="14"/>
                <w:szCs w:val="14"/>
                <w:b w:val="1"/>
                <w:bCs w:val="1"/>
                <w:color w:val="auto"/>
              </w:rPr>
              <w:t>Financial,</w:t>
            </w:r>
          </w:p>
        </w:tc>
        <w:tc>
          <w:tcPr>
            <w:tcW w:w="2020" w:type="dxa"/>
            <w:vAlign w:val="bottom"/>
            <w:gridSpan w:val="5"/>
            <w:vMerge w:val="continue"/>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10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Leasing, etc.</w:t>
            </w:r>
          </w:p>
        </w:tc>
        <w:tc>
          <w:tcPr>
            <w:tcW w:w="940" w:type="dxa"/>
            <w:vAlign w:val="bottom"/>
            <w:tcBorders>
              <w:top w:val="single" w:sz="8" w:color="auto"/>
            </w:tcBorders>
            <w:gridSpan w:val="2"/>
          </w:tcPr>
          <w:p>
            <w:pPr>
              <w:jc w:val="right"/>
              <w:ind w:right="180"/>
              <w:spacing w:after="0" w:line="155" w:lineRule="exact"/>
              <w:rPr>
                <w:sz w:val="20"/>
                <w:szCs w:val="20"/>
                <w:color w:val="auto"/>
              </w:rPr>
            </w:pPr>
            <w:r>
              <w:rPr>
                <w:rFonts w:ascii="Arial" w:cs="Arial" w:eastAsia="Arial" w:hAnsi="Arial"/>
                <w:sz w:val="14"/>
                <w:szCs w:val="14"/>
                <w:b w:val="1"/>
                <w:bCs w:val="1"/>
                <w:color w:val="auto"/>
                <w:w w:val="92"/>
              </w:rPr>
              <w:t>Commercial</w:t>
            </w:r>
          </w:p>
        </w:tc>
        <w:tc>
          <w:tcPr>
            <w:tcW w:w="80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Residential</w:t>
            </w:r>
          </w:p>
        </w:tc>
        <w:tc>
          <w:tcPr>
            <w:tcW w:w="280" w:type="dxa"/>
            <w:vAlign w:val="bottom"/>
          </w:tcPr>
          <w:p>
            <w:pPr>
              <w:spacing w:after="0"/>
              <w:rPr>
                <w:sz w:val="13"/>
                <w:szCs w:val="13"/>
                <w:color w:val="auto"/>
              </w:rPr>
            </w:pPr>
          </w:p>
        </w:tc>
        <w:tc>
          <w:tcPr>
            <w:tcW w:w="1000" w:type="dxa"/>
            <w:vAlign w:val="bottom"/>
            <w:gridSpan w:val="2"/>
          </w:tcPr>
          <w:p>
            <w:pPr>
              <w:jc w:val="right"/>
              <w:ind w:right="320"/>
              <w:spacing w:after="0" w:line="155" w:lineRule="exact"/>
              <w:rPr>
                <w:sz w:val="20"/>
                <w:szCs w:val="20"/>
                <w:color w:val="auto"/>
              </w:rPr>
            </w:pPr>
            <w:r>
              <w:rPr>
                <w:rFonts w:ascii="Arial" w:cs="Arial" w:eastAsia="Arial" w:hAnsi="Arial"/>
                <w:sz w:val="14"/>
                <w:szCs w:val="14"/>
                <w:b w:val="1"/>
                <w:bCs w:val="1"/>
                <w:color w:val="auto"/>
                <w:w w:val="95"/>
              </w:rPr>
              <w:t>Consumer</w:t>
            </w:r>
          </w:p>
        </w:tc>
        <w:tc>
          <w:tcPr>
            <w:tcW w:w="1020" w:type="dxa"/>
            <w:vAlign w:val="bottom"/>
            <w:gridSpan w:val="2"/>
          </w:tcPr>
          <w:p>
            <w:pPr>
              <w:jc w:val="right"/>
              <w:ind w:right="280"/>
              <w:spacing w:after="0" w:line="155" w:lineRule="exact"/>
              <w:rPr>
                <w:sz w:val="20"/>
                <w:szCs w:val="20"/>
                <w:color w:val="auto"/>
              </w:rPr>
            </w:pPr>
            <w:r>
              <w:rPr>
                <w:rFonts w:ascii="Arial" w:cs="Arial" w:eastAsia="Arial" w:hAnsi="Arial"/>
                <w:sz w:val="14"/>
                <w:szCs w:val="14"/>
                <w:b w:val="1"/>
                <w:bCs w:val="1"/>
                <w:color w:val="auto"/>
                <w:w w:val="90"/>
              </w:rPr>
              <w:t>Unallocated</w:t>
            </w:r>
          </w:p>
        </w:tc>
        <w:tc>
          <w:tcPr>
            <w:tcW w:w="960" w:type="dxa"/>
            <w:vAlign w:val="bottom"/>
            <w:gridSpan w:val="2"/>
          </w:tcPr>
          <w:p>
            <w:pPr>
              <w:jc w:val="right"/>
              <w:ind w:right="380"/>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980" w:type="dxa"/>
            <w:vAlign w:val="bottom"/>
            <w:tcBorders>
              <w:top w:val="single" w:sz="8" w:color="auto"/>
            </w:tcBorders>
            <w:gridSpan w:val="4"/>
          </w:tcPr>
          <w:p>
            <w:pPr>
              <w:jc w:val="right"/>
              <w:ind w:right="680"/>
              <w:spacing w:after="0" w:line="155" w:lineRule="exact"/>
              <w:rPr>
                <w:sz w:val="20"/>
                <w:szCs w:val="20"/>
                <w:color w:val="auto"/>
              </w:rPr>
            </w:pPr>
            <w:r>
              <w:rPr>
                <w:rFonts w:ascii="Arial" w:cs="Arial" w:eastAsia="Arial" w:hAnsi="Arial"/>
                <w:sz w:val="14"/>
                <w:szCs w:val="14"/>
                <w:b w:val="1"/>
                <w:bCs w:val="1"/>
                <w:color w:val="auto"/>
              </w:rPr>
              <w:t>(In thousands)</w:t>
            </w:r>
          </w:p>
        </w:tc>
        <w:tc>
          <w:tcPr>
            <w:tcW w:w="74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5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Beginning balance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330,055</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341,655</w:t>
            </w:r>
          </w:p>
        </w:tc>
        <w:tc>
          <w:tcPr>
            <w:tcW w:w="18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69,125</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200,564</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78,045</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86"/>
              </w:rPr>
              <w:t>$ 1,019,444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Provision for credit losses</w:t>
            </w: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6,271</w:t>
            </w:r>
          </w:p>
        </w:tc>
        <w:tc>
          <w:tcPr>
            <w:tcW w:w="2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(4,203)</w:t>
            </w:r>
          </w:p>
        </w:tc>
        <w:tc>
          <w:tcPr>
            <w:tcW w:w="108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(2,447)</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22,883</w:t>
            </w:r>
          </w:p>
        </w:tc>
        <w:tc>
          <w:tcPr>
            <w:tcW w:w="2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(504)</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Net charge-offs</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Charge-offs</w:t>
            </w: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(8,500)</w:t>
            </w: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(283)</w:t>
            </w:r>
          </w:p>
        </w:tc>
        <w:tc>
          <w:tcPr>
            <w:tcW w:w="108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(3,372)</w:t>
            </w: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(32,945)</w:t>
            </w:r>
          </w:p>
        </w:tc>
        <w:tc>
          <w:tcPr>
            <w:tcW w:w="10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(45,100)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40" w:type="dxa"/>
            <w:vAlign w:val="bottom"/>
          </w:tcPr>
          <w:p>
            <w:pPr>
              <w:ind w:left="240"/>
              <w:spacing w:after="0"/>
              <w:rPr>
                <w:sz w:val="20"/>
                <w:szCs w:val="20"/>
                <w:color w:val="auto"/>
              </w:rPr>
            </w:pPr>
            <w:r>
              <w:rPr>
                <w:rFonts w:ascii="Arial" w:cs="Arial" w:eastAsia="Arial" w:hAnsi="Arial"/>
                <w:sz w:val="18"/>
                <w:szCs w:val="18"/>
                <w:color w:val="auto"/>
              </w:rPr>
              <w:t>Recoveries</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7,794</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826</w:t>
            </w:r>
          </w:p>
        </w:tc>
        <w:tc>
          <w:tcPr>
            <w:tcW w:w="18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1,830</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12,543</w:t>
            </w:r>
          </w:p>
        </w:tc>
        <w:tc>
          <w:tcPr>
            <w:tcW w:w="280" w:type="dxa"/>
            <w:vAlign w:val="bottom"/>
          </w:tcPr>
          <w:p>
            <w:pPr>
              <w:spacing w:after="0"/>
              <w:rPr>
                <w:sz w:val="19"/>
                <w:szCs w:val="19"/>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22,993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(charge-offs) recoveries</w:t>
            </w: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(706)</w:t>
            </w:r>
          </w:p>
        </w:tc>
        <w:tc>
          <w:tcPr>
            <w:tcW w:w="28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543</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(1,542)</w:t>
            </w:r>
          </w:p>
        </w:tc>
        <w:tc>
          <w:tcPr>
            <w:tcW w:w="28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(20,402)</w:t>
            </w:r>
          </w:p>
        </w:tc>
        <w:tc>
          <w:tcPr>
            <w:tcW w:w="28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(22,107)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gridSpan w:val="2"/>
          </w:tcPr>
          <w:p>
            <w:pPr>
              <w:spacing w:after="0"/>
              <w:rPr>
                <w:sz w:val="20"/>
                <w:szCs w:val="20"/>
                <w:color w:val="auto"/>
              </w:rPr>
            </w:pPr>
            <w:r>
              <w:rPr>
                <w:rFonts w:ascii="Arial" w:cs="Arial" w:eastAsia="Arial" w:hAnsi="Arial"/>
                <w:sz w:val="18"/>
                <w:szCs w:val="18"/>
                <w:color w:val="auto"/>
              </w:rPr>
              <w:t>Ending balance</w:t>
            </w: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335,620</w:t>
            </w:r>
          </w:p>
        </w:tc>
        <w:tc>
          <w:tcPr>
            <w:tcW w:w="28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337,995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65,136</w:t>
            </w:r>
          </w:p>
        </w:tc>
        <w:tc>
          <w:tcPr>
            <w:tcW w:w="28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203,045</w:t>
            </w:r>
          </w:p>
        </w:tc>
        <w:tc>
          <w:tcPr>
            <w:tcW w:w="28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77,541</w:t>
            </w:r>
          </w:p>
        </w:tc>
        <w:tc>
          <w:tcPr>
            <w:tcW w:w="28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$ 1,019,337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8" w:lineRule="exact"/>
        <w:rPr>
          <w:sz w:val="20"/>
          <w:szCs w:val="20"/>
          <w:color w:val="auto"/>
        </w:rPr>
      </w:pPr>
    </w:p>
    <w:p>
      <w:pPr>
        <w:jc w:val="both"/>
        <w:ind w:firstLine="510"/>
        <w:spacing w:after="0" w:line="248" w:lineRule="auto"/>
        <w:rPr>
          <w:sz w:val="20"/>
          <w:szCs w:val="20"/>
          <w:color w:val="auto"/>
        </w:rPr>
      </w:pPr>
      <w:r>
        <w:rPr>
          <w:rFonts w:ascii="Arial" w:cs="Arial" w:eastAsia="Arial" w:hAnsi="Arial"/>
          <w:sz w:val="21"/>
          <w:szCs w:val="21"/>
          <w:color w:val="auto"/>
        </w:rPr>
        <w:t>Despite the allocation in the preceding tables, the allowance for credit losses is general in nature and is available to absorb losses from any loan or lease type. A description of the methodologies used by the Company to estimate its allowance for credit losses prior to January 1, 2020 is included in note 4 of Notes to Financial Statements in the Company’s Annual Report on Form 10-K for the year ended December 31, 2019.</w:t>
      </w:r>
    </w:p>
    <w:p>
      <w:pPr>
        <w:spacing w:after="0" w:line="81" w:lineRule="exact"/>
        <w:rPr>
          <w:sz w:val="20"/>
          <w:szCs w:val="20"/>
          <w:color w:val="auto"/>
        </w:rPr>
      </w:pPr>
    </w:p>
    <w:p>
      <w:pPr>
        <w:jc w:val="both"/>
        <w:ind w:firstLine="510"/>
        <w:spacing w:after="0" w:line="256" w:lineRule="auto"/>
        <w:rPr>
          <w:sz w:val="20"/>
          <w:szCs w:val="20"/>
          <w:color w:val="auto"/>
        </w:rPr>
      </w:pPr>
      <w:r>
        <w:rPr>
          <w:rFonts w:ascii="Arial" w:cs="Arial" w:eastAsia="Arial" w:hAnsi="Arial"/>
          <w:sz w:val="20"/>
          <w:szCs w:val="20"/>
          <w:color w:val="auto"/>
        </w:rPr>
        <w:t>In establishing the allowance for credit losses subsequent to December 31, 2019, the Company estimates losses attributable to specific troubled credits identified through both normal and targeted credit review processes and also estimates losses for loans and leases with similar risk characteristics on a collective basis. The amounts of specific loss components in the Company’s loan and lease portfolios are determined through a loan-by-loan analysis of larger balance commercial loans and commercial real estate loans that are in nonaccrual status. Such loss estimates are typically based on expected future cash flows, collateral values and other factors that may impact the borrower’s ability to pay. To the extent that those loans are collateral-dependent, they are evaluated based on the fair value of the loan’s collateral as estimated at or near the financial statement date. As the quality of a loan deteriorates to the point of classifying the loan as “criticized,” the process of obtaining updated collateral valuation information is usually initiated, unless it is not considered warranted given factors such as the relative size of the loan, the characteristics of the collateral or the age of the last valuation. In those cases where current appraisals may not yet be available, prior appraisals are utilized with adjustments, as deemed necessary, for estimates of subsequent declines in values as determined by line of business and/or loan workout personnel. Those adjustments are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NOTES TO FINANCIAL STATEMENTS, CONTINUED</w:t>
      </w:r>
    </w:p>
    <w:p>
      <w:pPr>
        <w:spacing w:after="0" w:line="32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3. Loans and leases and the allowance for credit losses, continued</w:t>
      </w:r>
    </w:p>
    <w:p>
      <w:pPr>
        <w:spacing w:after="0" w:line="115"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reviewed and assessed for reasonableness by the Company’s credit department. Accordingly, for real estate collateral securing larger nonaccrual commercial loans and commercial real estate loans, estimated collateral values are based on current appraisals and estimates of value. For non-real estate loans, collateral is assigned a discounted estimated liquidation value and, depending on the nature of the collateral, is verified through field exams or other procedures. In assessing collateral, real estate and non-real estate values are reduced by an estimate of selling costs.</w:t>
      </w:r>
    </w:p>
    <w:p>
      <w:pPr>
        <w:spacing w:after="0" w:line="84"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20"/>
          <w:szCs w:val="20"/>
          <w:color w:val="auto"/>
        </w:rPr>
        <w:t>For residential real estate loans, including home equity loans and lines of credit, the excess of the loan balance over the net realizable value of the property collateralizing the loan is charged-off when the loan becomes 150 days delinquent. That charge-off is based on recent indications of value from external parties that are generally obtained shortly after a loan becomes nonaccrual. Loans to consumers that file for bankruptcy are generally charged-off to estimated net collateral value shortly after the Company is notified of such filings. When evaluating individual home equity loans and lines of credit for charge off and for purposes of estimating losses in determining the allowance for credit losses, the Company gives consideration to the required repayment of any first lien positions related to collateral property. Modified loans, including smaller balance homogenous loans, that are considered to be troubled debt restructurings are evaluated for impairment giving consideration to the impact of the modified loan terms on the present value of the loan’s expected cash flows.</w:t>
      </w:r>
    </w:p>
    <w:p>
      <w:pPr>
        <w:spacing w:after="0" w:line="76" w:lineRule="exact"/>
        <w:rPr>
          <w:sz w:val="20"/>
          <w:szCs w:val="20"/>
          <w:color w:val="auto"/>
        </w:rPr>
      </w:pPr>
    </w:p>
    <w:p>
      <w:pPr>
        <w:jc w:val="both"/>
        <w:ind w:right="20" w:firstLine="510"/>
        <w:spacing w:after="0" w:line="263" w:lineRule="auto"/>
        <w:rPr>
          <w:sz w:val="20"/>
          <w:szCs w:val="20"/>
          <w:color w:val="auto"/>
        </w:rPr>
      </w:pPr>
      <w:r>
        <w:rPr>
          <w:rFonts w:ascii="Arial" w:cs="Arial" w:eastAsia="Arial" w:hAnsi="Arial"/>
          <w:sz w:val="20"/>
          <w:szCs w:val="20"/>
          <w:color w:val="auto"/>
        </w:rPr>
        <w:t>Information with respect to loans and leases that were considered nonaccrual at the beginning and end of the reporting period and the interest income recognized on such loans for the three-month periods ended March 31, 2020 and 2019 follows.</w:t>
      </w:r>
    </w:p>
    <w:tbl>
      <w:tblPr>
        <w:tblLayout w:type="fixed"/>
        <w:tblInd w:w="0" w:type="dxa"/>
        <w:tblCellMar>
          <w:top w:w="0" w:type="dxa"/>
          <w:left w:w="0" w:type="dxa"/>
          <w:bottom w:w="0" w:type="dxa"/>
          <w:right w:w="0" w:type="dxa"/>
        </w:tblCellMar>
      </w:tblPr>
      <w:tr>
        <w:trPr>
          <w:trHeight w:val="134"/>
        </w:trPr>
        <w:tc>
          <w:tcPr>
            <w:tcW w:w="43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gridSpan w:val="2"/>
          </w:tcPr>
          <w:p>
            <w:pPr>
              <w:jc w:val="center"/>
              <w:ind w:right="140"/>
              <w:spacing w:after="0" w:line="134" w:lineRule="exact"/>
              <w:rPr>
                <w:sz w:val="20"/>
                <w:szCs w:val="20"/>
                <w:color w:val="auto"/>
              </w:rPr>
            </w:pPr>
            <w:r>
              <w:rPr>
                <w:rFonts w:ascii="Arial" w:cs="Arial" w:eastAsia="Arial" w:hAnsi="Arial"/>
                <w:sz w:val="14"/>
                <w:szCs w:val="14"/>
                <w:b w:val="1"/>
                <w:bCs w:val="1"/>
                <w:color w:val="auto"/>
                <w:w w:val="94"/>
              </w:rPr>
              <w:t>Three</w:t>
            </w: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Months</w:t>
            </w: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January 1,</w:t>
            </w:r>
          </w:p>
        </w:tc>
        <w:tc>
          <w:tcPr>
            <w:tcW w:w="9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20" w:type="dxa"/>
            <w:vAlign w:val="bottom"/>
            <w:gridSpan w:val="3"/>
            <w:vMerge w:val="restart"/>
          </w:tcPr>
          <w:p>
            <w:pPr>
              <w:ind w:left="260"/>
              <w:spacing w:after="0"/>
              <w:rPr>
                <w:sz w:val="20"/>
                <w:szCs w:val="20"/>
                <w:color w:val="auto"/>
              </w:rPr>
            </w:pPr>
            <w:r>
              <w:rPr>
                <w:rFonts w:ascii="Arial" w:cs="Arial" w:eastAsia="Arial" w:hAnsi="Arial"/>
                <w:sz w:val="14"/>
                <w:szCs w:val="14"/>
                <w:b w:val="1"/>
                <w:bCs w:val="1"/>
                <w:color w:val="auto"/>
              </w:rPr>
              <w:t>March 31, 2020</w:t>
            </w: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9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71"/>
        </w:trPr>
        <w:tc>
          <w:tcPr>
            <w:tcW w:w="4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vMerge w:val="continue"/>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3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6"/>
              </w:rPr>
              <w:t>Amortized</w:t>
            </w:r>
          </w:p>
        </w:tc>
        <w:tc>
          <w:tcPr>
            <w:tcW w:w="300" w:type="dxa"/>
            <w:vAlign w:val="bottom"/>
          </w:tcPr>
          <w:p>
            <w:pPr>
              <w:spacing w:after="0"/>
              <w:rPr>
                <w:sz w:val="11"/>
                <w:szCs w:val="11"/>
                <w:color w:val="auto"/>
              </w:rPr>
            </w:pPr>
          </w:p>
        </w:tc>
        <w:tc>
          <w:tcPr>
            <w:tcW w:w="112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6"/>
              </w:rPr>
              <w:t>Amortized</w:t>
            </w: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Interest</w:t>
            </w: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Cost</w:t>
            </w: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6"/>
              </w:rPr>
              <w:t>Amortized</w:t>
            </w: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91"/>
              </w:rPr>
              <w:t>Cost with</w:t>
            </w:r>
          </w:p>
        </w:tc>
        <w:tc>
          <w:tcPr>
            <w:tcW w:w="30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without</w:t>
            </w:r>
          </w:p>
        </w:tc>
        <w:tc>
          <w:tcPr>
            <w:tcW w:w="11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Total</w:t>
            </w:r>
          </w:p>
        </w:tc>
        <w:tc>
          <w:tcPr>
            <w:tcW w:w="1180" w:type="dxa"/>
            <w:vAlign w:val="bottom"/>
            <w:gridSpan w:val="2"/>
            <w:vMerge w:val="continue"/>
          </w:tcPr>
          <w:p>
            <w:pPr>
              <w:spacing w:after="0"/>
              <w:rPr>
                <w:sz w:val="12"/>
                <w:szCs w:val="12"/>
                <w:color w:val="auto"/>
              </w:rPr>
            </w:pPr>
          </w:p>
        </w:tc>
        <w:tc>
          <w:tcPr>
            <w:tcW w:w="9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Income</w:t>
            </w:r>
          </w:p>
        </w:tc>
        <w:tc>
          <w:tcPr>
            <w:tcW w:w="0" w:type="dxa"/>
            <w:vAlign w:val="bottom"/>
          </w:tcPr>
          <w:p>
            <w:pPr>
              <w:spacing w:after="0"/>
              <w:rPr>
                <w:sz w:val="1"/>
                <w:szCs w:val="1"/>
                <w:color w:val="auto"/>
              </w:rPr>
            </w:pPr>
          </w:p>
        </w:tc>
      </w:tr>
      <w:tr>
        <w:trPr>
          <w:trHeight w:val="171"/>
        </w:trPr>
        <w:tc>
          <w:tcPr>
            <w:tcW w:w="4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Allowance</w:t>
            </w:r>
          </w:p>
        </w:tc>
        <w:tc>
          <w:tcPr>
            <w:tcW w:w="30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Allowance</w:t>
            </w:r>
          </w:p>
        </w:tc>
        <w:tc>
          <w:tcPr>
            <w:tcW w:w="1160" w:type="dxa"/>
            <w:vAlign w:val="bottom"/>
            <w:gridSpan w:val="2"/>
            <w:vMerge w:val="continue"/>
          </w:tcPr>
          <w:p>
            <w:pPr>
              <w:spacing w:after="0"/>
              <w:rPr>
                <w:sz w:val="14"/>
                <w:szCs w:val="14"/>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Cost</w:t>
            </w: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Recognized</w:t>
            </w:r>
          </w:p>
        </w:tc>
        <w:tc>
          <w:tcPr>
            <w:tcW w:w="0" w:type="dxa"/>
            <w:vAlign w:val="bottom"/>
          </w:tcPr>
          <w:p>
            <w:pPr>
              <w:spacing w:after="0"/>
              <w:rPr>
                <w:sz w:val="1"/>
                <w:szCs w:val="1"/>
                <w:color w:val="auto"/>
              </w:rPr>
            </w:pPr>
          </w:p>
        </w:tc>
      </w:tr>
      <w:tr>
        <w:trPr>
          <w:trHeight w:val="155"/>
        </w:trPr>
        <w:tc>
          <w:tcPr>
            <w:tcW w:w="43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rPr>
              <w:t>(In thousands)</w:t>
            </w:r>
          </w:p>
        </w:tc>
        <w:tc>
          <w:tcPr>
            <w:tcW w:w="86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financial, leasing, etc.</w:t>
            </w:r>
          </w:p>
        </w:tc>
        <w:tc>
          <w:tcPr>
            <w:tcW w:w="1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153,924</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132,723</w:t>
            </w:r>
          </w:p>
        </w:tc>
        <w:tc>
          <w:tcPr>
            <w:tcW w:w="3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286,647</w:t>
            </w: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346,743</w:t>
            </w: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tcPr>
          <w:p>
            <w:pPr>
              <w:ind w:left="260"/>
              <w:spacing w:after="0"/>
              <w:rPr>
                <w:sz w:val="20"/>
                <w:szCs w:val="20"/>
                <w:color w:val="auto"/>
              </w:rPr>
            </w:pPr>
            <w:r>
              <w:rPr>
                <w:rFonts w:ascii="Arial" w:cs="Arial" w:eastAsia="Arial" w:hAnsi="Arial"/>
                <w:sz w:val="18"/>
                <w:szCs w:val="18"/>
                <w:color w:val="auto"/>
              </w:rPr>
              <w:t>Real estate:</w:t>
            </w: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Commercial</w:t>
            </w: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62,675</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125,794</w:t>
            </w:r>
          </w:p>
        </w:tc>
        <w:tc>
          <w:tcPr>
            <w:tcW w:w="3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188,469</w:t>
            </w: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173,796</w:t>
            </w: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tcPr>
          <w:p>
            <w:pPr>
              <w:ind w:left="500"/>
              <w:spacing w:after="0"/>
              <w:rPr>
                <w:sz w:val="20"/>
                <w:szCs w:val="20"/>
                <w:color w:val="auto"/>
              </w:rPr>
            </w:pPr>
            <w:r>
              <w:rPr>
                <w:rFonts w:ascii="Arial" w:cs="Arial" w:eastAsia="Arial" w:hAnsi="Arial"/>
                <w:sz w:val="18"/>
                <w:szCs w:val="18"/>
                <w:color w:val="auto"/>
              </w:rPr>
              <w:t>Residential builder and developer</w:t>
            </w: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3,204</w:t>
            </w:r>
          </w:p>
        </w:tc>
        <w:tc>
          <w:tcPr>
            <w:tcW w:w="300" w:type="dxa"/>
            <w:vAlign w:val="bottom"/>
          </w:tcPr>
          <w:p>
            <w:pPr>
              <w:spacing w:after="0"/>
              <w:rPr>
                <w:sz w:val="19"/>
                <w:szCs w:val="19"/>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3,204</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4,708</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commercial construction</w:t>
            </w: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12,039</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22,896</w:t>
            </w:r>
          </w:p>
        </w:tc>
        <w:tc>
          <w:tcPr>
            <w:tcW w:w="3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34,935</w:t>
            </w: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35,881</w:t>
            </w: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tcPr>
          <w:p>
            <w:pPr>
              <w:ind w:left="500"/>
              <w:spacing w:after="0"/>
              <w:rPr>
                <w:sz w:val="20"/>
                <w:szCs w:val="20"/>
                <w:color w:val="auto"/>
              </w:rPr>
            </w:pPr>
            <w:r>
              <w:rPr>
                <w:rFonts w:ascii="Arial" w:cs="Arial" w:eastAsia="Arial" w:hAnsi="Arial"/>
                <w:sz w:val="18"/>
                <w:szCs w:val="18"/>
                <w:color w:val="auto"/>
              </w:rPr>
              <w:t>Residential</w:t>
            </w: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67,221</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226,417</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293,638</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322,504</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6,819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Residential — limited documentation</w:t>
            </w: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26,444</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92,873</w:t>
            </w:r>
          </w:p>
        </w:tc>
        <w:tc>
          <w:tcPr>
            <w:tcW w:w="3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119,317</w:t>
            </w: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114,667</w:t>
            </w: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tcPr>
          <w:p>
            <w:pPr>
              <w:ind w:left="260"/>
              <w:spacing w:after="0"/>
              <w:rPr>
                <w:sz w:val="20"/>
                <w:szCs w:val="20"/>
                <w:color w:val="auto"/>
              </w:rPr>
            </w:pPr>
            <w:r>
              <w:rPr>
                <w:rFonts w:ascii="Arial" w:cs="Arial" w:eastAsia="Arial" w:hAnsi="Arial"/>
                <w:sz w:val="18"/>
                <w:szCs w:val="18"/>
                <w:color w:val="auto"/>
              </w:rPr>
              <w:t>Consumer:</w:t>
            </w: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Home equity lines and loans</w:t>
            </w: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26,230</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36,841</w:t>
            </w:r>
          </w:p>
        </w:tc>
        <w:tc>
          <w:tcPr>
            <w:tcW w:w="3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63,071</w:t>
            </w: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65,039</w:t>
            </w: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tcPr>
          <w:p>
            <w:pPr>
              <w:ind w:left="500"/>
              <w:spacing w:after="0"/>
              <w:rPr>
                <w:sz w:val="20"/>
                <w:szCs w:val="20"/>
                <w:color w:val="auto"/>
              </w:rPr>
            </w:pPr>
            <w:r>
              <w:rPr>
                <w:rFonts w:ascii="Arial" w:cs="Arial" w:eastAsia="Arial" w:hAnsi="Arial"/>
                <w:sz w:val="18"/>
                <w:szCs w:val="18"/>
                <w:color w:val="auto"/>
              </w:rPr>
              <w:t>Recreational finance</w:t>
            </w: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6,704</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6,701</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13,405</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14,308</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Automobile</w:t>
            </w: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9,802</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9,449</w:t>
            </w:r>
          </w:p>
        </w:tc>
        <w:tc>
          <w:tcPr>
            <w:tcW w:w="3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19,251</w:t>
            </w: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21,293</w:t>
            </w: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tcPr>
          <w:p>
            <w:pPr>
              <w:ind w:left="500"/>
              <w:spacing w:after="0"/>
              <w:rPr>
                <w:sz w:val="20"/>
                <w:szCs w:val="20"/>
                <w:color w:val="auto"/>
              </w:rPr>
            </w:pPr>
            <w:r>
              <w:rPr>
                <w:rFonts w:ascii="Arial" w:cs="Arial" w:eastAsia="Arial" w:hAnsi="Arial"/>
                <w:sz w:val="18"/>
                <w:szCs w:val="18"/>
                <w:color w:val="auto"/>
              </w:rPr>
              <w:t>Other</w:t>
            </w: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4,182</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35,629</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39,811</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35,394</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4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372,425</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689,323</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1,061,748</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1,134,333</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12,571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32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2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-7620</wp:posOffset>
            </wp:positionV>
            <wp:extent cx="825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25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NOTES TO FINANCIAL STATEMENTS, CONTINUED</w:t>
      </w:r>
    </w:p>
    <w:p>
      <w:pPr>
        <w:spacing w:after="0" w:line="21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3. Loans and leases and the allowance for credit losses, continued</w:t>
      </w:r>
    </w:p>
    <w:tbl>
      <w:tblPr>
        <w:tblLayout w:type="fixed"/>
        <w:tblInd w:w="5760" w:type="dxa"/>
        <w:tblCellMar>
          <w:top w:w="0" w:type="dxa"/>
          <w:left w:w="0" w:type="dxa"/>
          <w:bottom w:w="0" w:type="dxa"/>
          <w:right w:w="0" w:type="dxa"/>
        </w:tblCellMar>
      </w:tblPr>
      <w:tr>
        <w:trPr>
          <w:trHeight w:val="160"/>
        </w:trPr>
        <w:tc>
          <w:tcPr>
            <w:tcW w:w="88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94"/>
              </w:rPr>
              <w:t>Three</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Months</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January 1,</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2160" w:type="dxa"/>
            <w:vAlign w:val="bottom"/>
            <w:vMerge w:val="restart"/>
          </w:tcPr>
          <w:p>
            <w:pPr>
              <w:jc w:val="center"/>
              <w:ind w:right="808"/>
              <w:spacing w:after="0"/>
              <w:rPr>
                <w:sz w:val="20"/>
                <w:szCs w:val="20"/>
                <w:color w:val="auto"/>
              </w:rPr>
            </w:pPr>
            <w:r>
              <w:rPr>
                <w:rFonts w:ascii="Arial" w:cs="Arial" w:eastAsia="Arial" w:hAnsi="Arial"/>
                <w:sz w:val="14"/>
                <w:szCs w:val="14"/>
                <w:b w:val="1"/>
                <w:bCs w:val="1"/>
                <w:color w:val="auto"/>
                <w:w w:val="96"/>
              </w:rPr>
              <w:t>March 31, 2019</w:t>
            </w:r>
          </w:p>
        </w:tc>
        <w:tc>
          <w:tcPr>
            <w:tcW w:w="300" w:type="dxa"/>
            <w:vAlign w:val="bottom"/>
            <w:vMerge w:val="restart"/>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71"/>
        </w:trPr>
        <w:tc>
          <w:tcPr>
            <w:tcW w:w="88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133"/>
        </w:trPr>
        <w:tc>
          <w:tcPr>
            <w:tcW w:w="880" w:type="dxa"/>
            <w:vAlign w:val="bottom"/>
          </w:tcPr>
          <w:p>
            <w:pPr>
              <w:jc w:val="center"/>
              <w:ind w:right="28"/>
              <w:spacing w:after="0" w:line="133" w:lineRule="exact"/>
              <w:rPr>
                <w:sz w:val="20"/>
                <w:szCs w:val="20"/>
                <w:color w:val="auto"/>
              </w:rPr>
            </w:pPr>
            <w:r>
              <w:rPr>
                <w:rFonts w:ascii="Arial" w:cs="Arial" w:eastAsia="Arial" w:hAnsi="Arial"/>
                <w:sz w:val="14"/>
                <w:szCs w:val="14"/>
                <w:b w:val="1"/>
                <w:bCs w:val="1"/>
                <w:color w:val="auto"/>
                <w:w w:val="96"/>
              </w:rPr>
              <w:t>Amortized</w:t>
            </w:r>
          </w:p>
        </w:tc>
        <w:tc>
          <w:tcPr>
            <w:tcW w:w="2160" w:type="dxa"/>
            <w:vAlign w:val="bottom"/>
          </w:tcPr>
          <w:p>
            <w:pPr>
              <w:jc w:val="center"/>
              <w:ind w:right="828"/>
              <w:spacing w:after="0" w:line="133" w:lineRule="exact"/>
              <w:rPr>
                <w:sz w:val="20"/>
                <w:szCs w:val="20"/>
                <w:color w:val="auto"/>
              </w:rPr>
            </w:pPr>
            <w:r>
              <w:rPr>
                <w:rFonts w:ascii="Arial" w:cs="Arial" w:eastAsia="Arial" w:hAnsi="Arial"/>
                <w:sz w:val="14"/>
                <w:szCs w:val="14"/>
                <w:b w:val="1"/>
                <w:bCs w:val="1"/>
                <w:color w:val="auto"/>
                <w:w w:val="96"/>
              </w:rPr>
              <w:t>Amortized</w:t>
            </w:r>
          </w:p>
        </w:tc>
        <w:tc>
          <w:tcPr>
            <w:tcW w:w="300" w:type="dxa"/>
            <w:vAlign w:val="bottom"/>
          </w:tcPr>
          <w:p>
            <w:pPr>
              <w:spacing w:after="0"/>
              <w:rPr>
                <w:sz w:val="11"/>
                <w:szCs w:val="11"/>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Amortized</w:t>
            </w:r>
          </w:p>
        </w:tc>
        <w:tc>
          <w:tcPr>
            <w:tcW w:w="8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4"/>
              </w:rPr>
              <w:t>Interest</w:t>
            </w:r>
          </w:p>
        </w:tc>
        <w:tc>
          <w:tcPr>
            <w:tcW w:w="0" w:type="dxa"/>
            <w:vAlign w:val="bottom"/>
          </w:tcPr>
          <w:p>
            <w:pPr>
              <w:spacing w:after="0"/>
              <w:rPr>
                <w:sz w:val="1"/>
                <w:szCs w:val="1"/>
                <w:color w:val="auto"/>
              </w:rPr>
            </w:pPr>
          </w:p>
        </w:tc>
      </w:tr>
      <w:tr>
        <w:trPr>
          <w:trHeight w:val="164"/>
        </w:trPr>
        <w:tc>
          <w:tcPr>
            <w:tcW w:w="880" w:type="dxa"/>
            <w:vAlign w:val="bottom"/>
          </w:tcPr>
          <w:p>
            <w:pPr>
              <w:jc w:val="center"/>
              <w:ind w:right="8"/>
              <w:spacing w:after="0"/>
              <w:rPr>
                <w:sz w:val="20"/>
                <w:szCs w:val="20"/>
                <w:color w:val="auto"/>
              </w:rPr>
            </w:pPr>
            <w:r>
              <w:rPr>
                <w:rFonts w:ascii="Arial" w:cs="Arial" w:eastAsia="Arial" w:hAnsi="Arial"/>
                <w:sz w:val="14"/>
                <w:szCs w:val="14"/>
                <w:b w:val="1"/>
                <w:bCs w:val="1"/>
                <w:color w:val="auto"/>
                <w:w w:val="95"/>
              </w:rPr>
              <w:t>Cost with</w:t>
            </w:r>
          </w:p>
        </w:tc>
        <w:tc>
          <w:tcPr>
            <w:tcW w:w="2460" w:type="dxa"/>
            <w:vAlign w:val="bottom"/>
            <w:gridSpan w:val="2"/>
          </w:tcPr>
          <w:p>
            <w:pPr>
              <w:jc w:val="center"/>
              <w:ind w:right="1200"/>
              <w:spacing w:after="0"/>
              <w:rPr>
                <w:sz w:val="20"/>
                <w:szCs w:val="20"/>
                <w:color w:val="auto"/>
              </w:rPr>
            </w:pPr>
            <w:r>
              <w:rPr>
                <w:rFonts w:ascii="Arial" w:cs="Arial" w:eastAsia="Arial" w:hAnsi="Arial"/>
                <w:sz w:val="14"/>
                <w:szCs w:val="14"/>
                <w:b w:val="1"/>
                <w:bCs w:val="1"/>
                <w:color w:val="auto"/>
                <w:w w:val="91"/>
              </w:rPr>
              <w:t>Cost without</w:t>
            </w:r>
          </w:p>
        </w:tc>
        <w:tc>
          <w:tcPr>
            <w:tcW w:w="1180" w:type="dxa"/>
            <w:vAlign w:val="bottom"/>
            <w:gridSpan w:val="2"/>
            <w:vMerge w:val="continue"/>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Income</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760" w:type="dxa"/>
            <w:vAlign w:val="bottom"/>
          </w:tcPr>
          <w:p>
            <w:pPr>
              <w:spacing w:after="0"/>
              <w:rPr>
                <w:sz w:val="13"/>
                <w:szCs w:val="13"/>
                <w:color w:val="auto"/>
              </w:rPr>
            </w:pPr>
          </w:p>
        </w:tc>
        <w:tc>
          <w:tcPr>
            <w:tcW w:w="1120" w:type="dxa"/>
            <w:vAlign w:val="bottom"/>
            <w:gridSpan w:val="3"/>
          </w:tcPr>
          <w:p>
            <w:pPr>
              <w:ind w:left="80"/>
              <w:spacing w:after="0" w:line="155" w:lineRule="exact"/>
              <w:rPr>
                <w:sz w:val="20"/>
                <w:szCs w:val="20"/>
                <w:color w:val="auto"/>
              </w:rPr>
            </w:pPr>
            <w:r>
              <w:rPr>
                <w:rFonts w:ascii="Arial" w:cs="Arial" w:eastAsia="Arial" w:hAnsi="Arial"/>
                <w:sz w:val="14"/>
                <w:szCs w:val="14"/>
                <w:b w:val="1"/>
                <w:bCs w:val="1"/>
                <w:color w:val="auto"/>
              </w:rPr>
              <w:t>Allowance</w:t>
            </w:r>
          </w:p>
        </w:tc>
        <w:tc>
          <w:tcPr>
            <w:tcW w:w="800" w:type="dxa"/>
            <w:vAlign w:val="bottom"/>
          </w:tcPr>
          <w:p>
            <w:pPr>
              <w:jc w:val="right"/>
              <w:ind w:right="12"/>
              <w:spacing w:after="0" w:line="155" w:lineRule="exact"/>
              <w:rPr>
                <w:sz w:val="20"/>
                <w:szCs w:val="20"/>
                <w:color w:val="auto"/>
              </w:rPr>
            </w:pPr>
            <w:r>
              <w:rPr>
                <w:rFonts w:ascii="Arial" w:cs="Arial" w:eastAsia="Arial" w:hAnsi="Arial"/>
                <w:sz w:val="14"/>
                <w:szCs w:val="14"/>
                <w:b w:val="1"/>
                <w:bCs w:val="1"/>
                <w:color w:val="auto"/>
                <w:w w:val="98"/>
              </w:rPr>
              <w:t>Allowance</w:t>
            </w:r>
          </w:p>
        </w:tc>
        <w:tc>
          <w:tcPr>
            <w:tcW w:w="320" w:type="dxa"/>
            <w:vAlign w:val="bottom"/>
          </w:tcPr>
          <w:p>
            <w:pPr>
              <w:spacing w:after="0"/>
              <w:rPr>
                <w:sz w:val="13"/>
                <w:szCs w:val="13"/>
                <w:color w:val="auto"/>
              </w:rPr>
            </w:pPr>
          </w:p>
        </w:tc>
        <w:tc>
          <w:tcPr>
            <w:tcW w:w="1100" w:type="dxa"/>
            <w:vAlign w:val="bottom"/>
            <w:gridSpan w:val="2"/>
          </w:tcPr>
          <w:p>
            <w:pPr>
              <w:ind w:left="240"/>
              <w:spacing w:after="0" w:line="155" w:lineRule="exact"/>
              <w:rPr>
                <w:sz w:val="20"/>
                <w:szCs w:val="20"/>
                <w:color w:val="auto"/>
              </w:rPr>
            </w:pPr>
            <w:r>
              <w:rPr>
                <w:rFonts w:ascii="Arial" w:cs="Arial" w:eastAsia="Arial" w:hAnsi="Arial"/>
                <w:sz w:val="14"/>
                <w:szCs w:val="14"/>
                <w:b w:val="1"/>
                <w:bCs w:val="1"/>
                <w:color w:val="auto"/>
              </w:rPr>
              <w:t>Total</w:t>
            </w:r>
          </w:p>
        </w:tc>
        <w:tc>
          <w:tcPr>
            <w:tcW w:w="1180" w:type="dxa"/>
            <w:vAlign w:val="bottom"/>
            <w:gridSpan w:val="2"/>
          </w:tcPr>
          <w:p>
            <w:pPr>
              <w:ind w:left="300"/>
              <w:spacing w:after="0" w:line="155" w:lineRule="exact"/>
              <w:rPr>
                <w:sz w:val="20"/>
                <w:szCs w:val="20"/>
                <w:color w:val="auto"/>
              </w:rPr>
            </w:pPr>
            <w:r>
              <w:rPr>
                <w:rFonts w:ascii="Arial" w:cs="Arial" w:eastAsia="Arial" w:hAnsi="Arial"/>
                <w:sz w:val="14"/>
                <w:szCs w:val="14"/>
                <w:b w:val="1"/>
                <w:bCs w:val="1"/>
                <w:color w:val="auto"/>
              </w:rPr>
              <w:t>Cost</w:t>
            </w:r>
          </w:p>
        </w:tc>
        <w:tc>
          <w:tcPr>
            <w:tcW w:w="96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rPr>
              <w:t>Recognized</w:t>
            </w:r>
          </w:p>
        </w:tc>
      </w:tr>
      <w:tr>
        <w:trPr>
          <w:trHeight w:val="223"/>
        </w:trPr>
        <w:tc>
          <w:tcPr>
            <w:tcW w:w="57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5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financial, leasing, etc.</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150,467</w:t>
            </w:r>
          </w:p>
        </w:tc>
        <w:tc>
          <w:tcPr>
            <w:tcW w:w="3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95,352</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245,819</w:t>
            </w: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234,423</w:t>
            </w: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3,081</w:t>
            </w:r>
          </w:p>
        </w:tc>
        <w:tc>
          <w:tcPr>
            <w:tcW w:w="120" w:type="dxa"/>
            <w:vAlign w:val="bottom"/>
            <w:shd w:val="clear" w:color="auto" w:fill="CFF0FC"/>
          </w:tcPr>
          <w:p>
            <w:pPr>
              <w:spacing w:after="0"/>
              <w:rPr>
                <w:sz w:val="19"/>
                <w:szCs w:val="19"/>
                <w:color w:val="auto"/>
              </w:rPr>
            </w:pPr>
          </w:p>
        </w:tc>
      </w:tr>
      <w:tr>
        <w:trPr>
          <w:trHeight w:val="229"/>
        </w:trPr>
        <w:tc>
          <w:tcPr>
            <w:tcW w:w="5760" w:type="dxa"/>
            <w:vAlign w:val="bottom"/>
          </w:tcPr>
          <w:p>
            <w:pPr>
              <w:ind w:left="260"/>
              <w:spacing w:after="0"/>
              <w:rPr>
                <w:sz w:val="20"/>
                <w:szCs w:val="20"/>
                <w:color w:val="auto"/>
              </w:rPr>
            </w:pPr>
            <w:r>
              <w:rPr>
                <w:rFonts w:ascii="Arial" w:cs="Arial" w:eastAsia="Arial" w:hAnsi="Arial"/>
                <w:sz w:val="18"/>
                <w:szCs w:val="18"/>
                <w:color w:val="auto"/>
              </w:rPr>
              <w:t>Real estate:</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5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Commercial</w:t>
            </w: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82,538</w:t>
            </w:r>
          </w:p>
        </w:tc>
        <w:tc>
          <w:tcPr>
            <w:tcW w:w="3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125,171</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207,709</w:t>
            </w: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203,672</w:t>
            </w: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1,096</w:t>
            </w:r>
          </w:p>
        </w:tc>
        <w:tc>
          <w:tcPr>
            <w:tcW w:w="120" w:type="dxa"/>
            <w:vAlign w:val="bottom"/>
            <w:shd w:val="clear" w:color="auto" w:fill="CFF0FC"/>
          </w:tcPr>
          <w:p>
            <w:pPr>
              <w:spacing w:after="0"/>
              <w:rPr>
                <w:sz w:val="19"/>
                <w:szCs w:val="19"/>
                <w:color w:val="auto"/>
              </w:rPr>
            </w:pPr>
          </w:p>
        </w:tc>
      </w:tr>
      <w:tr>
        <w:trPr>
          <w:trHeight w:val="229"/>
        </w:trPr>
        <w:tc>
          <w:tcPr>
            <w:tcW w:w="5760" w:type="dxa"/>
            <w:vAlign w:val="bottom"/>
          </w:tcPr>
          <w:p>
            <w:pPr>
              <w:ind w:left="500"/>
              <w:spacing w:after="0"/>
              <w:rPr>
                <w:sz w:val="20"/>
                <w:szCs w:val="20"/>
                <w:color w:val="auto"/>
              </w:rPr>
            </w:pPr>
            <w:r>
              <w:rPr>
                <w:rFonts w:ascii="Arial" w:cs="Arial" w:eastAsia="Arial" w:hAnsi="Arial"/>
                <w:sz w:val="18"/>
                <w:szCs w:val="18"/>
                <w:color w:val="auto"/>
              </w:rPr>
              <w:t>Residential builder and developer</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1,636</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2,756</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4,392</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4,798</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19"/>
                <w:szCs w:val="19"/>
                <w:color w:val="auto"/>
              </w:rPr>
            </w:pPr>
          </w:p>
        </w:tc>
      </w:tr>
      <w:tr>
        <w:trPr>
          <w:trHeight w:val="229"/>
        </w:trPr>
        <w:tc>
          <w:tcPr>
            <w:tcW w:w="5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commercial construction</w:t>
            </w: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12,557</w:t>
            </w:r>
          </w:p>
        </w:tc>
        <w:tc>
          <w:tcPr>
            <w:tcW w:w="3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7,342</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19,899</w:t>
            </w: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22,205</w:t>
            </w: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637</w:t>
            </w:r>
          </w:p>
        </w:tc>
        <w:tc>
          <w:tcPr>
            <w:tcW w:w="120" w:type="dxa"/>
            <w:vAlign w:val="bottom"/>
            <w:shd w:val="clear" w:color="auto" w:fill="CFF0FC"/>
          </w:tcPr>
          <w:p>
            <w:pPr>
              <w:spacing w:after="0"/>
              <w:rPr>
                <w:sz w:val="19"/>
                <w:szCs w:val="19"/>
                <w:color w:val="auto"/>
              </w:rPr>
            </w:pPr>
          </w:p>
        </w:tc>
      </w:tr>
      <w:tr>
        <w:trPr>
          <w:trHeight w:val="229"/>
        </w:trPr>
        <w:tc>
          <w:tcPr>
            <w:tcW w:w="5760" w:type="dxa"/>
            <w:vAlign w:val="bottom"/>
          </w:tcPr>
          <w:p>
            <w:pPr>
              <w:ind w:left="500"/>
              <w:spacing w:after="0"/>
              <w:rPr>
                <w:sz w:val="20"/>
                <w:szCs w:val="20"/>
                <w:color w:val="auto"/>
              </w:rPr>
            </w:pPr>
            <w:r>
              <w:rPr>
                <w:rFonts w:ascii="Arial" w:cs="Arial" w:eastAsia="Arial" w:hAnsi="Arial"/>
                <w:sz w:val="18"/>
                <w:szCs w:val="18"/>
                <w:color w:val="auto"/>
              </w:rPr>
              <w:t>Residential</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52,948</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157,318</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210,266</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233,352</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3,599</w:t>
            </w:r>
          </w:p>
        </w:tc>
        <w:tc>
          <w:tcPr>
            <w:tcW w:w="120" w:type="dxa"/>
            <w:vAlign w:val="bottom"/>
          </w:tcPr>
          <w:p>
            <w:pPr>
              <w:spacing w:after="0"/>
              <w:rPr>
                <w:sz w:val="19"/>
                <w:szCs w:val="19"/>
                <w:color w:val="auto"/>
              </w:rPr>
            </w:pPr>
          </w:p>
        </w:tc>
      </w:tr>
      <w:tr>
        <w:trPr>
          <w:trHeight w:val="229"/>
        </w:trPr>
        <w:tc>
          <w:tcPr>
            <w:tcW w:w="5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Residential — limited documentation</w:t>
            </w: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19,874</w:t>
            </w:r>
          </w:p>
        </w:tc>
        <w:tc>
          <w:tcPr>
            <w:tcW w:w="3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64,989</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84,863</w:t>
            </w: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84,685</w:t>
            </w: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w:t>
            </w:r>
          </w:p>
        </w:tc>
        <w:tc>
          <w:tcPr>
            <w:tcW w:w="120" w:type="dxa"/>
            <w:vAlign w:val="bottom"/>
            <w:shd w:val="clear" w:color="auto" w:fill="CFF0FC"/>
          </w:tcPr>
          <w:p>
            <w:pPr>
              <w:spacing w:after="0"/>
              <w:rPr>
                <w:sz w:val="19"/>
                <w:szCs w:val="19"/>
                <w:color w:val="auto"/>
              </w:rPr>
            </w:pPr>
          </w:p>
        </w:tc>
      </w:tr>
      <w:tr>
        <w:trPr>
          <w:trHeight w:val="229"/>
        </w:trPr>
        <w:tc>
          <w:tcPr>
            <w:tcW w:w="5760" w:type="dxa"/>
            <w:vAlign w:val="bottom"/>
          </w:tcPr>
          <w:p>
            <w:pPr>
              <w:ind w:left="260"/>
              <w:spacing w:after="0"/>
              <w:rPr>
                <w:sz w:val="20"/>
                <w:szCs w:val="20"/>
                <w:color w:val="auto"/>
              </w:rPr>
            </w:pPr>
            <w:r>
              <w:rPr>
                <w:rFonts w:ascii="Arial" w:cs="Arial" w:eastAsia="Arial" w:hAnsi="Arial"/>
                <w:sz w:val="18"/>
                <w:szCs w:val="18"/>
                <w:color w:val="auto"/>
              </w:rPr>
              <w:t>Consumer:</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5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Home equity lines and loans</w:t>
            </w: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27,814</w:t>
            </w:r>
          </w:p>
        </w:tc>
        <w:tc>
          <w:tcPr>
            <w:tcW w:w="3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41,431</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69,245</w:t>
            </w: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71,292</w:t>
            </w: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1,310</w:t>
            </w:r>
          </w:p>
        </w:tc>
        <w:tc>
          <w:tcPr>
            <w:tcW w:w="120" w:type="dxa"/>
            <w:vAlign w:val="bottom"/>
            <w:shd w:val="clear" w:color="auto" w:fill="CFF0FC"/>
          </w:tcPr>
          <w:p>
            <w:pPr>
              <w:spacing w:after="0"/>
              <w:rPr>
                <w:sz w:val="19"/>
                <w:szCs w:val="19"/>
                <w:color w:val="auto"/>
              </w:rPr>
            </w:pPr>
          </w:p>
        </w:tc>
      </w:tr>
      <w:tr>
        <w:trPr>
          <w:trHeight w:val="229"/>
        </w:trPr>
        <w:tc>
          <w:tcPr>
            <w:tcW w:w="5760" w:type="dxa"/>
            <w:vAlign w:val="bottom"/>
          </w:tcPr>
          <w:p>
            <w:pPr>
              <w:ind w:left="500"/>
              <w:spacing w:after="0"/>
              <w:rPr>
                <w:sz w:val="20"/>
                <w:szCs w:val="20"/>
                <w:color w:val="auto"/>
              </w:rPr>
            </w:pPr>
            <w:r>
              <w:rPr>
                <w:rFonts w:ascii="Arial" w:cs="Arial" w:eastAsia="Arial" w:hAnsi="Arial"/>
                <w:sz w:val="18"/>
                <w:szCs w:val="18"/>
                <w:color w:val="auto"/>
              </w:rPr>
              <w:t>Recreational finance</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6,112</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4,860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10,972</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11,199</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19"/>
                <w:szCs w:val="19"/>
                <w:color w:val="auto"/>
              </w:rPr>
            </w:pPr>
          </w:p>
        </w:tc>
      </w:tr>
      <w:tr>
        <w:trPr>
          <w:trHeight w:val="229"/>
        </w:trPr>
        <w:tc>
          <w:tcPr>
            <w:tcW w:w="5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Automobile</w:t>
            </w: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13,788</w:t>
            </w:r>
          </w:p>
        </w:tc>
        <w:tc>
          <w:tcPr>
            <w:tcW w:w="3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7,421</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21,209</w:t>
            </w: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23,359</w:t>
            </w: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FF0FC"/>
          </w:tcPr>
          <w:p>
            <w:pPr>
              <w:spacing w:after="0"/>
              <w:rPr>
                <w:sz w:val="19"/>
                <w:szCs w:val="19"/>
                <w:color w:val="auto"/>
              </w:rPr>
            </w:pPr>
          </w:p>
        </w:tc>
      </w:tr>
      <w:tr>
        <w:trPr>
          <w:trHeight w:val="229"/>
        </w:trPr>
        <w:tc>
          <w:tcPr>
            <w:tcW w:w="5760" w:type="dxa"/>
            <w:vAlign w:val="bottom"/>
          </w:tcPr>
          <w:p>
            <w:pPr>
              <w:ind w:left="50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6,884</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353</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7,237</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4,623</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19"/>
                <w:szCs w:val="19"/>
                <w:color w:val="auto"/>
              </w:rPr>
            </w:pPr>
          </w:p>
        </w:tc>
      </w:tr>
      <w:tr>
        <w:trPr>
          <w:trHeight w:val="223"/>
        </w:trPr>
        <w:tc>
          <w:tcPr>
            <w:tcW w:w="576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374,618</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506,993</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881,611</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893,608</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10,477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9"/>
          <w:szCs w:val="19"/>
          <w:color w:val="auto"/>
        </w:rPr>
        <w:t>In determining the allowance for credit losses, accruing loans with similar risk characteristics are generally evaluated collectively. To estimate expected losses the Company generally utilizes statistically developed models to project principal balances over the remaining contractual lives of the loan portfolios and determine estimated credit losses through a reasonable and supportable forecast period. Individual loan credit quality indicators including loan grade and borrower repayment performance inform the models, which have been statistically developed based on historical correlations of credit losses with prevailing economic metrics, including unemployment, gross domestic product and real estate prices. Model forecasts may be adjusted for inherent limitations or biases that have been identified through independent validation and back-testing of model performance to actual realized results. At both January 1 and March 31, 2020, the Company utilized a reasonable and supportable forecast period of two years. Subsequent to this forecast period the Company reverted, ratably over a one-year period, to historical loss experience to inform its estimate of losses for the remaining contractual life of each portfolio. The Company also considered the impact of portfolio concentrations, changes in underwriting practices, product expansions into new markets, imprecision in its economic forecasts, geopolitical conditions and other risk factors that might influence its loss estimation process.</w:t>
      </w:r>
    </w:p>
    <w:p>
      <w:pPr>
        <w:spacing w:after="0" w:line="60" w:lineRule="exact"/>
        <w:rPr>
          <w:sz w:val="20"/>
          <w:szCs w:val="20"/>
          <w:color w:val="auto"/>
        </w:rPr>
      </w:pPr>
    </w:p>
    <w:p>
      <w:pPr>
        <w:ind w:right="540" w:firstLine="510"/>
        <w:spacing w:after="0" w:line="314" w:lineRule="auto"/>
        <w:rPr>
          <w:sz w:val="20"/>
          <w:szCs w:val="20"/>
          <w:color w:val="auto"/>
        </w:rPr>
      </w:pPr>
      <w:r>
        <w:rPr>
          <w:rFonts w:ascii="Arial" w:cs="Arial" w:eastAsia="Arial" w:hAnsi="Arial"/>
          <w:sz w:val="21"/>
          <w:szCs w:val="21"/>
          <w:color w:val="auto"/>
        </w:rPr>
        <w:t xml:space="preserve">The Company’s reserve for off-balance sheet credit exposures was not material at March 31, 2020 and December 31, 2019. </w:t>
      </w:r>
      <w:r>
        <w:rPr>
          <w:rFonts w:ascii="Arial" w:cs="Arial" w:eastAsia="Arial" w:hAnsi="Arial"/>
          <w:sz w:val="21"/>
          <w:szCs w:val="21"/>
          <w:b w:val="1"/>
          <w:bCs w:val="1"/>
          <w:i w:val="1"/>
          <w:iCs w:val="1"/>
          <w:color w:val="auto"/>
        </w:rPr>
        <w:t>Loan modifications</w:t>
      </w:r>
    </w:p>
    <w:p>
      <w:pPr>
        <w:spacing w:after="0" w:line="2" w:lineRule="exact"/>
        <w:rPr>
          <w:sz w:val="20"/>
          <w:szCs w:val="20"/>
          <w:color w:val="auto"/>
        </w:rPr>
      </w:pPr>
    </w:p>
    <w:p>
      <w:pPr>
        <w:jc w:val="both"/>
        <w:spacing w:after="0" w:line="283" w:lineRule="auto"/>
        <w:rPr>
          <w:sz w:val="20"/>
          <w:szCs w:val="20"/>
          <w:color w:val="auto"/>
        </w:rPr>
      </w:pPr>
      <w:r>
        <w:rPr>
          <w:rFonts w:ascii="Arial" w:cs="Arial" w:eastAsia="Arial" w:hAnsi="Arial"/>
          <w:sz w:val="19"/>
          <w:szCs w:val="19"/>
          <w:color w:val="auto"/>
        </w:rPr>
        <w:t>During the normal course of business, the Company modifies loans to maximize recovery efforts. If the borrower is experiencing financial difficulty and a concession is granted, the Company considers such modifications as troubled debt restructurings and classifies those loans as either nonaccrual loans or renegotiated loans. The types of concessions that the Company grants typically include principal deferrals and interest rate concessions, but may also include other types of concessions.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NOTES TO FINANCIAL STATEMENTS, CONTINUED</w:t>
      </w:r>
    </w:p>
    <w:p>
      <w:pPr>
        <w:spacing w:after="0" w:line="21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3. Loans and leases and the allowance for credit losses, continued</w:t>
      </w:r>
    </w:p>
    <w:p>
      <w:pPr>
        <w:spacing w:after="0" w:line="115" w:lineRule="exact"/>
        <w:rPr>
          <w:sz w:val="20"/>
          <w:szCs w:val="20"/>
          <w:color w:val="auto"/>
        </w:rPr>
      </w:pPr>
    </w:p>
    <w:p>
      <w:pPr>
        <w:ind w:firstLine="510"/>
        <w:spacing w:after="0" w:line="263" w:lineRule="auto"/>
        <w:rPr>
          <w:sz w:val="20"/>
          <w:szCs w:val="20"/>
          <w:color w:val="auto"/>
        </w:rPr>
      </w:pPr>
      <w:r>
        <w:rPr>
          <w:rFonts w:ascii="Arial" w:cs="Arial" w:eastAsia="Arial" w:hAnsi="Arial"/>
          <w:sz w:val="21"/>
          <w:szCs w:val="21"/>
          <w:color w:val="auto"/>
        </w:rPr>
        <w:t>The table that follows summarizes the Company’s loan modification activities that were considered troubled debt restructurings for the three-month periods ended March 31, 2020 and 2019:</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vMerge w:val="restart"/>
          </w:tcPr>
          <w:p>
            <w:pPr>
              <w:jc w:val="center"/>
              <w:ind w:right="32"/>
              <w:spacing w:after="0"/>
              <w:rPr>
                <w:sz w:val="20"/>
                <w:szCs w:val="20"/>
                <w:color w:val="auto"/>
              </w:rPr>
            </w:pPr>
            <w:r>
              <w:rPr>
                <w:rFonts w:ascii="Arial" w:cs="Arial" w:eastAsia="Arial" w:hAnsi="Arial"/>
                <w:sz w:val="14"/>
                <w:szCs w:val="14"/>
                <w:b w:val="1"/>
                <w:bCs w:val="1"/>
                <w:color w:val="auto"/>
                <w:w w:val="95"/>
              </w:rPr>
              <w:t>Pre-</w:t>
            </w: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jc w:val="right"/>
              <w:ind w:right="311"/>
              <w:spacing w:after="0"/>
              <w:rPr>
                <w:sz w:val="20"/>
                <w:szCs w:val="20"/>
                <w:color w:val="auto"/>
              </w:rPr>
            </w:pPr>
            <w:r>
              <w:rPr>
                <w:rFonts w:ascii="Arial" w:cs="Arial" w:eastAsia="Arial" w:hAnsi="Arial"/>
                <w:sz w:val="14"/>
                <w:szCs w:val="14"/>
                <w:b w:val="1"/>
                <w:bCs w:val="1"/>
                <w:color w:val="auto"/>
              </w:rPr>
              <w:t>Post-modification (a)</w:t>
            </w: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Combination</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00" w:type="dxa"/>
            <w:vAlign w:val="bottom"/>
            <w:gridSpan w:val="3"/>
          </w:tcPr>
          <w:p>
            <w:pPr>
              <w:ind w:left="320"/>
              <w:spacing w:after="0" w:line="149" w:lineRule="exact"/>
              <w:rPr>
                <w:sz w:val="20"/>
                <w:szCs w:val="20"/>
                <w:color w:val="auto"/>
              </w:rPr>
            </w:pPr>
            <w:r>
              <w:rPr>
                <w:rFonts w:ascii="Arial" w:cs="Arial" w:eastAsia="Arial" w:hAnsi="Arial"/>
                <w:sz w:val="14"/>
                <w:szCs w:val="14"/>
                <w:b w:val="1"/>
                <w:bCs w:val="1"/>
                <w:color w:val="auto"/>
                <w:w w:val="91"/>
              </w:rPr>
              <w:t>modification</w:t>
            </w:r>
          </w:p>
        </w:tc>
        <w:tc>
          <w:tcPr>
            <w:tcW w:w="300" w:type="dxa"/>
            <w:vAlign w:val="bottom"/>
          </w:tcPr>
          <w:p>
            <w:pPr>
              <w:spacing w:after="0"/>
              <w:rPr>
                <w:sz w:val="12"/>
                <w:szCs w:val="12"/>
                <w:color w:val="auto"/>
              </w:rPr>
            </w:pPr>
          </w:p>
        </w:tc>
        <w:tc>
          <w:tcPr>
            <w:tcW w:w="7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Principal</w:t>
            </w:r>
          </w:p>
        </w:tc>
        <w:tc>
          <w:tcPr>
            <w:tcW w:w="320" w:type="dxa"/>
            <w:vAlign w:val="bottom"/>
          </w:tcPr>
          <w:p>
            <w:pPr>
              <w:spacing w:after="0"/>
              <w:rPr>
                <w:sz w:val="12"/>
                <w:szCs w:val="12"/>
                <w:color w:val="auto"/>
              </w:rPr>
            </w:pPr>
          </w:p>
        </w:tc>
        <w:tc>
          <w:tcPr>
            <w:tcW w:w="12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Interest Rate</w:t>
            </w:r>
          </w:p>
        </w:tc>
        <w:tc>
          <w:tcPr>
            <w:tcW w:w="8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0"/>
              </w:rPr>
              <w:t>Number</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92"/>
              </w:rPr>
              <w:t>Recorded</w:t>
            </w:r>
          </w:p>
        </w:tc>
        <w:tc>
          <w:tcPr>
            <w:tcW w:w="3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8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9"/>
              </w:rPr>
              <w:t>of Concession</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Three Months Ended March 31, 2020</w:t>
            </w:r>
          </w:p>
        </w:tc>
        <w:tc>
          <w:tcPr>
            <w:tcW w:w="50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Investment</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12"/>
              <w:spacing w:after="0"/>
              <w:rPr>
                <w:sz w:val="20"/>
                <w:szCs w:val="20"/>
                <w:color w:val="auto"/>
              </w:rPr>
            </w:pPr>
            <w:r>
              <w:rPr>
                <w:rFonts w:ascii="Arial" w:cs="Arial" w:eastAsia="Arial" w:hAnsi="Arial"/>
                <w:sz w:val="14"/>
                <w:szCs w:val="14"/>
                <w:b w:val="1"/>
                <w:bCs w:val="1"/>
                <w:color w:val="auto"/>
                <w:w w:val="94"/>
              </w:rPr>
              <w:t>Deferral</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Reduction</w:t>
            </w:r>
          </w:p>
        </w:tc>
        <w:tc>
          <w:tcPr>
            <w:tcW w:w="160" w:type="dxa"/>
            <w:vAlign w:val="bottom"/>
          </w:tcPr>
          <w:p>
            <w:pPr>
              <w:spacing w:after="0"/>
              <w:rPr>
                <w:sz w:val="14"/>
                <w:szCs w:val="14"/>
                <w:color w:val="auto"/>
              </w:rPr>
            </w:pPr>
          </w:p>
        </w:tc>
        <w:tc>
          <w:tcPr>
            <w:tcW w:w="720" w:type="dxa"/>
            <w:vAlign w:val="bottom"/>
          </w:tcPr>
          <w:p>
            <w:pPr>
              <w:jc w:val="right"/>
              <w:ind w:right="191"/>
              <w:spacing w:after="0"/>
              <w:rPr>
                <w:sz w:val="20"/>
                <w:szCs w:val="20"/>
                <w:color w:val="auto"/>
              </w:rPr>
            </w:pPr>
            <w:r>
              <w:rPr>
                <w:rFonts w:ascii="Arial" w:cs="Arial" w:eastAsia="Arial" w:hAnsi="Arial"/>
                <w:sz w:val="14"/>
                <w:szCs w:val="14"/>
                <w:b w:val="1"/>
                <w:bCs w:val="1"/>
                <w:color w:val="auto"/>
              </w:rPr>
              <w:t>Types</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60" w:type="dxa"/>
            <w:vAlign w:val="bottom"/>
            <w:gridSpan w:val="3"/>
            <w:vMerge w:val="continue"/>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140" w:type="dxa"/>
            <w:vAlign w:val="bottom"/>
            <w:tcBorders>
              <w:top w:val="single" w:sz="8" w:color="auto"/>
            </w:tcBorders>
            <w:gridSpan w:val="5"/>
          </w:tcPr>
          <w:p>
            <w:pPr>
              <w:ind w:left="34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5060" w:type="dxa"/>
            <w:vAlign w:val="bottom"/>
            <w:gridSpan w:val="3"/>
          </w:tcPr>
          <w:p>
            <w:pPr>
              <w:spacing w:after="0"/>
              <w:rPr>
                <w:sz w:val="20"/>
                <w:szCs w:val="20"/>
                <w:color w:val="auto"/>
              </w:rPr>
            </w:pPr>
            <w:r>
              <w:rPr>
                <w:rFonts w:ascii="Arial" w:cs="Arial" w:eastAsia="Arial" w:hAnsi="Arial"/>
                <w:sz w:val="18"/>
                <w:szCs w:val="18"/>
                <w:color w:val="auto"/>
              </w:rPr>
              <w:t>Commercial, financial, leasing, etc.</w:t>
            </w:r>
          </w:p>
        </w:tc>
        <w:tc>
          <w:tcPr>
            <w:tcW w:w="500" w:type="dxa"/>
            <w:vAlign w:val="bottom"/>
          </w:tcPr>
          <w:p>
            <w:pPr>
              <w:jc w:val="right"/>
              <w:spacing w:after="0"/>
              <w:rPr>
                <w:sz w:val="20"/>
                <w:szCs w:val="20"/>
                <w:color w:val="auto"/>
              </w:rPr>
            </w:pPr>
            <w:r>
              <w:rPr>
                <w:rFonts w:ascii="Arial" w:cs="Arial" w:eastAsia="Arial" w:hAnsi="Arial"/>
                <w:sz w:val="18"/>
                <w:szCs w:val="18"/>
                <w:color w:val="auto"/>
              </w:rPr>
              <w:t>32</w:t>
            </w:r>
          </w:p>
        </w:tc>
        <w:tc>
          <w:tcPr>
            <w:tcW w:w="400" w:type="dxa"/>
            <w:vAlign w:val="bottom"/>
            <w:gridSpan w:val="2"/>
          </w:tcPr>
          <w:p>
            <w:pPr>
              <w:ind w:left="320"/>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12,692</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5,066</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6,987</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12,053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Real estate:</w:t>
            </w:r>
          </w:p>
        </w:tc>
        <w:tc>
          <w:tcPr>
            <w:tcW w:w="5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40" w:type="dxa"/>
            <w:vAlign w:val="bottom"/>
            <w:gridSpan w:val="2"/>
          </w:tcPr>
          <w:p>
            <w:pPr>
              <w:ind w:left="240"/>
              <w:spacing w:after="0"/>
              <w:rPr>
                <w:sz w:val="20"/>
                <w:szCs w:val="20"/>
                <w:color w:val="auto"/>
              </w:rPr>
            </w:pPr>
            <w:r>
              <w:rPr>
                <w:rFonts w:ascii="Arial" w:cs="Arial" w:eastAsia="Arial" w:hAnsi="Arial"/>
                <w:sz w:val="18"/>
                <w:szCs w:val="18"/>
                <w:color w:val="auto"/>
              </w:rPr>
              <w:t>Commercial</w:t>
            </w:r>
          </w:p>
        </w:tc>
        <w:tc>
          <w:tcPr>
            <w:tcW w:w="500" w:type="dxa"/>
            <w:vAlign w:val="bottom"/>
          </w:tcPr>
          <w:p>
            <w:pPr>
              <w:jc w:val="right"/>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39,642</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1,355</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35,968</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37,323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Residential</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10,178</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3,247</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ind w:lef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8,977</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40" w:type="dxa"/>
            <w:vAlign w:val="bottom"/>
            <w:gridSpan w:val="2"/>
          </w:tcPr>
          <w:p>
            <w:pPr>
              <w:ind w:left="240"/>
              <w:spacing w:after="0"/>
              <w:rPr>
                <w:sz w:val="20"/>
                <w:szCs w:val="20"/>
                <w:color w:val="auto"/>
              </w:rPr>
            </w:pPr>
            <w:r>
              <w:rPr>
                <w:rFonts w:ascii="Arial" w:cs="Arial" w:eastAsia="Arial" w:hAnsi="Arial"/>
                <w:sz w:val="18"/>
                <w:szCs w:val="18"/>
                <w:color w:val="auto"/>
              </w:rPr>
              <w:t>Residential — limited documentation</w:t>
            </w:r>
          </w:p>
        </w:tc>
        <w:tc>
          <w:tcPr>
            <w:tcW w:w="500" w:type="dxa"/>
            <w:vAlign w:val="bottom"/>
          </w:tcPr>
          <w:p>
            <w:pPr>
              <w:jc w:val="right"/>
              <w:spacing w:after="0"/>
              <w:rPr>
                <w:sz w:val="20"/>
                <w:szCs w:val="20"/>
                <w:color w:val="auto"/>
              </w:rPr>
            </w:pPr>
            <w:r>
              <w:rPr>
                <w:rFonts w:ascii="Arial" w:cs="Arial" w:eastAsia="Arial" w:hAnsi="Arial"/>
                <w:sz w:val="18"/>
                <w:szCs w:val="18"/>
                <w:color w:val="auto"/>
              </w:rPr>
              <w:t>9</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2,980</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2,667</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1,232</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Consumer:</w:t>
            </w:r>
          </w:p>
        </w:tc>
        <w:tc>
          <w:tcPr>
            <w:tcW w:w="5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40" w:type="dxa"/>
            <w:vAlign w:val="bottom"/>
            <w:gridSpan w:val="2"/>
          </w:tcPr>
          <w:p>
            <w:pPr>
              <w:ind w:left="240"/>
              <w:spacing w:after="0"/>
              <w:rPr>
                <w:sz w:val="20"/>
                <w:szCs w:val="20"/>
                <w:color w:val="auto"/>
              </w:rPr>
            </w:pPr>
            <w:r>
              <w:rPr>
                <w:rFonts w:ascii="Arial" w:cs="Arial" w:eastAsia="Arial" w:hAnsi="Arial"/>
                <w:sz w:val="18"/>
                <w:szCs w:val="18"/>
                <w:color w:val="auto"/>
              </w:rPr>
              <w:t>Home equity lines and loans</w:t>
            </w:r>
          </w:p>
        </w:tc>
        <w:tc>
          <w:tcPr>
            <w:tcW w:w="500" w:type="dxa"/>
            <w:vAlign w:val="bottom"/>
          </w:tcPr>
          <w:p>
            <w:pPr>
              <w:jc w:val="right"/>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738</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412</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334</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Recreational finance</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ind w:lef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40" w:type="dxa"/>
            <w:vAlign w:val="bottom"/>
            <w:gridSpan w:val="2"/>
          </w:tcPr>
          <w:p>
            <w:pPr>
              <w:ind w:left="240"/>
              <w:spacing w:after="0"/>
              <w:rPr>
                <w:sz w:val="20"/>
                <w:szCs w:val="20"/>
                <w:color w:val="auto"/>
              </w:rPr>
            </w:pPr>
            <w:r>
              <w:rPr>
                <w:rFonts w:ascii="Arial" w:cs="Arial" w:eastAsia="Arial" w:hAnsi="Arial"/>
                <w:sz w:val="18"/>
                <w:szCs w:val="18"/>
                <w:color w:val="auto"/>
              </w:rPr>
              <w:t>Automobile</w:t>
            </w:r>
          </w:p>
        </w:tc>
        <w:tc>
          <w:tcPr>
            <w:tcW w:w="500" w:type="dxa"/>
            <w:vAlign w:val="bottom"/>
          </w:tcPr>
          <w:p>
            <w:pPr>
              <w:jc w:val="right"/>
              <w:spacing w:after="0"/>
              <w:rPr>
                <w:sz w:val="20"/>
                <w:szCs w:val="20"/>
                <w:color w:val="auto"/>
              </w:rPr>
            </w:pPr>
            <w:r>
              <w:rPr>
                <w:rFonts w:ascii="Arial" w:cs="Arial" w:eastAsia="Arial" w:hAnsi="Arial"/>
                <w:sz w:val="18"/>
                <w:szCs w:val="18"/>
                <w:color w:val="auto"/>
              </w:rPr>
              <w:t>9</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182</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182</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66,502</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13,019</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ind w:left="58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53,498</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66,517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040" w:type="dxa"/>
            <w:vAlign w:val="bottom"/>
            <w:gridSpan w:val="2"/>
            <w:shd w:val="clear" w:color="auto" w:fill="CFF0FC"/>
          </w:tcPr>
          <w:p>
            <w:pPr>
              <w:spacing w:after="0" w:line="149" w:lineRule="exact"/>
              <w:rPr>
                <w:sz w:val="20"/>
                <w:szCs w:val="20"/>
                <w:color w:val="auto"/>
              </w:rPr>
            </w:pPr>
            <w:r>
              <w:rPr>
                <w:rFonts w:ascii="Arial" w:cs="Arial" w:eastAsia="Arial" w:hAnsi="Arial"/>
                <w:sz w:val="14"/>
                <w:szCs w:val="14"/>
                <w:b w:val="1"/>
                <w:bCs w:val="1"/>
                <w:color w:val="auto"/>
              </w:rPr>
              <w:t>Three Months Ended March 31, 2019</w:t>
            </w:r>
          </w:p>
        </w:tc>
        <w:tc>
          <w:tcPr>
            <w:tcW w:w="5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280" w:type="dxa"/>
            <w:vAlign w:val="bottom"/>
            <w:tcBorders>
              <w:top w:val="single" w:sz="8" w:color="auto"/>
            </w:tcBorders>
            <w:shd w:val="clear" w:color="auto" w:fill="CFF0FC"/>
          </w:tcPr>
          <w:p>
            <w:pPr>
              <w:spacing w:after="0"/>
              <w:rPr>
                <w:sz w:val="5"/>
                <w:szCs w:val="5"/>
                <w:color w:val="auto"/>
              </w:rPr>
            </w:pPr>
          </w:p>
        </w:tc>
        <w:tc>
          <w:tcPr>
            <w:tcW w:w="2760" w:type="dxa"/>
            <w:vAlign w:val="bottom"/>
            <w:tcBorders>
              <w:top w:val="single" w:sz="8" w:color="CFF0FC"/>
            </w:tcBorders>
            <w:shd w:val="clear" w:color="auto" w:fill="CFF0FC"/>
          </w:tcPr>
          <w:p>
            <w:pPr>
              <w:spacing w:after="0"/>
              <w:rPr>
                <w:sz w:val="5"/>
                <w:szCs w:val="5"/>
                <w:color w:val="auto"/>
              </w:rPr>
            </w:pPr>
          </w:p>
        </w:tc>
        <w:tc>
          <w:tcPr>
            <w:tcW w:w="500" w:type="dxa"/>
            <w:vAlign w:val="bottom"/>
            <w:tcBorders>
              <w:top w:val="single" w:sz="8" w:color="CFF0FC"/>
            </w:tcBorders>
            <w:shd w:val="clear" w:color="auto" w:fill="CFF0FC"/>
          </w:tcPr>
          <w:p>
            <w:pPr>
              <w:spacing w:after="0"/>
              <w:rPr>
                <w:sz w:val="5"/>
                <w:szCs w:val="5"/>
                <w:color w:val="auto"/>
              </w:rPr>
            </w:pPr>
          </w:p>
        </w:tc>
        <w:tc>
          <w:tcPr>
            <w:tcW w:w="320" w:type="dxa"/>
            <w:vAlign w:val="bottom"/>
            <w:tcBorders>
              <w:top w:val="single" w:sz="8" w:color="CFF0FC"/>
            </w:tcBorders>
            <w:shd w:val="clear" w:color="auto" w:fill="CFF0FC"/>
          </w:tcPr>
          <w:p>
            <w:pPr>
              <w:spacing w:after="0"/>
              <w:rPr>
                <w:sz w:val="5"/>
                <w:szCs w:val="5"/>
                <w:color w:val="auto"/>
              </w:rPr>
            </w:pPr>
          </w:p>
        </w:tc>
        <w:tc>
          <w:tcPr>
            <w:tcW w:w="80" w:type="dxa"/>
            <w:vAlign w:val="bottom"/>
            <w:tcBorders>
              <w:top w:val="single" w:sz="8" w:color="CFF0FC"/>
            </w:tcBorders>
            <w:shd w:val="clear" w:color="auto" w:fill="CFF0FC"/>
          </w:tcPr>
          <w:p>
            <w:pPr>
              <w:spacing w:after="0"/>
              <w:rPr>
                <w:sz w:val="5"/>
                <w:szCs w:val="5"/>
                <w:color w:val="auto"/>
              </w:rPr>
            </w:pPr>
          </w:p>
        </w:tc>
        <w:tc>
          <w:tcPr>
            <w:tcW w:w="700" w:type="dxa"/>
            <w:vAlign w:val="bottom"/>
            <w:tcBorders>
              <w:top w:val="single" w:sz="8" w:color="CFF0FC"/>
            </w:tcBorders>
            <w:shd w:val="clear" w:color="auto" w:fill="CFF0FC"/>
          </w:tcPr>
          <w:p>
            <w:pPr>
              <w:spacing w:after="0"/>
              <w:rPr>
                <w:sz w:val="5"/>
                <w:szCs w:val="5"/>
                <w:color w:val="auto"/>
              </w:rPr>
            </w:pPr>
          </w:p>
        </w:tc>
        <w:tc>
          <w:tcPr>
            <w:tcW w:w="300" w:type="dxa"/>
            <w:vAlign w:val="bottom"/>
            <w:tcBorders>
              <w:top w:val="single" w:sz="8" w:color="CFF0FC"/>
            </w:tcBorders>
            <w:shd w:val="clear" w:color="auto" w:fill="CFF0FC"/>
          </w:tcPr>
          <w:p>
            <w:pPr>
              <w:spacing w:after="0"/>
              <w:rPr>
                <w:sz w:val="5"/>
                <w:szCs w:val="5"/>
                <w:color w:val="auto"/>
              </w:rPr>
            </w:pPr>
          </w:p>
        </w:tc>
        <w:tc>
          <w:tcPr>
            <w:tcW w:w="100" w:type="dxa"/>
            <w:vAlign w:val="bottom"/>
            <w:tcBorders>
              <w:top w:val="single" w:sz="8" w:color="CFF0FC"/>
            </w:tcBorders>
            <w:shd w:val="clear" w:color="auto" w:fill="CFF0FC"/>
          </w:tcPr>
          <w:p>
            <w:pPr>
              <w:spacing w:after="0"/>
              <w:rPr>
                <w:sz w:val="5"/>
                <w:szCs w:val="5"/>
                <w:color w:val="auto"/>
              </w:rPr>
            </w:pPr>
          </w:p>
        </w:tc>
        <w:tc>
          <w:tcPr>
            <w:tcW w:w="620" w:type="dxa"/>
            <w:vAlign w:val="bottom"/>
            <w:tcBorders>
              <w:top w:val="single" w:sz="8" w:color="CFF0FC"/>
            </w:tcBorders>
            <w:shd w:val="clear" w:color="auto" w:fill="CFF0FC"/>
          </w:tcPr>
          <w:p>
            <w:pPr>
              <w:spacing w:after="0"/>
              <w:rPr>
                <w:sz w:val="5"/>
                <w:szCs w:val="5"/>
                <w:color w:val="auto"/>
              </w:rPr>
            </w:pPr>
          </w:p>
        </w:tc>
        <w:tc>
          <w:tcPr>
            <w:tcW w:w="320" w:type="dxa"/>
            <w:vAlign w:val="bottom"/>
            <w:tcBorders>
              <w:top w:val="single" w:sz="8" w:color="CFF0FC"/>
            </w:tcBorders>
            <w:shd w:val="clear" w:color="auto" w:fill="CFF0FC"/>
          </w:tcPr>
          <w:p>
            <w:pPr>
              <w:spacing w:after="0"/>
              <w:rPr>
                <w:sz w:val="5"/>
                <w:szCs w:val="5"/>
                <w:color w:val="auto"/>
              </w:rPr>
            </w:pPr>
          </w:p>
        </w:tc>
        <w:tc>
          <w:tcPr>
            <w:tcW w:w="100" w:type="dxa"/>
            <w:vAlign w:val="bottom"/>
            <w:tcBorders>
              <w:top w:val="single" w:sz="8" w:color="CFF0FC"/>
            </w:tcBorders>
            <w:shd w:val="clear" w:color="auto" w:fill="CFF0FC"/>
          </w:tcPr>
          <w:p>
            <w:pPr>
              <w:spacing w:after="0"/>
              <w:rPr>
                <w:sz w:val="5"/>
                <w:szCs w:val="5"/>
                <w:color w:val="auto"/>
              </w:rPr>
            </w:pPr>
          </w:p>
        </w:tc>
        <w:tc>
          <w:tcPr>
            <w:tcW w:w="780" w:type="dxa"/>
            <w:vAlign w:val="bottom"/>
            <w:tcBorders>
              <w:top w:val="single" w:sz="8" w:color="CFF0FC"/>
            </w:tcBorders>
            <w:shd w:val="clear" w:color="auto" w:fill="CFF0FC"/>
          </w:tcPr>
          <w:p>
            <w:pPr>
              <w:spacing w:after="0"/>
              <w:rPr>
                <w:sz w:val="5"/>
                <w:szCs w:val="5"/>
                <w:color w:val="auto"/>
              </w:rPr>
            </w:pPr>
          </w:p>
        </w:tc>
        <w:tc>
          <w:tcPr>
            <w:tcW w:w="320" w:type="dxa"/>
            <w:vAlign w:val="bottom"/>
            <w:tcBorders>
              <w:top w:val="single" w:sz="8" w:color="CFF0FC"/>
            </w:tcBorders>
            <w:shd w:val="clear" w:color="auto" w:fill="CFF0FC"/>
          </w:tcPr>
          <w:p>
            <w:pPr>
              <w:spacing w:after="0"/>
              <w:rPr>
                <w:sz w:val="5"/>
                <w:szCs w:val="5"/>
                <w:color w:val="auto"/>
              </w:rPr>
            </w:pPr>
          </w:p>
        </w:tc>
        <w:tc>
          <w:tcPr>
            <w:tcW w:w="160" w:type="dxa"/>
            <w:vAlign w:val="bottom"/>
            <w:tcBorders>
              <w:top w:val="single" w:sz="8" w:color="CFF0FC"/>
            </w:tcBorders>
            <w:shd w:val="clear" w:color="auto" w:fill="CFF0FC"/>
          </w:tcPr>
          <w:p>
            <w:pPr>
              <w:spacing w:after="0"/>
              <w:rPr>
                <w:sz w:val="5"/>
                <w:szCs w:val="5"/>
                <w:color w:val="auto"/>
              </w:rPr>
            </w:pPr>
          </w:p>
        </w:tc>
        <w:tc>
          <w:tcPr>
            <w:tcW w:w="720" w:type="dxa"/>
            <w:vAlign w:val="bottom"/>
            <w:tcBorders>
              <w:top w:val="single" w:sz="8" w:color="CFF0FC"/>
            </w:tcBorders>
            <w:shd w:val="clear" w:color="auto" w:fill="CFF0FC"/>
          </w:tcPr>
          <w:p>
            <w:pPr>
              <w:spacing w:after="0"/>
              <w:rPr>
                <w:sz w:val="5"/>
                <w:szCs w:val="5"/>
                <w:color w:val="auto"/>
              </w:rPr>
            </w:pPr>
          </w:p>
        </w:tc>
        <w:tc>
          <w:tcPr>
            <w:tcW w:w="320" w:type="dxa"/>
            <w:vAlign w:val="bottom"/>
            <w:tcBorders>
              <w:top w:val="single" w:sz="8" w:color="CFF0FC"/>
            </w:tcBorders>
            <w:shd w:val="clear" w:color="auto" w:fill="CFF0FC"/>
          </w:tcPr>
          <w:p>
            <w:pPr>
              <w:spacing w:after="0"/>
              <w:rPr>
                <w:sz w:val="5"/>
                <w:szCs w:val="5"/>
                <w:color w:val="auto"/>
              </w:rPr>
            </w:pPr>
          </w:p>
        </w:tc>
        <w:tc>
          <w:tcPr>
            <w:tcW w:w="140" w:type="dxa"/>
            <w:vAlign w:val="bottom"/>
            <w:tcBorders>
              <w:top w:val="single" w:sz="8" w:color="CFF0FC"/>
            </w:tcBorders>
            <w:shd w:val="clear" w:color="auto" w:fill="CFF0FC"/>
          </w:tcPr>
          <w:p>
            <w:pPr>
              <w:spacing w:after="0"/>
              <w:rPr>
                <w:sz w:val="5"/>
                <w:szCs w:val="5"/>
                <w:color w:val="auto"/>
              </w:rPr>
            </w:pPr>
          </w:p>
        </w:tc>
        <w:tc>
          <w:tcPr>
            <w:tcW w:w="600" w:type="dxa"/>
            <w:vAlign w:val="bottom"/>
            <w:tcBorders>
              <w:top w:val="single" w:sz="8" w:color="CFF0FC"/>
            </w:tcBorders>
            <w:shd w:val="clear" w:color="auto" w:fill="CFF0FC"/>
          </w:tcPr>
          <w:p>
            <w:pPr>
              <w:spacing w:after="0"/>
              <w:rPr>
                <w:sz w:val="5"/>
                <w:szCs w:val="5"/>
                <w:color w:val="auto"/>
              </w:rPr>
            </w:pPr>
          </w:p>
        </w:tc>
        <w:tc>
          <w:tcPr>
            <w:tcW w:w="100" w:type="dxa"/>
            <w:vAlign w:val="bottom"/>
            <w:tcBorders>
              <w:top w:val="single" w:sz="8" w:color="CFF0FC"/>
            </w:tcBorders>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228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5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Commercial, financial, leasing, etc.</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400" w:type="dxa"/>
            <w:vAlign w:val="bottom"/>
            <w:gridSpan w:val="2"/>
            <w:shd w:val="clear" w:color="auto" w:fill="CFF0FC"/>
          </w:tcPr>
          <w:p>
            <w:pPr>
              <w:ind w:left="320"/>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30,615</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6,474</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ind w:lef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24,270</w:t>
            </w: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Real estate:</w:t>
            </w: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Commercial</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9,241</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987</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ind w:lef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7,967</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40" w:type="dxa"/>
            <w:vAlign w:val="bottom"/>
            <w:gridSpan w:val="2"/>
          </w:tcPr>
          <w:p>
            <w:pPr>
              <w:ind w:left="240"/>
              <w:spacing w:after="0"/>
              <w:rPr>
                <w:sz w:val="20"/>
                <w:szCs w:val="20"/>
                <w:color w:val="auto"/>
              </w:rPr>
            </w:pPr>
            <w:r>
              <w:rPr>
                <w:rFonts w:ascii="Arial" w:cs="Arial" w:eastAsia="Arial" w:hAnsi="Arial"/>
                <w:sz w:val="18"/>
                <w:szCs w:val="18"/>
                <w:color w:val="auto"/>
              </w:rPr>
              <w:t>Residential builder and developer</w:t>
            </w: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1,330</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1,068</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Other commercial construction</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ind w:lef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40" w:type="dxa"/>
            <w:vAlign w:val="bottom"/>
            <w:gridSpan w:val="2"/>
          </w:tcPr>
          <w:p>
            <w:pPr>
              <w:ind w:left="240"/>
              <w:spacing w:after="0"/>
              <w:rPr>
                <w:sz w:val="20"/>
                <w:szCs w:val="20"/>
                <w:color w:val="auto"/>
              </w:rPr>
            </w:pPr>
            <w:r>
              <w:rPr>
                <w:rFonts w:ascii="Arial" w:cs="Arial" w:eastAsia="Arial" w:hAnsi="Arial"/>
                <w:sz w:val="18"/>
                <w:szCs w:val="18"/>
                <w:color w:val="auto"/>
              </w:rPr>
              <w:t>Residential</w:t>
            </w:r>
          </w:p>
        </w:tc>
        <w:tc>
          <w:tcPr>
            <w:tcW w:w="500" w:type="dxa"/>
            <w:vAlign w:val="bottom"/>
          </w:tcPr>
          <w:p>
            <w:pPr>
              <w:jc w:val="right"/>
              <w:spacing w:after="0"/>
              <w:rPr>
                <w:sz w:val="20"/>
                <w:szCs w:val="20"/>
                <w:color w:val="auto"/>
              </w:rPr>
            </w:pPr>
            <w:r>
              <w:rPr>
                <w:rFonts w:ascii="Arial" w:cs="Arial" w:eastAsia="Arial" w:hAnsi="Arial"/>
                <w:sz w:val="18"/>
                <w:szCs w:val="18"/>
                <w:color w:val="auto"/>
              </w:rPr>
              <w:t>17</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3,816</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1,751</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2,273</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Residential — limited documentation</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ind w:lef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Consumer:</w:t>
            </w: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Home equity lines and loans</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476</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ind w:lef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40" w:type="dxa"/>
            <w:vAlign w:val="bottom"/>
            <w:gridSpan w:val="2"/>
          </w:tcPr>
          <w:p>
            <w:pPr>
              <w:ind w:left="240"/>
              <w:spacing w:after="0"/>
              <w:rPr>
                <w:sz w:val="20"/>
                <w:szCs w:val="20"/>
                <w:color w:val="auto"/>
              </w:rPr>
            </w:pPr>
            <w:r>
              <w:rPr>
                <w:rFonts w:ascii="Arial" w:cs="Arial" w:eastAsia="Arial" w:hAnsi="Arial"/>
                <w:sz w:val="18"/>
                <w:szCs w:val="18"/>
                <w:color w:val="auto"/>
              </w:rPr>
              <w:t>Recreational finance</w:t>
            </w:r>
          </w:p>
        </w:tc>
        <w:tc>
          <w:tcPr>
            <w:tcW w:w="500" w:type="dxa"/>
            <w:vAlign w:val="bottom"/>
          </w:tcPr>
          <w:p>
            <w:pPr>
              <w:jc w:val="right"/>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88</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88</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Automobile</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ind w:lef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060" w:type="dxa"/>
            <w:vAlign w:val="bottom"/>
            <w:gridSpan w:val="3"/>
          </w:tcPr>
          <w:p>
            <w:pPr>
              <w:spacing w:after="0"/>
              <w:rPr>
                <w:sz w:val="20"/>
                <w:szCs w:val="20"/>
                <w:color w:val="auto"/>
              </w:rPr>
            </w:pPr>
            <w:r>
              <w:rPr>
                <w:rFonts w:ascii="Arial" w:cs="Arial" w:eastAsia="Arial" w:hAnsi="Arial"/>
                <w:sz w:val="18"/>
                <w:szCs w:val="18"/>
                <w:color w:val="auto"/>
              </w:rPr>
              <w:t>Total</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rPr>
              <w:t>132</w:t>
            </w: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rPr>
              <w:t>46,537</w:t>
            </w:r>
          </w:p>
        </w:tc>
        <w:tc>
          <w:tcPr>
            <w:tcW w:w="3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rPr>
              <w:t>10,924</w:t>
            </w:r>
          </w:p>
        </w:tc>
        <w:tc>
          <w:tcPr>
            <w:tcW w:w="3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ind w:left="580"/>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u w:val="single" w:color="auto"/>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rPr>
              <w:t>35,367</w:t>
            </w:r>
          </w:p>
        </w:tc>
        <w:tc>
          <w:tcPr>
            <w:tcW w:w="3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rPr>
              <w:t>46,291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5073650</wp:posOffset>
            </wp:positionH>
            <wp:positionV relativeFrom="paragraph">
              <wp:posOffset>0</wp:posOffset>
            </wp:positionV>
            <wp:extent cx="56515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150" cy="8255"/>
                    </a:xfrm>
                    <a:prstGeom prst="rect">
                      <a:avLst/>
                    </a:prstGeom>
                    <a:noFill/>
                  </pic:spPr>
                </pic:pic>
              </a:graphicData>
            </a:graphic>
          </wp:anchor>
        </w:drawing>
      </w:r>
    </w:p>
    <w:p>
      <w:pPr>
        <w:spacing w:after="0" w:line="5" w:lineRule="exact"/>
        <w:rPr>
          <w:sz w:val="20"/>
          <w:szCs w:val="20"/>
          <w:color w:val="auto"/>
        </w:rPr>
      </w:pPr>
    </w:p>
    <w:p>
      <w:pPr>
        <w:ind w:left="380" w:right="20" w:hanging="372"/>
        <w:spacing w:after="0" w:line="277" w:lineRule="auto"/>
        <w:tabs>
          <w:tab w:leader="none" w:pos="38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Financial effects impacting the recorded investment included principal payments or advances, charge-offs and capitalized escrow arrearages. The present value of interest rate concessions, discounted at the effective rate of the original loan, was not 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3207385</wp:posOffset>
            </wp:positionH>
            <wp:positionV relativeFrom="paragraph">
              <wp:posOffset>-302260</wp:posOffset>
            </wp:positionV>
            <wp:extent cx="38614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861435" cy="8255"/>
                    </a:xfrm>
                    <a:prstGeom prst="rect">
                      <a:avLst/>
                    </a:prstGeom>
                    <a:noFill/>
                  </pic:spPr>
                </pic:pic>
              </a:graphicData>
            </a:graphic>
          </wp:anchor>
        </w:drawing>
      </w:r>
    </w:p>
    <w:p>
      <w:pPr>
        <w:spacing w:after="0" w:line="43" w:lineRule="exact"/>
        <w:rPr>
          <w:sz w:val="20"/>
          <w:szCs w:val="20"/>
          <w:color w:val="auto"/>
        </w:rPr>
      </w:pPr>
    </w:p>
    <w:p>
      <w:pPr>
        <w:jc w:val="both"/>
        <w:ind w:firstLine="510"/>
        <w:spacing w:after="0" w:line="276" w:lineRule="auto"/>
        <w:rPr>
          <w:sz w:val="20"/>
          <w:szCs w:val="20"/>
          <w:color w:val="auto"/>
        </w:rPr>
      </w:pPr>
      <w:r>
        <w:rPr>
          <w:rFonts w:ascii="Arial" w:cs="Arial" w:eastAsia="Arial" w:hAnsi="Arial"/>
          <w:sz w:val="19"/>
          <w:szCs w:val="19"/>
          <w:color w:val="auto"/>
        </w:rPr>
        <w:t>Troubled debt restructurings are evaluated for impairment giving consideration to the impact of the modified loan terms on the present value of the loan’s expected cash flows. Impairment of troubled debt restructurings that have subsequently defaulted may also be measured based on the loan’s observable market price or the fair value of collateral if the loan is collateral-dependent. Charge-offs may also be recognized on troubled debt restructurings that have subsequently defaulted. Loans that were modified as troubled debt restructurings during the twelve months ended March 31, 2020 and 2019 and for which there was a subsequent payment default during the three-month periods ended March 31, 2020 and 2019, respectively, were not material.</w:t>
      </w:r>
    </w:p>
    <w:p>
      <w:pPr>
        <w:spacing w:after="0" w:line="57" w:lineRule="exact"/>
        <w:rPr>
          <w:sz w:val="20"/>
          <w:szCs w:val="20"/>
          <w:color w:val="auto"/>
        </w:rPr>
      </w:pPr>
    </w:p>
    <w:p>
      <w:pPr>
        <w:jc w:val="both"/>
        <w:ind w:firstLine="510"/>
        <w:spacing w:after="0" w:line="248" w:lineRule="auto"/>
        <w:rPr>
          <w:sz w:val="20"/>
          <w:szCs w:val="20"/>
          <w:color w:val="auto"/>
        </w:rPr>
      </w:pPr>
      <w:r>
        <w:rPr>
          <w:rFonts w:ascii="Arial" w:cs="Arial" w:eastAsia="Arial" w:hAnsi="Arial"/>
          <w:sz w:val="21"/>
          <w:szCs w:val="21"/>
          <w:color w:val="auto"/>
        </w:rPr>
        <w:t>The amount of foreclosed residential real estate property held by the Company was $75 million and $76 million at March 31, 2020 and December 31, 2019, respectively. There were $345 million and $402 million at March 31, 2020 and December 31, 2019, respectively, in loans secured by residential real estate that were in the process of foreclosure. Of all loans in the process of foreclosure at March 31, 2020, approximately 42% were government guaranteed.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NOTES TO FINANCIAL STATEMENTS, CONTINUED</w:t>
      </w:r>
    </w:p>
    <w:p>
      <w:pPr>
        <w:spacing w:after="0" w:line="32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4. Borrowings</w:t>
      </w:r>
    </w:p>
    <w:p>
      <w:pPr>
        <w:spacing w:after="0" w:line="115"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M&amp;T had $526 million of fixed and variable rate junior subordinated deferrable interest debentures ("Junior Subordinated Debentures") outstanding at March 31, 2020 that are held by various trusts that were issued in connection with the issuance by those trusts of preferred capital securities ("Capital Securities") and common securities ("Common Securities"). The proceeds from the issuances of the Capital Securities and the Common Securities were used by the trusts to purchase the Junior Subordinated Debentures. The Common Securities of each of those trusts are wholly owned by M&amp;T and are the only class of each trust's securities possessing general voting powers. The Capital Securities represent preferred undivided interests in the assets of the corresponding trust. Under the Federal Reserve Board’s risk-based capital guidelines, the securities are includable in M&amp;T’s Tier 2 regulatory capital.</w:t>
      </w:r>
    </w:p>
    <w:p>
      <w:pPr>
        <w:spacing w:after="0" w:line="44" w:lineRule="exact"/>
        <w:rPr>
          <w:sz w:val="20"/>
          <w:szCs w:val="20"/>
          <w:color w:val="auto"/>
        </w:rPr>
      </w:pPr>
    </w:p>
    <w:p>
      <w:pPr>
        <w:jc w:val="both"/>
        <w:ind w:firstLine="510"/>
        <w:spacing w:after="0" w:line="274" w:lineRule="auto"/>
        <w:rPr>
          <w:sz w:val="20"/>
          <w:szCs w:val="20"/>
          <w:color w:val="auto"/>
        </w:rPr>
      </w:pPr>
      <w:r>
        <w:rPr>
          <w:rFonts w:ascii="Arial" w:cs="Arial" w:eastAsia="Arial" w:hAnsi="Arial"/>
          <w:sz w:val="19"/>
          <w:szCs w:val="19"/>
          <w:color w:val="auto"/>
        </w:rPr>
        <w:t>Holders of the Capital Securities receive preferential cumulative cash distributions unless M&amp;T exercises its right to extend the payment of interest on the Junior Subordinated Debentures as allowed by the terms of each such debenture, in which case payment of distributions on the respective Capital Securities will be deferred for comparable periods. During an extended interest period, M&amp;T may not pay dividends or distributions on, or repurchase, redeem or acquire any shares of its capital stock. In general, the agreements governing the Capital Securities, in the aggregate, provide a full, irrevocable and unconditional guarantee by M&amp;T of the payment of distributions on, the redemption of, and any liquidation distribution with respect to the Capital Securities. The obligations under such guarantee and the Capital Securities are subordinate and junior in right of payment to all senior indebtedness of M&amp;T.</w:t>
      </w:r>
    </w:p>
    <w:p>
      <w:pPr>
        <w:spacing w:after="0" w:line="61" w:lineRule="exact"/>
        <w:rPr>
          <w:sz w:val="20"/>
          <w:szCs w:val="20"/>
          <w:color w:val="auto"/>
        </w:rPr>
      </w:pPr>
    </w:p>
    <w:p>
      <w:pPr>
        <w:jc w:val="both"/>
        <w:ind w:firstLine="510"/>
        <w:spacing w:after="0" w:line="244" w:lineRule="auto"/>
        <w:rPr>
          <w:sz w:val="20"/>
          <w:szCs w:val="20"/>
          <w:color w:val="auto"/>
        </w:rPr>
      </w:pPr>
      <w:r>
        <w:rPr>
          <w:rFonts w:ascii="Arial" w:cs="Arial" w:eastAsia="Arial" w:hAnsi="Arial"/>
          <w:sz w:val="21"/>
          <w:szCs w:val="21"/>
          <w:color w:val="auto"/>
        </w:rPr>
        <w:t>The Capital Securities will remain outstanding until the Junior Subordinated Debentures are repaid at maturity, are redeemed prior to maturity or are distributed in liquidation to the trusts. The Capital Securities are mandatorily redeemable in whole, but not in part, upon repayment at the stated maturity dates (ranging from 2027 to 2033) of the Junior Subordinated Debentures or the earlier redemption of the Junior Subordinated Debentures in whole upon the occurrence of one or more events set forth in the indentures relating to the Capital Securities, and in whole or in part at any time after an optional redemption prior to contractual maturity contemporaneously with the optional redemption of the related Junior Subordinated Debentures in whole or in part, subject to possible regulatory approval.</w:t>
      </w:r>
    </w:p>
    <w:p>
      <w:pPr>
        <w:spacing w:after="0" w:line="88" w:lineRule="exact"/>
        <w:rPr>
          <w:sz w:val="20"/>
          <w:szCs w:val="20"/>
          <w:color w:val="auto"/>
        </w:rPr>
      </w:pPr>
    </w:p>
    <w:p>
      <w:pPr>
        <w:jc w:val="both"/>
        <w:ind w:firstLine="510"/>
        <w:spacing w:after="0" w:line="276" w:lineRule="auto"/>
        <w:rPr>
          <w:sz w:val="20"/>
          <w:szCs w:val="20"/>
          <w:color w:val="auto"/>
        </w:rPr>
      </w:pPr>
      <w:r>
        <w:rPr>
          <w:rFonts w:ascii="Arial" w:cs="Arial" w:eastAsia="Arial" w:hAnsi="Arial"/>
          <w:sz w:val="19"/>
          <w:szCs w:val="19"/>
          <w:color w:val="auto"/>
        </w:rPr>
        <w:t>Also included in long-term borrowings is an agreement to repurchase securities that totaled $101 million and $102 million at March 31, 2020 and December 31, 2019, respectively. The outstanding agreement has a repurchase date in 2020, however, the contractual maturities of the underlying investment securities extend beyond such repurchase date. The agreement is subject to legally enforceable master netting arrangements, however, the Company has not offset any amounts related to the agreement in its consolidated financial statements. The Company posted collateral consisting primarily of government guaranteed mortgage-backed securities of $107 million and $108 million at March 31, 2020 and December 31, 2019, respectively</w:t>
      </w:r>
      <w:r>
        <w:rPr>
          <w:rFonts w:ascii="Arial" w:cs="Arial" w:eastAsia="Arial" w:hAnsi="Arial"/>
          <w:sz w:val="15"/>
          <w:szCs w:val="15"/>
          <w:color w:val="auto"/>
        </w:rPr>
        <w:t>.</w:t>
      </w:r>
    </w:p>
    <w:p>
      <w:pPr>
        <w:spacing w:after="0" w:line="14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5. Revenue from contracts with customers</w:t>
      </w:r>
    </w:p>
    <w:p>
      <w:pPr>
        <w:spacing w:after="0" w:line="115"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A significant amount of the Company’s revenues are derived from net interest income on financial assets and liabilities, mortgage banking revenues, trading account and foreign exchange gains, investment securities gains, loan and letter of credit fees, income from bank-owned life insurance, and certain other revenues that are generally excluded from the scope of accounting guidance for revenue from contracts with customers.</w:t>
      </w:r>
    </w:p>
    <w:p>
      <w:pPr>
        <w:spacing w:after="0" w:line="81"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20"/>
          <w:szCs w:val="20"/>
          <w:color w:val="auto"/>
        </w:rPr>
        <w:t>For noninterest income revenue streams, the Company recognizes the expected amount of consideration as revenue when the performance obligations related to the services under the terms of a contract are satisfied. The Company’s contracts generally do not contain terms that necessitate significant judgment to determine the amount of revenue to recognize.</w:t>
      </w:r>
    </w:p>
    <w:p>
      <w:pPr>
        <w:spacing w:after="0" w:line="57" w:lineRule="exact"/>
        <w:rPr>
          <w:sz w:val="20"/>
          <w:szCs w:val="20"/>
          <w:color w:val="auto"/>
        </w:rPr>
      </w:pPr>
    </w:p>
    <w:p>
      <w:pPr>
        <w:jc w:val="both"/>
        <w:ind w:firstLine="510"/>
        <w:spacing w:after="0" w:line="252" w:lineRule="auto"/>
        <w:rPr>
          <w:sz w:val="20"/>
          <w:szCs w:val="20"/>
          <w:color w:val="auto"/>
        </w:rPr>
      </w:pPr>
      <w:r>
        <w:rPr>
          <w:rFonts w:ascii="Arial" w:cs="Arial" w:eastAsia="Arial" w:hAnsi="Arial"/>
          <w:sz w:val="21"/>
          <w:szCs w:val="21"/>
          <w:color w:val="auto"/>
        </w:rPr>
        <w:t>The Company generally charges customer accounts or otherwise bills customers upon completion of its services. Typically the Company’s contracts with customers have a duration of one year or less and payment for services is received at least annually, but oftentimes more frequently as services are provided. At March 31, 2020</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NOTES TO FINANCIAL STATEMENTS, CONTINUED</w:t>
      </w:r>
    </w:p>
    <w:p>
      <w:pPr>
        <w:spacing w:after="0" w:line="21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5. Revenue from contracts with customers, continued</w:t>
      </w:r>
    </w:p>
    <w:p>
      <w:pPr>
        <w:spacing w:after="0" w:line="115"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and December 31, 2019, the Company had $57 million and $62 million, respectively, of amounts receivable related to recognized revenue from the sources in the accompanying tables. Such amounts are classified in accrued interest and other assets in the Company’s consolidated balance sheet. In certain situations the Company is paid in advance of providing services and defers the recognition of revenue until its service obligation is satisfied. At March 31, 2020 and December 31, 2019, the Company had deferred revenue of $41 million and $43 million, respectively, related to the sources in the accompanying tables recorded in accrued interest and other liabilities in the consolidated balance sheet.</w:t>
      </w:r>
    </w:p>
    <w:p>
      <w:pPr>
        <w:spacing w:after="0" w:line="85" w:lineRule="exact"/>
        <w:rPr>
          <w:sz w:val="20"/>
          <w:szCs w:val="20"/>
          <w:color w:val="auto"/>
        </w:rPr>
      </w:pPr>
    </w:p>
    <w:p>
      <w:pPr>
        <w:ind w:firstLine="510"/>
        <w:spacing w:after="0" w:line="263" w:lineRule="auto"/>
        <w:rPr>
          <w:sz w:val="20"/>
          <w:szCs w:val="20"/>
          <w:color w:val="auto"/>
        </w:rPr>
      </w:pPr>
      <w:r>
        <w:rPr>
          <w:rFonts w:ascii="Arial" w:cs="Arial" w:eastAsia="Arial" w:hAnsi="Arial"/>
          <w:sz w:val="21"/>
          <w:szCs w:val="21"/>
          <w:color w:val="auto"/>
        </w:rPr>
        <w:t>The following tables summarize sources of the Company’s noninterest income during the three-month periods ended March 31, 2020 and 2019 that are subject to the noted accounting guidance.</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6"/>
              </w:rPr>
              <w:t>Business</w:t>
            </w:r>
          </w:p>
        </w:tc>
        <w:tc>
          <w:tcPr>
            <w:tcW w:w="10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Commercial</w:t>
            </w:r>
          </w:p>
        </w:tc>
        <w:tc>
          <w:tcPr>
            <w:tcW w:w="13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2"/>
              </w:rPr>
              <w:t>Commercial</w:t>
            </w: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1"/>
              </w:rPr>
              <w:t>Discretionary</w:t>
            </w:r>
          </w:p>
        </w:tc>
        <w:tc>
          <w:tcPr>
            <w:tcW w:w="12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Residential</w:t>
            </w:r>
          </w:p>
        </w:tc>
        <w:tc>
          <w:tcPr>
            <w:tcW w:w="8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Retail</w:t>
            </w: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Mortgage</w:t>
            </w:r>
          </w:p>
        </w:tc>
        <w:tc>
          <w:tcPr>
            <w:tcW w:w="860" w:type="dxa"/>
            <w:vAlign w:val="bottom"/>
            <w:gridSpan w:val="2"/>
            <w:vMerge w:val="continue"/>
          </w:tcPr>
          <w:p>
            <w:pPr>
              <w:spacing w:after="0"/>
              <w:rPr>
                <w:sz w:val="12"/>
                <w:szCs w:val="12"/>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All Other</w:t>
            </w:r>
          </w:p>
        </w:tc>
        <w:tc>
          <w:tcPr>
            <w:tcW w:w="7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Three Months Ended March 31, 2020</w:t>
            </w:r>
          </w:p>
        </w:tc>
        <w:tc>
          <w:tcPr>
            <w:tcW w:w="4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97"/>
              </w:rPr>
              <w:t>Banking</w:t>
            </w:r>
          </w:p>
        </w:tc>
        <w:tc>
          <w:tcPr>
            <w:tcW w:w="280" w:type="dxa"/>
            <w:vAlign w:val="bottom"/>
          </w:tcPr>
          <w:p>
            <w:pPr>
              <w:spacing w:after="0"/>
              <w:rPr>
                <w:sz w:val="14"/>
                <w:szCs w:val="14"/>
                <w:color w:val="auto"/>
              </w:rPr>
            </w:pPr>
          </w:p>
        </w:tc>
        <w:tc>
          <w:tcPr>
            <w:tcW w:w="760" w:type="dxa"/>
            <w:vAlign w:val="bottom"/>
          </w:tcPr>
          <w:p>
            <w:pPr>
              <w:jc w:val="right"/>
              <w:ind w:right="61"/>
              <w:spacing w:after="0"/>
              <w:rPr>
                <w:sz w:val="20"/>
                <w:szCs w:val="20"/>
                <w:color w:val="auto"/>
              </w:rPr>
            </w:pPr>
            <w:r>
              <w:rPr>
                <w:rFonts w:ascii="Arial" w:cs="Arial" w:eastAsia="Arial" w:hAnsi="Arial"/>
                <w:sz w:val="14"/>
                <w:szCs w:val="14"/>
                <w:b w:val="1"/>
                <w:bCs w:val="1"/>
                <w:color w:val="auto"/>
              </w:rPr>
              <w:t>Banking</w:t>
            </w:r>
          </w:p>
        </w:tc>
        <w:tc>
          <w:tcPr>
            <w:tcW w:w="28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Real Estate</w:t>
            </w:r>
          </w:p>
        </w:tc>
        <w:tc>
          <w:tcPr>
            <w:tcW w:w="840" w:type="dxa"/>
            <w:vAlign w:val="bottom"/>
          </w:tcPr>
          <w:p>
            <w:pPr>
              <w:jc w:val="right"/>
              <w:ind w:right="61"/>
              <w:spacing w:after="0"/>
              <w:rPr>
                <w:sz w:val="20"/>
                <w:szCs w:val="20"/>
                <w:color w:val="auto"/>
              </w:rPr>
            </w:pPr>
            <w:r>
              <w:rPr>
                <w:rFonts w:ascii="Arial" w:cs="Arial" w:eastAsia="Arial" w:hAnsi="Arial"/>
                <w:sz w:val="14"/>
                <w:szCs w:val="14"/>
                <w:b w:val="1"/>
                <w:bCs w:val="1"/>
                <w:color w:val="auto"/>
              </w:rPr>
              <w:t>Portfolio</w:t>
            </w:r>
          </w:p>
        </w:tc>
        <w:tc>
          <w:tcPr>
            <w:tcW w:w="28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Banking</w:t>
            </w:r>
          </w:p>
        </w:tc>
        <w:tc>
          <w:tcPr>
            <w:tcW w:w="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Banking</w:t>
            </w:r>
          </w:p>
        </w:tc>
        <w:tc>
          <w:tcPr>
            <w:tcW w:w="92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20" w:type="dxa"/>
            <w:vAlign w:val="bottom"/>
            <w:gridSpan w:val="3"/>
            <w:vMerge w:val="continue"/>
          </w:tcPr>
          <w:p>
            <w:pPr>
              <w:spacing w:after="0"/>
              <w:rPr>
                <w:sz w:val="12"/>
                <w:szCs w:val="12"/>
                <w:color w:val="auto"/>
              </w:rPr>
            </w:pPr>
          </w:p>
        </w:tc>
        <w:tc>
          <w:tcPr>
            <w:tcW w:w="46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080" w:type="dxa"/>
            <w:vAlign w:val="bottom"/>
            <w:tcBorders>
              <w:top w:val="single" w:sz="8" w:color="auto"/>
            </w:tcBorders>
            <w:gridSpan w:val="4"/>
          </w:tcPr>
          <w:p>
            <w:pPr>
              <w:ind w:left="340"/>
              <w:spacing w:after="0" w:line="142" w:lineRule="exact"/>
              <w:rPr>
                <w:sz w:val="20"/>
                <w:szCs w:val="20"/>
                <w:color w:val="auto"/>
              </w:rPr>
            </w:pPr>
            <w:r>
              <w:rPr>
                <w:rFonts w:ascii="Arial" w:cs="Arial" w:eastAsia="Arial" w:hAnsi="Arial"/>
                <w:sz w:val="14"/>
                <w:szCs w:val="14"/>
                <w:b w:val="1"/>
                <w:bCs w:val="1"/>
                <w:color w:val="auto"/>
              </w:rPr>
              <w:t>(In thousands)</w:t>
            </w:r>
          </w:p>
        </w:tc>
        <w:tc>
          <w:tcPr>
            <w:tcW w:w="5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2280" w:type="dxa"/>
            <w:vAlign w:val="bottom"/>
            <w:tcBorders>
              <w:top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4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200" w:type="dxa"/>
            <w:vAlign w:val="bottom"/>
            <w:gridSpan w:val="2"/>
            <w:shd w:val="clear" w:color="auto" w:fill="CFF0FC"/>
          </w:tcPr>
          <w:p>
            <w:pPr>
              <w:spacing w:after="0"/>
              <w:rPr>
                <w:sz w:val="20"/>
                <w:szCs w:val="20"/>
                <w:color w:val="auto"/>
              </w:rPr>
            </w:pPr>
            <w:r>
              <w:rPr>
                <w:rFonts w:ascii="Arial" w:cs="Arial" w:eastAsia="Arial" w:hAnsi="Arial"/>
                <w:sz w:val="16"/>
                <w:szCs w:val="16"/>
                <w:b w:val="1"/>
                <w:bCs w:val="1"/>
                <w:color w:val="auto"/>
              </w:rPr>
              <w:t>Classification in consolidated statement</w:t>
            </w:r>
          </w:p>
        </w:tc>
        <w:tc>
          <w:tcPr>
            <w:tcW w:w="4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FF0FC"/>
          </w:tcPr>
          <w:p>
            <w:pPr>
              <w:ind w:left="100"/>
              <w:spacing w:after="0"/>
              <w:rPr>
                <w:sz w:val="20"/>
                <w:szCs w:val="20"/>
                <w:color w:val="auto"/>
              </w:rPr>
            </w:pPr>
            <w:r>
              <w:rPr>
                <w:rFonts w:ascii="Arial" w:cs="Arial" w:eastAsia="Arial" w:hAnsi="Arial"/>
                <w:sz w:val="16"/>
                <w:szCs w:val="16"/>
                <w:b w:val="1"/>
                <w:bCs w:val="1"/>
                <w:color w:val="auto"/>
              </w:rPr>
              <w:t>of income</w:t>
            </w:r>
          </w:p>
        </w:tc>
        <w:tc>
          <w:tcPr>
            <w:tcW w:w="4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20" w:type="dxa"/>
            <w:vAlign w:val="bottom"/>
            <w:gridSpan w:val="3"/>
          </w:tcPr>
          <w:p>
            <w:pPr>
              <w:spacing w:after="0"/>
              <w:rPr>
                <w:sz w:val="20"/>
                <w:szCs w:val="20"/>
                <w:color w:val="auto"/>
              </w:rPr>
            </w:pPr>
            <w:r>
              <w:rPr>
                <w:rFonts w:ascii="Arial" w:cs="Arial" w:eastAsia="Arial" w:hAnsi="Arial"/>
                <w:sz w:val="16"/>
                <w:szCs w:val="16"/>
                <w:color w:val="auto"/>
              </w:rPr>
              <w:t>Service charges on deposit accounts</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$ 15,250</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24,157</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2,812</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61,670</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2,272</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87"/>
              </w:rPr>
              <w:t>$ 106,161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2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Trust income</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304</w:t>
            </w:r>
          </w:p>
        </w:tc>
        <w:tc>
          <w:tcPr>
            <w:tcW w:w="2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148,435</w:t>
            </w: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148,751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220" w:type="dxa"/>
            <w:vAlign w:val="bottom"/>
            <w:gridSpan w:val="3"/>
          </w:tcPr>
          <w:p>
            <w:pPr>
              <w:spacing w:after="0"/>
              <w:rPr>
                <w:sz w:val="20"/>
                <w:szCs w:val="20"/>
                <w:color w:val="auto"/>
              </w:rPr>
            </w:pPr>
            <w:r>
              <w:rPr>
                <w:rFonts w:ascii="Arial" w:cs="Arial" w:eastAsia="Arial" w:hAnsi="Arial"/>
                <w:sz w:val="16"/>
                <w:szCs w:val="16"/>
                <w:color w:val="auto"/>
              </w:rPr>
              <w:t>Brokerage services income</w:t>
            </w:r>
          </w:p>
        </w:tc>
        <w:tc>
          <w:tcPr>
            <w:tcW w:w="4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13,129</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13,129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2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Other revenues from operations:</w:t>
            </w:r>
          </w:p>
        </w:tc>
        <w:tc>
          <w:tcPr>
            <w:tcW w:w="4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00" w:type="dxa"/>
            <w:vAlign w:val="bottom"/>
            <w:gridSpan w:val="2"/>
          </w:tcPr>
          <w:p>
            <w:pPr>
              <w:ind w:left="240"/>
              <w:spacing w:after="0"/>
              <w:rPr>
                <w:sz w:val="20"/>
                <w:szCs w:val="20"/>
                <w:color w:val="auto"/>
              </w:rPr>
            </w:pPr>
            <w:r>
              <w:rPr>
                <w:rFonts w:ascii="Arial" w:cs="Arial" w:eastAsia="Arial" w:hAnsi="Arial"/>
                <w:sz w:val="16"/>
                <w:szCs w:val="16"/>
                <w:color w:val="auto"/>
              </w:rPr>
              <w:t>Merchant discount and credit card fees</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10,331</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13,316</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849</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2,271</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400</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27,167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FF0FC"/>
          </w:tcPr>
          <w:p>
            <w:pPr>
              <w:ind w:left="240"/>
              <w:spacing w:after="0"/>
              <w:rPr>
                <w:sz w:val="20"/>
                <w:szCs w:val="20"/>
                <w:color w:val="auto"/>
              </w:rPr>
            </w:pPr>
            <w:r>
              <w:rPr>
                <w:rFonts w:ascii="Arial" w:cs="Arial" w:eastAsia="Arial" w:hAnsi="Arial"/>
                <w:sz w:val="16"/>
                <w:szCs w:val="16"/>
                <w:color w:val="auto"/>
              </w:rPr>
              <w:t>Other</w:t>
            </w:r>
          </w:p>
        </w:tc>
        <w:tc>
          <w:tcPr>
            <w:tcW w:w="460" w:type="dxa"/>
            <w:vAlign w:val="bottom"/>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2,186</w:t>
            </w:r>
          </w:p>
        </w:tc>
        <w:tc>
          <w:tcPr>
            <w:tcW w:w="28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843</w:t>
            </w:r>
          </w:p>
        </w:tc>
        <w:tc>
          <w:tcPr>
            <w:tcW w:w="260" w:type="dxa"/>
            <w:vAlign w:val="bottom"/>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857</w:t>
            </w:r>
          </w:p>
        </w:tc>
        <w:tc>
          <w:tcPr>
            <w:tcW w:w="280" w:type="dxa"/>
            <w:vAlign w:val="bottom"/>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922</w:t>
            </w:r>
          </w:p>
        </w:tc>
        <w:tc>
          <w:tcPr>
            <w:tcW w:w="280" w:type="dxa"/>
            <w:vAlign w:val="bottom"/>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5,982</w:t>
            </w:r>
          </w:p>
        </w:tc>
        <w:tc>
          <w:tcPr>
            <w:tcW w:w="280" w:type="dxa"/>
            <w:vAlign w:val="bottom"/>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12,516</w:t>
            </w:r>
          </w:p>
        </w:tc>
        <w:tc>
          <w:tcPr>
            <w:tcW w:w="280" w:type="dxa"/>
            <w:vAlign w:val="bottom"/>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23,306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$ 25,593</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39,963</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4,504</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857</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922</w:t>
            </w:r>
          </w:p>
        </w:tc>
        <w:tc>
          <w:tcPr>
            <w:tcW w:w="2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69,923</w:t>
            </w: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176,752</w:t>
            </w: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87"/>
              </w:rPr>
              <w:t>$ 318,514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Three Months Ended March 31, 2019</w:t>
            </w:r>
          </w:p>
        </w:tc>
        <w:tc>
          <w:tcPr>
            <w:tcW w:w="4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220" w:type="dxa"/>
            <w:vAlign w:val="bottom"/>
            <w:gridSpan w:val="3"/>
            <w:vMerge w:val="continue"/>
          </w:tcPr>
          <w:p>
            <w:pPr>
              <w:spacing w:after="0"/>
              <w:rPr>
                <w:sz w:val="16"/>
                <w:szCs w:val="16"/>
                <w:color w:val="auto"/>
              </w:rPr>
            </w:pPr>
          </w:p>
        </w:tc>
        <w:tc>
          <w:tcPr>
            <w:tcW w:w="4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2280" w:type="dxa"/>
            <w:vAlign w:val="bottom"/>
            <w:tcBorders>
              <w:top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4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200" w:type="dxa"/>
            <w:vAlign w:val="bottom"/>
            <w:gridSpan w:val="2"/>
            <w:shd w:val="clear" w:color="auto" w:fill="CFF0FC"/>
          </w:tcPr>
          <w:p>
            <w:pPr>
              <w:spacing w:after="0"/>
              <w:rPr>
                <w:sz w:val="20"/>
                <w:szCs w:val="20"/>
                <w:color w:val="auto"/>
              </w:rPr>
            </w:pPr>
            <w:r>
              <w:rPr>
                <w:rFonts w:ascii="Arial" w:cs="Arial" w:eastAsia="Arial" w:hAnsi="Arial"/>
                <w:sz w:val="16"/>
                <w:szCs w:val="16"/>
                <w:b w:val="1"/>
                <w:bCs w:val="1"/>
                <w:color w:val="auto"/>
              </w:rPr>
              <w:t>Classification in consolidated statement</w:t>
            </w:r>
          </w:p>
        </w:tc>
        <w:tc>
          <w:tcPr>
            <w:tcW w:w="4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FF0FC"/>
          </w:tcPr>
          <w:p>
            <w:pPr>
              <w:ind w:left="100"/>
              <w:spacing w:after="0"/>
              <w:rPr>
                <w:sz w:val="20"/>
                <w:szCs w:val="20"/>
                <w:color w:val="auto"/>
              </w:rPr>
            </w:pPr>
            <w:r>
              <w:rPr>
                <w:rFonts w:ascii="Arial" w:cs="Arial" w:eastAsia="Arial" w:hAnsi="Arial"/>
                <w:sz w:val="16"/>
                <w:szCs w:val="16"/>
                <w:b w:val="1"/>
                <w:bCs w:val="1"/>
                <w:color w:val="auto"/>
              </w:rPr>
              <w:t>of income</w:t>
            </w:r>
          </w:p>
        </w:tc>
        <w:tc>
          <w:tcPr>
            <w:tcW w:w="4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20" w:type="dxa"/>
            <w:vAlign w:val="bottom"/>
            <w:gridSpan w:val="3"/>
          </w:tcPr>
          <w:p>
            <w:pPr>
              <w:spacing w:after="0"/>
              <w:rPr>
                <w:sz w:val="20"/>
                <w:szCs w:val="20"/>
                <w:color w:val="auto"/>
              </w:rPr>
            </w:pPr>
            <w:r>
              <w:rPr>
                <w:rFonts w:ascii="Arial" w:cs="Arial" w:eastAsia="Arial" w:hAnsi="Arial"/>
                <w:sz w:val="16"/>
                <w:szCs w:val="16"/>
                <w:color w:val="auto"/>
              </w:rPr>
              <w:t>Service charges on deposit accounts</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$ 15,109</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23,210</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2,526</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2</w:t>
            </w: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61,151</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1,114</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87"/>
              </w:rPr>
              <w:t>$ 103,112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2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Trust income</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214</w:t>
            </w:r>
          </w:p>
        </w:tc>
        <w:tc>
          <w:tcPr>
            <w:tcW w:w="2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132,567</w:t>
            </w: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132,786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220" w:type="dxa"/>
            <w:vAlign w:val="bottom"/>
            <w:gridSpan w:val="3"/>
          </w:tcPr>
          <w:p>
            <w:pPr>
              <w:spacing w:after="0"/>
              <w:rPr>
                <w:sz w:val="20"/>
                <w:szCs w:val="20"/>
                <w:color w:val="auto"/>
              </w:rPr>
            </w:pPr>
            <w:r>
              <w:rPr>
                <w:rFonts w:ascii="Arial" w:cs="Arial" w:eastAsia="Arial" w:hAnsi="Arial"/>
                <w:sz w:val="16"/>
                <w:szCs w:val="16"/>
                <w:color w:val="auto"/>
              </w:rPr>
              <w:t>Brokerage services income</w:t>
            </w:r>
          </w:p>
        </w:tc>
        <w:tc>
          <w:tcPr>
            <w:tcW w:w="4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12,476</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12,476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2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Other revenues from operations:</w:t>
            </w:r>
          </w:p>
        </w:tc>
        <w:tc>
          <w:tcPr>
            <w:tcW w:w="4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00" w:type="dxa"/>
            <w:vAlign w:val="bottom"/>
            <w:gridSpan w:val="2"/>
          </w:tcPr>
          <w:p>
            <w:pPr>
              <w:ind w:left="240"/>
              <w:spacing w:after="0"/>
              <w:rPr>
                <w:sz w:val="20"/>
                <w:szCs w:val="20"/>
                <w:color w:val="auto"/>
              </w:rPr>
            </w:pPr>
            <w:r>
              <w:rPr>
                <w:rFonts w:ascii="Arial" w:cs="Arial" w:eastAsia="Arial" w:hAnsi="Arial"/>
                <w:sz w:val="16"/>
                <w:szCs w:val="16"/>
                <w:color w:val="auto"/>
              </w:rPr>
              <w:t>Merchant discount and credit card fees</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8,882</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12,092</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606</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3,138</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420</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25,138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FF0FC"/>
          </w:tcPr>
          <w:p>
            <w:pPr>
              <w:ind w:left="240"/>
              <w:spacing w:after="0"/>
              <w:rPr>
                <w:sz w:val="20"/>
                <w:szCs w:val="20"/>
                <w:color w:val="auto"/>
              </w:rPr>
            </w:pPr>
            <w:r>
              <w:rPr>
                <w:rFonts w:ascii="Arial" w:cs="Arial" w:eastAsia="Arial" w:hAnsi="Arial"/>
                <w:sz w:val="16"/>
                <w:szCs w:val="16"/>
                <w:color w:val="auto"/>
              </w:rPr>
              <w:t>Other</w:t>
            </w:r>
          </w:p>
        </w:tc>
        <w:tc>
          <w:tcPr>
            <w:tcW w:w="460" w:type="dxa"/>
            <w:vAlign w:val="bottom"/>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1,002</w:t>
            </w:r>
          </w:p>
        </w:tc>
        <w:tc>
          <w:tcPr>
            <w:tcW w:w="28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1,788</w:t>
            </w:r>
          </w:p>
        </w:tc>
        <w:tc>
          <w:tcPr>
            <w:tcW w:w="260" w:type="dxa"/>
            <w:vAlign w:val="bottom"/>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401</w:t>
            </w:r>
          </w:p>
        </w:tc>
        <w:tc>
          <w:tcPr>
            <w:tcW w:w="280" w:type="dxa"/>
            <w:vAlign w:val="bottom"/>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1,064</w:t>
            </w:r>
          </w:p>
        </w:tc>
        <w:tc>
          <w:tcPr>
            <w:tcW w:w="280" w:type="dxa"/>
            <w:vAlign w:val="bottom"/>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8,494</w:t>
            </w:r>
          </w:p>
        </w:tc>
        <w:tc>
          <w:tcPr>
            <w:tcW w:w="280" w:type="dxa"/>
            <w:vAlign w:val="bottom"/>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10,488</w:t>
            </w:r>
          </w:p>
        </w:tc>
        <w:tc>
          <w:tcPr>
            <w:tcW w:w="280" w:type="dxa"/>
            <w:vAlign w:val="bottom"/>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23,237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$ 23,996</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36,518</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4,920</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401</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1,066</w:t>
            </w: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72,783</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157,065</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87"/>
              </w:rPr>
              <w:t>$ 296,749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6. Pension plans and other postretirement benefits</w:t>
      </w:r>
    </w:p>
    <w:p>
      <w:pPr>
        <w:spacing w:after="0" w:line="115" w:lineRule="exact"/>
        <w:rPr>
          <w:sz w:val="20"/>
          <w:szCs w:val="20"/>
          <w:color w:val="auto"/>
        </w:rPr>
      </w:pPr>
    </w:p>
    <w:p>
      <w:pPr>
        <w:jc w:val="both"/>
        <w:ind w:right="20"/>
        <w:spacing w:after="0" w:line="288" w:lineRule="auto"/>
        <w:rPr>
          <w:sz w:val="20"/>
          <w:szCs w:val="20"/>
          <w:color w:val="auto"/>
        </w:rPr>
      </w:pPr>
      <w:r>
        <w:rPr>
          <w:rFonts w:ascii="Arial" w:cs="Arial" w:eastAsia="Arial" w:hAnsi="Arial"/>
          <w:sz w:val="20"/>
          <w:szCs w:val="20"/>
          <w:color w:val="auto"/>
        </w:rPr>
        <w:t>The Company provides defined benefit pension and other postretirement benefits (including health care and life insurance benefits) to qualified retired employees. Net periodic defined benefit cost for defined benefit plans consisted of the following:</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3"/>
            <w:vMerge w:val="restart"/>
          </w:tcPr>
          <w:p>
            <w:pPr>
              <w:ind w:left="520"/>
              <w:spacing w:after="0"/>
              <w:rPr>
                <w:sz w:val="20"/>
                <w:szCs w:val="20"/>
                <w:color w:val="auto"/>
              </w:rPr>
            </w:pPr>
            <w:r>
              <w:rPr>
                <w:rFonts w:ascii="Arial" w:cs="Arial" w:eastAsia="Arial" w:hAnsi="Arial"/>
                <w:sz w:val="14"/>
                <w:szCs w:val="14"/>
                <w:b w:val="1"/>
                <w:bCs w:val="1"/>
                <w:color w:val="auto"/>
                <w:w w:val="95"/>
              </w:rPr>
              <w:t>Pension</w:t>
            </w: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gridSpan w:val="3"/>
          </w:tcPr>
          <w:p>
            <w:pPr>
              <w:jc w:val="center"/>
              <w:ind w:left="517"/>
              <w:spacing w:after="0"/>
              <w:rPr>
                <w:sz w:val="20"/>
                <w:szCs w:val="20"/>
                <w:color w:val="auto"/>
              </w:rPr>
            </w:pPr>
            <w:r>
              <w:rPr>
                <w:rFonts w:ascii="Arial" w:cs="Arial" w:eastAsia="Arial" w:hAnsi="Arial"/>
                <w:sz w:val="14"/>
                <w:szCs w:val="14"/>
                <w:b w:val="1"/>
                <w:bCs w:val="1"/>
                <w:color w:val="auto"/>
                <w:w w:val="96"/>
              </w:rPr>
              <w:t>Other</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960" w:type="dxa"/>
            <w:vAlign w:val="bottom"/>
            <w:gridSpan w:val="5"/>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Postretirement</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w w:val="94"/>
              </w:rPr>
              <w:t>Benefits</w:t>
            </w:r>
          </w:p>
        </w:tc>
        <w:tc>
          <w:tcPr>
            <w:tcW w:w="6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center"/>
              <w:ind w:left="537"/>
              <w:spacing w:after="0"/>
              <w:rPr>
                <w:sz w:val="20"/>
                <w:szCs w:val="20"/>
                <w:color w:val="auto"/>
              </w:rPr>
            </w:pPr>
            <w:r>
              <w:rPr>
                <w:rFonts w:ascii="Arial" w:cs="Arial" w:eastAsia="Arial" w:hAnsi="Arial"/>
                <w:sz w:val="14"/>
                <w:szCs w:val="14"/>
                <w:b w:val="1"/>
                <w:bCs w:val="1"/>
                <w:color w:val="auto"/>
                <w:w w:val="90"/>
              </w:rPr>
              <w:t>Benefits</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20" w:type="dxa"/>
            <w:vAlign w:val="bottom"/>
            <w:gridSpan w:val="7"/>
          </w:tcPr>
          <w:p>
            <w:pPr>
              <w:jc w:val="center"/>
              <w:ind w:right="160"/>
              <w:spacing w:after="0" w:line="146" w:lineRule="exact"/>
              <w:rPr>
                <w:sz w:val="20"/>
                <w:szCs w:val="20"/>
                <w:color w:val="auto"/>
              </w:rPr>
            </w:pPr>
            <w:r>
              <w:rPr>
                <w:rFonts w:ascii="Arial" w:cs="Arial" w:eastAsia="Arial" w:hAnsi="Arial"/>
                <w:sz w:val="14"/>
                <w:szCs w:val="14"/>
                <w:b w:val="1"/>
                <w:bCs w:val="1"/>
                <w:color w:val="auto"/>
                <w:w w:val="95"/>
              </w:rPr>
              <w:t>Three Months Ended March 31</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80" w:type="dxa"/>
            <w:vAlign w:val="bottom"/>
            <w:gridSpan w:val="5"/>
          </w:tcPr>
          <w:p>
            <w:pPr>
              <w:jc w:val="center"/>
              <w:ind w:right="600"/>
              <w:spacing w:after="0"/>
              <w:rPr>
                <w:sz w:val="20"/>
                <w:szCs w:val="20"/>
                <w:color w:val="auto"/>
              </w:rPr>
            </w:pPr>
            <w:r>
              <w:rPr>
                <w:rFonts w:ascii="Arial" w:cs="Arial" w:eastAsia="Arial" w:hAnsi="Arial"/>
                <w:sz w:val="14"/>
                <w:szCs w:val="14"/>
                <w:b w:val="1"/>
                <w:bCs w:val="1"/>
                <w:color w:val="auto"/>
                <w:w w:val="93"/>
              </w:rPr>
              <w:t>(In thousands)</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42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Service cost</w:t>
            </w:r>
          </w:p>
        </w:tc>
        <w:tc>
          <w:tcPr>
            <w:tcW w:w="1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4,714</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4,087</w:t>
            </w: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Interest cost on projected benefit obligation</w:t>
            </w:r>
          </w:p>
        </w:tc>
        <w:tc>
          <w:tcPr>
            <w:tcW w:w="1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17,886</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20,200</w:t>
            </w: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419</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603</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Expected return on plan assets</w:t>
            </w:r>
          </w:p>
        </w:tc>
        <w:tc>
          <w:tcPr>
            <w:tcW w:w="1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88"/>
              <w:spacing w:after="0"/>
              <w:rPr>
                <w:sz w:val="20"/>
                <w:szCs w:val="20"/>
                <w:color w:val="auto"/>
              </w:rPr>
            </w:pPr>
            <w:r>
              <w:rPr>
                <w:rFonts w:ascii="Arial" w:cs="Arial" w:eastAsia="Arial" w:hAnsi="Arial"/>
                <w:sz w:val="18"/>
                <w:szCs w:val="18"/>
                <w:color w:val="auto"/>
                <w:w w:val="98"/>
              </w:rPr>
              <w:t>(31,475)</w:t>
            </w:r>
          </w:p>
        </w:tc>
        <w:tc>
          <w:tcPr>
            <w:tcW w:w="1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w w:val="98"/>
              </w:rPr>
              <w:t>(30,600)</w:t>
            </w:r>
          </w:p>
        </w:tc>
        <w:tc>
          <w:tcPr>
            <w:tcW w:w="1240" w:type="dxa"/>
            <w:vAlign w:val="bottom"/>
            <w:gridSpan w:val="3"/>
            <w:shd w:val="clear" w:color="auto" w:fill="CFF0FC"/>
          </w:tcPr>
          <w:p>
            <w:pPr>
              <w:jc w:val="right"/>
              <w:ind w:right="4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Amortization of prior service cost (credit)</w:t>
            </w:r>
          </w:p>
        </w:tc>
        <w:tc>
          <w:tcPr>
            <w:tcW w:w="1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125</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125</w:t>
            </w:r>
          </w:p>
        </w:tc>
        <w:tc>
          <w:tcPr>
            <w:tcW w:w="320" w:type="dxa"/>
            <w:vAlign w:val="bottom"/>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(1,175)</w:t>
            </w:r>
          </w:p>
        </w:tc>
        <w:tc>
          <w:tcPr>
            <w:tcW w:w="16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(1,175)</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net actuarial loss (gain)</w:t>
            </w:r>
          </w:p>
        </w:tc>
        <w:tc>
          <w:tcPr>
            <w:tcW w:w="1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13,950</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4,450</w:t>
            </w:r>
          </w:p>
        </w:tc>
        <w:tc>
          <w:tcPr>
            <w:tcW w:w="3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(300)</w:t>
            </w:r>
          </w:p>
        </w:tc>
        <w:tc>
          <w:tcPr>
            <w:tcW w:w="1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(300)</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gridSpan w:val="2"/>
          </w:tcPr>
          <w:p>
            <w:pPr>
              <w:spacing w:after="0"/>
              <w:rPr>
                <w:sz w:val="20"/>
                <w:szCs w:val="20"/>
                <w:color w:val="auto"/>
              </w:rPr>
            </w:pPr>
            <w:r>
              <w:rPr>
                <w:rFonts w:ascii="Arial" w:cs="Arial" w:eastAsia="Arial" w:hAnsi="Arial"/>
                <w:sz w:val="18"/>
                <w:szCs w:val="18"/>
                <w:color w:val="auto"/>
              </w:rPr>
              <w:t>Net periodic cost (benefit)</w:t>
            </w:r>
          </w:p>
        </w:tc>
        <w:tc>
          <w:tcPr>
            <w:tcW w:w="17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5,200</w:t>
            </w: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(1,738)</w:t>
            </w:r>
          </w:p>
        </w:tc>
        <w:tc>
          <w:tcPr>
            <w:tcW w:w="32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(833)</w:t>
            </w:r>
          </w:p>
        </w:tc>
        <w:tc>
          <w:tcPr>
            <w:tcW w:w="3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(672)</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720" w:type="dxa"/>
            <w:vAlign w:val="bottom"/>
            <w:vMerge w:val="restart"/>
          </w:tcPr>
          <w:p>
            <w:pPr>
              <w:jc w:val="right"/>
              <w:ind w:right="90"/>
              <w:spacing w:after="0"/>
              <w:rPr>
                <w:sz w:val="20"/>
                <w:szCs w:val="20"/>
                <w:color w:val="auto"/>
              </w:rPr>
            </w:pPr>
            <w:r>
              <w:rPr>
                <w:rFonts w:ascii="Arial" w:cs="Arial" w:eastAsia="Arial" w:hAnsi="Arial"/>
                <w:sz w:val="18"/>
                <w:szCs w:val="18"/>
                <w:color w:val="auto"/>
              </w:rPr>
              <w:t>-23-</w:t>
            </w: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6"/>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7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4260" w:type="dxa"/>
            <w:vAlign w:val="bottom"/>
            <w:tcBorders>
              <w:bottom w:val="single" w:sz="8" w:color="9A9A9A"/>
            </w:tcBorders>
          </w:tcPr>
          <w:p>
            <w:pPr>
              <w:spacing w:after="0"/>
              <w:rPr>
                <w:sz w:val="9"/>
                <w:szCs w:val="9"/>
                <w:color w:val="auto"/>
              </w:rPr>
            </w:pPr>
          </w:p>
        </w:tc>
        <w:tc>
          <w:tcPr>
            <w:tcW w:w="17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-7620</wp:posOffset>
            </wp:positionV>
            <wp:extent cx="825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25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NOTES TO FINANCIAL STATEMENTS, CONTINUED</w:t>
      </w:r>
    </w:p>
    <w:p>
      <w:pPr>
        <w:spacing w:after="0" w:line="21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6. Pension plans and other postretirement benefits, continued</w:t>
      </w:r>
    </w:p>
    <w:p>
      <w:pPr>
        <w:spacing w:after="0" w:line="115" w:lineRule="exact"/>
        <w:rPr>
          <w:sz w:val="20"/>
          <w:szCs w:val="20"/>
          <w:color w:val="auto"/>
        </w:rPr>
      </w:pPr>
    </w:p>
    <w:p>
      <w:pPr>
        <w:jc w:val="both"/>
        <w:ind w:firstLine="510"/>
        <w:spacing w:after="0" w:line="265" w:lineRule="auto"/>
        <w:rPr>
          <w:sz w:val="20"/>
          <w:szCs w:val="20"/>
          <w:color w:val="auto"/>
        </w:rPr>
      </w:pPr>
      <w:r>
        <w:rPr>
          <w:rFonts w:ascii="Arial" w:cs="Arial" w:eastAsia="Arial" w:hAnsi="Arial"/>
          <w:sz w:val="20"/>
          <w:szCs w:val="20"/>
          <w:color w:val="auto"/>
        </w:rPr>
        <w:t>Service cost is reflected in salaries and employee benefits expense in the consolidated statement of income. The other components of net periodic benefit cost are reflected in other costs of operations. Expenses incurred in connection with the Company's defined contribution pension and retirement savings plans totaled $27 million and $22 million for the three months ended March 31, 2020 and 2019, respectively, and are included in salaries and employee benefits expense.</w:t>
      </w:r>
    </w:p>
    <w:p>
      <w:pPr>
        <w:spacing w:after="0" w:line="354"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7. Earnings per common share</w:t>
      </w:r>
    </w:p>
    <w:p>
      <w:pPr>
        <w:spacing w:after="0" w:line="115" w:lineRule="exact"/>
        <w:rPr>
          <w:sz w:val="20"/>
          <w:szCs w:val="20"/>
          <w:color w:val="auto"/>
        </w:rPr>
      </w:pPr>
    </w:p>
    <w:p>
      <w:pPr>
        <w:spacing w:after="0"/>
        <w:rPr>
          <w:sz w:val="20"/>
          <w:szCs w:val="20"/>
          <w:color w:val="auto"/>
        </w:rPr>
      </w:pPr>
      <w:r>
        <w:rPr>
          <w:rFonts w:ascii="Arial" w:cs="Arial" w:eastAsia="Arial" w:hAnsi="Arial"/>
          <w:sz w:val="21"/>
          <w:szCs w:val="21"/>
          <w:color w:val="auto"/>
        </w:rPr>
        <w:t>The computations of basic earnings per common share follow:</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7"/>
              </w:rPr>
              <w:t>Three Months Ended March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5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0" w:type="dxa"/>
            <w:vAlign w:val="bottom"/>
            <w:gridSpan w:val="5"/>
          </w:tcPr>
          <w:p>
            <w:pPr>
              <w:jc w:val="right"/>
              <w:ind w:right="92"/>
              <w:spacing w:after="0"/>
              <w:rPr>
                <w:sz w:val="20"/>
                <w:szCs w:val="20"/>
                <w:color w:val="auto"/>
              </w:rPr>
            </w:pPr>
            <w:r>
              <w:rPr>
                <w:rFonts w:ascii="Arial" w:cs="Arial" w:eastAsia="Arial" w:hAnsi="Arial"/>
                <w:sz w:val="14"/>
                <w:szCs w:val="14"/>
                <w:b w:val="1"/>
                <w:bCs w:val="1"/>
                <w:color w:val="auto"/>
                <w:w w:val="92"/>
              </w:rPr>
              <w:t>(In thousands, except per share)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7"/>
        </w:trPr>
        <w:tc>
          <w:tcPr>
            <w:tcW w:w="6740" w:type="dxa"/>
            <w:vAlign w:val="bottom"/>
            <w:gridSpan w:val="3"/>
          </w:tcPr>
          <w:p>
            <w:pPr>
              <w:spacing w:after="0"/>
              <w:rPr>
                <w:sz w:val="20"/>
                <w:szCs w:val="20"/>
                <w:color w:val="auto"/>
              </w:rPr>
            </w:pPr>
            <w:r>
              <w:rPr>
                <w:rFonts w:ascii="Arial" w:cs="Arial" w:eastAsia="Arial" w:hAnsi="Arial"/>
                <w:sz w:val="18"/>
                <w:szCs w:val="18"/>
                <w:color w:val="auto"/>
              </w:rPr>
              <w:t>Income available to common shareholders:</w:t>
            </w: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w:t>
            </w:r>
          </w:p>
        </w:tc>
        <w:tc>
          <w:tcPr>
            <w:tcW w:w="10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268,822</w:t>
            </w:r>
          </w:p>
        </w:tc>
        <w:tc>
          <w:tcPr>
            <w:tcW w:w="3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482,742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500" w:type="dxa"/>
            <w:vAlign w:val="bottom"/>
          </w:tcPr>
          <w:p>
            <w:pPr>
              <w:ind w:left="20"/>
              <w:spacing w:after="0"/>
              <w:rPr>
                <w:sz w:val="20"/>
                <w:szCs w:val="20"/>
                <w:color w:val="auto"/>
              </w:rPr>
            </w:pPr>
            <w:r>
              <w:rPr>
                <w:rFonts w:ascii="Arial" w:cs="Arial" w:eastAsia="Arial" w:hAnsi="Arial"/>
                <w:sz w:val="18"/>
                <w:szCs w:val="18"/>
                <w:color w:val="auto"/>
              </w:rPr>
              <w:t>Less: Preferred stock dividends (a)</w:t>
            </w: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3"/>
          </w:tcPr>
          <w:p>
            <w:pPr>
              <w:jc w:val="right"/>
              <w:ind w:right="240"/>
              <w:spacing w:after="0"/>
              <w:rPr>
                <w:sz w:val="20"/>
                <w:szCs w:val="20"/>
                <w:color w:val="auto"/>
              </w:rPr>
            </w:pPr>
            <w:r>
              <w:rPr>
                <w:rFonts w:ascii="Arial" w:cs="Arial" w:eastAsia="Arial" w:hAnsi="Arial"/>
                <w:sz w:val="18"/>
                <w:szCs w:val="18"/>
                <w:color w:val="auto"/>
              </w:rPr>
              <w:t>(17,078)</w:t>
            </w:r>
          </w:p>
        </w:tc>
        <w:tc>
          <w:tcPr>
            <w:tcW w:w="4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(18,130)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650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income available to common equity</w:t>
            </w:r>
          </w:p>
        </w:tc>
        <w:tc>
          <w:tcPr>
            <w:tcW w:w="9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251,744</w:t>
            </w:r>
          </w:p>
        </w:tc>
        <w:tc>
          <w:tcPr>
            <w:tcW w:w="3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464,612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500" w:type="dxa"/>
            <w:vAlign w:val="bottom"/>
          </w:tcPr>
          <w:p>
            <w:pPr>
              <w:ind w:left="20"/>
              <w:spacing w:after="0"/>
              <w:rPr>
                <w:sz w:val="20"/>
                <w:szCs w:val="20"/>
                <w:color w:val="auto"/>
              </w:rPr>
            </w:pPr>
            <w:r>
              <w:rPr>
                <w:rFonts w:ascii="Arial" w:cs="Arial" w:eastAsia="Arial" w:hAnsi="Arial"/>
                <w:sz w:val="18"/>
                <w:szCs w:val="18"/>
                <w:color w:val="auto"/>
              </w:rPr>
              <w:t>Less: Income attributable to unvested stock-based</w:t>
            </w: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500" w:type="dxa"/>
            <w:vAlign w:val="bottom"/>
          </w:tcPr>
          <w:p>
            <w:pPr>
              <w:ind w:left="140"/>
              <w:spacing w:after="0"/>
              <w:rPr>
                <w:sz w:val="20"/>
                <w:szCs w:val="20"/>
                <w:color w:val="auto"/>
              </w:rPr>
            </w:pPr>
            <w:r>
              <w:rPr>
                <w:rFonts w:ascii="Arial" w:cs="Arial" w:eastAsia="Arial" w:hAnsi="Arial"/>
                <w:sz w:val="18"/>
                <w:szCs w:val="18"/>
                <w:color w:val="auto"/>
              </w:rPr>
              <w:t>compensation awards</w:t>
            </w: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3"/>
          </w:tcPr>
          <w:p>
            <w:pPr>
              <w:jc w:val="right"/>
              <w:ind w:right="240"/>
              <w:spacing w:after="0"/>
              <w:rPr>
                <w:sz w:val="20"/>
                <w:szCs w:val="20"/>
                <w:color w:val="auto"/>
              </w:rPr>
            </w:pPr>
            <w:r>
              <w:rPr>
                <w:rFonts w:ascii="Arial" w:cs="Arial" w:eastAsia="Arial" w:hAnsi="Arial"/>
                <w:sz w:val="18"/>
                <w:szCs w:val="18"/>
                <w:color w:val="auto"/>
              </w:rPr>
              <w:t>(1,043)</w:t>
            </w:r>
          </w:p>
        </w:tc>
        <w:tc>
          <w:tcPr>
            <w:tcW w:w="4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(2,526)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Net income available to common shareholders</w:t>
            </w:r>
          </w:p>
        </w:tc>
        <w:tc>
          <w:tcPr>
            <w:tcW w:w="9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250,701</w:t>
            </w:r>
          </w:p>
        </w:tc>
        <w:tc>
          <w:tcPr>
            <w:tcW w:w="3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462,086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Weighted-average shares outstanding:</w:t>
            </w: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Common shares outstanding (including common stock</w:t>
            </w:r>
          </w:p>
        </w:tc>
        <w:tc>
          <w:tcPr>
            <w:tcW w:w="9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5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issuable) and unvested stock-based compensation</w:t>
            </w:r>
          </w:p>
        </w:tc>
        <w:tc>
          <w:tcPr>
            <w:tcW w:w="9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65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awards</w:t>
            </w:r>
          </w:p>
        </w:tc>
        <w:tc>
          <w:tcPr>
            <w:tcW w:w="9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130,440</w:t>
            </w:r>
          </w:p>
        </w:tc>
        <w:tc>
          <w:tcPr>
            <w:tcW w:w="30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138,637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500" w:type="dxa"/>
            <w:vAlign w:val="bottom"/>
          </w:tcPr>
          <w:p>
            <w:pPr>
              <w:ind w:left="20"/>
              <w:spacing w:after="0"/>
              <w:rPr>
                <w:sz w:val="20"/>
                <w:szCs w:val="20"/>
                <w:color w:val="auto"/>
              </w:rPr>
            </w:pPr>
            <w:r>
              <w:rPr>
                <w:rFonts w:ascii="Arial" w:cs="Arial" w:eastAsia="Arial" w:hAnsi="Arial"/>
                <w:sz w:val="18"/>
                <w:szCs w:val="18"/>
                <w:color w:val="auto"/>
              </w:rPr>
              <w:t>Less: Unvested stock-based compensation awards</w:t>
            </w: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3"/>
          </w:tcPr>
          <w:p>
            <w:pPr>
              <w:jc w:val="right"/>
              <w:ind w:right="240"/>
              <w:spacing w:after="0"/>
              <w:rPr>
                <w:sz w:val="20"/>
                <w:szCs w:val="20"/>
                <w:color w:val="auto"/>
              </w:rPr>
            </w:pPr>
            <w:r>
              <w:rPr>
                <w:rFonts w:ascii="Arial" w:cs="Arial" w:eastAsia="Arial" w:hAnsi="Arial"/>
                <w:sz w:val="18"/>
                <w:szCs w:val="18"/>
                <w:color w:val="auto"/>
              </w:rPr>
              <w:t>(744)</w:t>
            </w:r>
          </w:p>
        </w:tc>
        <w:tc>
          <w:tcPr>
            <w:tcW w:w="4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Weighted-average shares outstanding</w:t>
            </w:r>
          </w:p>
        </w:tc>
        <w:tc>
          <w:tcPr>
            <w:tcW w:w="9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129,696</w:t>
            </w:r>
          </w:p>
        </w:tc>
        <w:tc>
          <w:tcPr>
            <w:tcW w:w="3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137,889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6720" w:type="dxa"/>
            <w:vAlign w:val="bottom"/>
            <w:gridSpan w:val="2"/>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6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Basic earnings per common share</w:t>
            </w:r>
          </w:p>
        </w:tc>
        <w:tc>
          <w:tcPr>
            <w:tcW w:w="10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1.93</w:t>
            </w:r>
          </w:p>
        </w:tc>
        <w:tc>
          <w:tcPr>
            <w:tcW w:w="3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220" w:type="dxa"/>
            <w:vAlign w:val="bottom"/>
          </w:tcPr>
          <w:p>
            <w:pPr>
              <w:ind w:left="20"/>
              <w:spacing w:after="0"/>
              <w:rPr>
                <w:sz w:val="20"/>
                <w:szCs w:val="20"/>
                <w:color w:val="auto"/>
              </w:rPr>
            </w:pPr>
            <w:r>
              <w:rPr>
                <w:rFonts w:ascii="Arial" w:cs="Arial" w:eastAsia="Arial" w:hAnsi="Arial"/>
                <w:sz w:val="16"/>
                <w:szCs w:val="16"/>
                <w:i w:val="1"/>
                <w:iCs w:val="1"/>
                <w:color w:val="auto"/>
                <w:w w:val="91"/>
              </w:rPr>
              <w:t>(a)</w:t>
            </w:r>
          </w:p>
        </w:tc>
        <w:tc>
          <w:tcPr>
            <w:tcW w:w="6500" w:type="dxa"/>
            <w:vAlign w:val="bottom"/>
          </w:tcPr>
          <w:p>
            <w:pPr>
              <w:ind w:left="640"/>
              <w:spacing w:after="0"/>
              <w:rPr>
                <w:sz w:val="20"/>
                <w:szCs w:val="20"/>
                <w:color w:val="auto"/>
              </w:rPr>
            </w:pPr>
            <w:r>
              <w:rPr>
                <w:rFonts w:ascii="Arial" w:cs="Arial" w:eastAsia="Arial" w:hAnsi="Arial"/>
                <w:sz w:val="16"/>
                <w:szCs w:val="16"/>
                <w:i w:val="1"/>
                <w:iCs w:val="1"/>
                <w:color w:val="auto"/>
              </w:rPr>
              <w:t>Including impact of not as yet declared cumulative dividends.</w:t>
            </w: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500" w:type="dxa"/>
            <w:vAlign w:val="bottom"/>
          </w:tcPr>
          <w:p>
            <w:pPr>
              <w:ind w:left="280"/>
              <w:spacing w:after="0"/>
              <w:rPr>
                <w:sz w:val="20"/>
                <w:szCs w:val="20"/>
                <w:color w:val="auto"/>
              </w:rPr>
            </w:pPr>
            <w:r>
              <w:rPr>
                <w:rFonts w:ascii="Arial" w:cs="Arial" w:eastAsia="Arial" w:hAnsi="Arial"/>
                <w:sz w:val="21"/>
                <w:szCs w:val="21"/>
                <w:color w:val="auto"/>
              </w:rPr>
              <w:t>The computations of diluted earnings per common share follow:</w:t>
            </w: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96"/>
              </w:rPr>
              <w:t>Three Months Ended March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5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0" w:type="dxa"/>
            <w:vAlign w:val="bottom"/>
            <w:gridSpan w:val="5"/>
          </w:tcPr>
          <w:p>
            <w:pPr>
              <w:jc w:val="right"/>
              <w:ind w:right="112"/>
              <w:spacing w:after="0"/>
              <w:rPr>
                <w:sz w:val="20"/>
                <w:szCs w:val="20"/>
                <w:color w:val="auto"/>
              </w:rPr>
            </w:pPr>
            <w:r>
              <w:rPr>
                <w:rFonts w:ascii="Arial" w:cs="Arial" w:eastAsia="Arial" w:hAnsi="Arial"/>
                <w:sz w:val="14"/>
                <w:szCs w:val="14"/>
                <w:b w:val="1"/>
                <w:bCs w:val="1"/>
                <w:color w:val="auto"/>
                <w:w w:val="91"/>
              </w:rPr>
              <w:t>(In thousands, except per share)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4"/>
        </w:trPr>
        <w:tc>
          <w:tcPr>
            <w:tcW w:w="6740" w:type="dxa"/>
            <w:vAlign w:val="bottom"/>
            <w:gridSpan w:val="3"/>
          </w:tcPr>
          <w:p>
            <w:pPr>
              <w:spacing w:after="0"/>
              <w:rPr>
                <w:sz w:val="20"/>
                <w:szCs w:val="20"/>
                <w:color w:val="auto"/>
              </w:rPr>
            </w:pPr>
            <w:r>
              <w:rPr>
                <w:rFonts w:ascii="Arial" w:cs="Arial" w:eastAsia="Arial" w:hAnsi="Arial"/>
                <w:sz w:val="18"/>
                <w:szCs w:val="18"/>
                <w:color w:val="auto"/>
              </w:rPr>
              <w:t>Net income available to common equity</w:t>
            </w:r>
          </w:p>
        </w:tc>
        <w:tc>
          <w:tcPr>
            <w:tcW w:w="1060" w:type="dxa"/>
            <w:vAlign w:val="bottom"/>
            <w:gridSpan w:val="3"/>
          </w:tcPr>
          <w:p>
            <w:pPr>
              <w:jc w:val="right"/>
              <w:ind w:right="7"/>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251,744</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464,612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Less: Income attributable to unvested stock-based</w:t>
            </w:r>
          </w:p>
        </w:tc>
        <w:tc>
          <w:tcPr>
            <w:tcW w:w="9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65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compensation awards</w:t>
            </w:r>
          </w:p>
        </w:tc>
        <w:tc>
          <w:tcPr>
            <w:tcW w:w="9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80" w:type="dxa"/>
            <w:vAlign w:val="bottom"/>
            <w:gridSpan w:val="3"/>
            <w:shd w:val="clear" w:color="auto" w:fill="CFF0FC"/>
          </w:tcPr>
          <w:p>
            <w:pPr>
              <w:jc w:val="right"/>
              <w:ind w:right="260"/>
              <w:spacing w:after="0"/>
              <w:rPr>
                <w:sz w:val="20"/>
                <w:szCs w:val="20"/>
                <w:color w:val="auto"/>
              </w:rPr>
            </w:pPr>
            <w:r>
              <w:rPr>
                <w:rFonts w:ascii="Arial" w:cs="Arial" w:eastAsia="Arial" w:hAnsi="Arial"/>
                <w:sz w:val="18"/>
                <w:szCs w:val="18"/>
                <w:color w:val="auto"/>
              </w:rPr>
              <w:t>(1,043)</w:t>
            </w:r>
          </w:p>
        </w:tc>
        <w:tc>
          <w:tcPr>
            <w:tcW w:w="4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(2,526)</w:t>
            </w:r>
          </w:p>
        </w:tc>
        <w:tc>
          <w:tcPr>
            <w:tcW w:w="0" w:type="dxa"/>
            <w:vAlign w:val="bottom"/>
          </w:tcPr>
          <w:p>
            <w:pPr>
              <w:spacing w:after="0"/>
              <w:rPr>
                <w:sz w:val="1"/>
                <w:szCs w:val="1"/>
                <w:color w:val="auto"/>
              </w:rPr>
            </w:pPr>
          </w:p>
        </w:tc>
      </w:tr>
      <w:tr>
        <w:trPr>
          <w:trHeight w:val="223"/>
        </w:trPr>
        <w:tc>
          <w:tcPr>
            <w:tcW w:w="6740" w:type="dxa"/>
            <w:vAlign w:val="bottom"/>
            <w:gridSpan w:val="3"/>
          </w:tcPr>
          <w:p>
            <w:pPr>
              <w:spacing w:after="0"/>
              <w:rPr>
                <w:sz w:val="20"/>
                <w:szCs w:val="20"/>
                <w:color w:val="auto"/>
              </w:rPr>
            </w:pPr>
            <w:r>
              <w:rPr>
                <w:rFonts w:ascii="Arial" w:cs="Arial" w:eastAsia="Arial" w:hAnsi="Arial"/>
                <w:sz w:val="18"/>
                <w:szCs w:val="18"/>
                <w:color w:val="auto"/>
              </w:rPr>
              <w:t>Net income available to common shareholders</w:t>
            </w:r>
          </w:p>
        </w:tc>
        <w:tc>
          <w:tcPr>
            <w:tcW w:w="900" w:type="dxa"/>
            <w:vAlign w:val="bottom"/>
          </w:tcPr>
          <w:p>
            <w:pPr>
              <w:spacing w:after="0"/>
              <w:rPr>
                <w:sz w:val="19"/>
                <w:szCs w:val="19"/>
                <w:color w:val="auto"/>
              </w:rPr>
            </w:pPr>
          </w:p>
        </w:tc>
        <w:tc>
          <w:tcPr>
            <w:tcW w:w="160" w:type="dxa"/>
            <w:vAlign w:val="bottom"/>
            <w:tcBorders>
              <w:top w:val="single" w:sz="8" w:color="auto"/>
            </w:tcBorders>
            <w:gridSpan w:val="2"/>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250,701</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462,086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Adjusted weighted-average shares outstanding:</w:t>
            </w:r>
          </w:p>
        </w:tc>
        <w:tc>
          <w:tcPr>
            <w:tcW w:w="9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500" w:type="dxa"/>
            <w:vAlign w:val="bottom"/>
          </w:tcPr>
          <w:p>
            <w:pPr>
              <w:ind w:left="20"/>
              <w:spacing w:after="0"/>
              <w:rPr>
                <w:sz w:val="20"/>
                <w:szCs w:val="20"/>
                <w:color w:val="auto"/>
              </w:rPr>
            </w:pPr>
            <w:r>
              <w:rPr>
                <w:rFonts w:ascii="Arial" w:cs="Arial" w:eastAsia="Arial" w:hAnsi="Arial"/>
                <w:sz w:val="18"/>
                <w:szCs w:val="18"/>
                <w:color w:val="auto"/>
              </w:rPr>
              <w:t>Common and unvested stock-based compensation</w:t>
            </w: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500" w:type="dxa"/>
            <w:vAlign w:val="bottom"/>
          </w:tcPr>
          <w:p>
            <w:pPr>
              <w:ind w:left="140"/>
              <w:spacing w:after="0"/>
              <w:rPr>
                <w:sz w:val="20"/>
                <w:szCs w:val="20"/>
                <w:color w:val="auto"/>
              </w:rPr>
            </w:pPr>
            <w:r>
              <w:rPr>
                <w:rFonts w:ascii="Arial" w:cs="Arial" w:eastAsia="Arial" w:hAnsi="Arial"/>
                <w:sz w:val="18"/>
                <w:szCs w:val="18"/>
                <w:color w:val="auto"/>
              </w:rPr>
              <w:t>awards</w:t>
            </w: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130,440</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138,637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Less: Unvested stock-based compensation awards</w:t>
            </w:r>
          </w:p>
        </w:tc>
        <w:tc>
          <w:tcPr>
            <w:tcW w:w="9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gridSpan w:val="3"/>
            <w:shd w:val="clear" w:color="auto" w:fill="CFF0FC"/>
          </w:tcPr>
          <w:p>
            <w:pPr>
              <w:jc w:val="right"/>
              <w:ind w:right="260"/>
              <w:spacing w:after="0"/>
              <w:rPr>
                <w:sz w:val="20"/>
                <w:szCs w:val="20"/>
                <w:color w:val="auto"/>
              </w:rPr>
            </w:pPr>
            <w:r>
              <w:rPr>
                <w:rFonts w:ascii="Arial" w:cs="Arial" w:eastAsia="Arial" w:hAnsi="Arial"/>
                <w:sz w:val="18"/>
                <w:szCs w:val="18"/>
                <w:color w:val="auto"/>
              </w:rPr>
              <w:t>(744)</w:t>
            </w:r>
          </w:p>
        </w:tc>
        <w:tc>
          <w:tcPr>
            <w:tcW w:w="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500" w:type="dxa"/>
            <w:vAlign w:val="bottom"/>
          </w:tcPr>
          <w:p>
            <w:pPr>
              <w:ind w:left="20"/>
              <w:spacing w:after="0"/>
              <w:rPr>
                <w:sz w:val="20"/>
                <w:szCs w:val="20"/>
                <w:color w:val="auto"/>
              </w:rPr>
            </w:pPr>
            <w:r>
              <w:rPr>
                <w:rFonts w:ascii="Arial" w:cs="Arial" w:eastAsia="Arial" w:hAnsi="Arial"/>
                <w:sz w:val="18"/>
                <w:szCs w:val="18"/>
                <w:color w:val="auto"/>
              </w:rPr>
              <w:t>Plus: Incremental shares from assumed conversion of</w:t>
            </w: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500" w:type="dxa"/>
            <w:vAlign w:val="bottom"/>
          </w:tcPr>
          <w:p>
            <w:pPr>
              <w:ind w:left="140"/>
              <w:spacing w:after="0"/>
              <w:rPr>
                <w:sz w:val="20"/>
                <w:szCs w:val="20"/>
                <w:color w:val="auto"/>
              </w:rPr>
            </w:pPr>
            <w:r>
              <w:rPr>
                <w:rFonts w:ascii="Arial" w:cs="Arial" w:eastAsia="Arial" w:hAnsi="Arial"/>
                <w:sz w:val="18"/>
                <w:szCs w:val="18"/>
                <w:color w:val="auto"/>
              </w:rPr>
              <w:t>stock-based compensation awards and warrants to</w:t>
            </w: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0" w:type="dxa"/>
            <w:vAlign w:val="bottom"/>
            <w:tcBorders>
              <w:bottom w:val="single" w:sz="8" w:color="CFF0FC"/>
            </w:tcBorders>
          </w:tcPr>
          <w:p>
            <w:pPr>
              <w:spacing w:after="0"/>
              <w:rPr>
                <w:sz w:val="20"/>
                <w:szCs w:val="20"/>
                <w:color w:val="auto"/>
              </w:rPr>
            </w:pPr>
          </w:p>
        </w:tc>
        <w:tc>
          <w:tcPr>
            <w:tcW w:w="650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purchase common stock</w:t>
            </w:r>
          </w:p>
        </w:tc>
        <w:tc>
          <w:tcPr>
            <w:tcW w:w="900" w:type="dxa"/>
            <w:vAlign w:val="bottom"/>
            <w:tcBorders>
              <w:bottom w:val="single" w:sz="8" w:color="CFF0FC"/>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20" w:type="dxa"/>
            <w:vAlign w:val="bottom"/>
            <w:tcBorders>
              <w:bottom w:val="single" w:sz="8" w:color="CFF0FC"/>
            </w:tcBorders>
          </w:tcPr>
          <w:p>
            <w:pPr>
              <w:spacing w:after="0"/>
              <w:rPr>
                <w:sz w:val="20"/>
                <w:szCs w:val="20"/>
                <w:color w:val="auto"/>
              </w:rPr>
            </w:pPr>
          </w:p>
        </w:tc>
        <w:tc>
          <w:tcPr>
            <w:tcW w:w="300" w:type="dxa"/>
            <w:vAlign w:val="bottom"/>
            <w:tcBorders>
              <w:bottom w:val="single" w:sz="8" w:color="CFF0FC"/>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Adjusted weighted-average shares outstanding</w:t>
            </w:r>
          </w:p>
        </w:tc>
        <w:tc>
          <w:tcPr>
            <w:tcW w:w="9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129,755</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137,920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6720" w:type="dxa"/>
            <w:vAlign w:val="bottom"/>
            <w:gridSpan w:val="2"/>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gridSpan w:val="2"/>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6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Diluted earnings per common share</w:t>
            </w:r>
          </w:p>
        </w:tc>
        <w:tc>
          <w:tcPr>
            <w:tcW w:w="1060" w:type="dxa"/>
            <w:vAlign w:val="bottom"/>
            <w:gridSpan w:val="3"/>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NOTES TO FINANCIAL STATEMENTS, CONTINUED</w:t>
      </w:r>
    </w:p>
    <w:p>
      <w:pPr>
        <w:spacing w:after="0" w:line="21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7. Earnings per common share, continued</w:t>
      </w:r>
    </w:p>
    <w:p>
      <w:pPr>
        <w:spacing w:after="0" w:line="115" w:lineRule="exact"/>
        <w:rPr>
          <w:sz w:val="20"/>
          <w:szCs w:val="20"/>
          <w:color w:val="auto"/>
        </w:rPr>
      </w:pPr>
    </w:p>
    <w:p>
      <w:pPr>
        <w:jc w:val="both"/>
        <w:ind w:firstLine="510"/>
        <w:spacing w:after="0" w:line="248" w:lineRule="auto"/>
        <w:rPr>
          <w:sz w:val="20"/>
          <w:szCs w:val="20"/>
          <w:color w:val="auto"/>
        </w:rPr>
      </w:pPr>
      <w:r>
        <w:rPr>
          <w:rFonts w:ascii="Arial" w:cs="Arial" w:eastAsia="Arial" w:hAnsi="Arial"/>
          <w:sz w:val="21"/>
          <w:szCs w:val="21"/>
          <w:color w:val="auto"/>
        </w:rPr>
        <w:t>GAAP defines unvested share-based awards that contain nonforfeitable rights to dividends or dividend equivalents (whether paid or unpaid) as participating securities that shall be included in the computation of earnings per common share pursuant to the two-class method. The Company has issued stock-based compensation awards in the form of restricted stock and restricted stock units which, in accordance with GAAP, are considered participating securities.</w:t>
      </w:r>
    </w:p>
    <w:p>
      <w:pPr>
        <w:spacing w:after="0" w:line="81"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20"/>
          <w:szCs w:val="20"/>
          <w:color w:val="auto"/>
        </w:rPr>
        <w:t>Stock-based compensation awards and warrants to purchase common stock of M&amp;T representing 464,694 and 280,818 common shares during the three-month periods ended March 31, 2020 and 2019, respectively, were not included in the computations of diluted earnings per common share because the effect on those periods would have been antidilutive.</w:t>
      </w:r>
    </w:p>
    <w:p>
      <w:pPr>
        <w:spacing w:after="0" w:line="51"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8. Comprehensive income</w:t>
      </w:r>
    </w:p>
    <w:p>
      <w:pPr>
        <w:spacing w:after="0" w:line="115" w:lineRule="exact"/>
        <w:rPr>
          <w:sz w:val="20"/>
          <w:szCs w:val="20"/>
          <w:color w:val="auto"/>
        </w:rPr>
      </w:pPr>
    </w:p>
    <w:p>
      <w:pPr>
        <w:jc w:val="both"/>
        <w:spacing w:after="0" w:line="251" w:lineRule="auto"/>
        <w:rPr>
          <w:sz w:val="20"/>
          <w:szCs w:val="20"/>
          <w:color w:val="auto"/>
        </w:rPr>
      </w:pPr>
      <w:r>
        <w:rPr>
          <w:rFonts w:ascii="Arial" w:cs="Arial" w:eastAsia="Arial" w:hAnsi="Arial"/>
          <w:sz w:val="21"/>
          <w:szCs w:val="21"/>
          <w:color w:val="auto"/>
        </w:rPr>
        <w:t>The following tables display the components of other comprehensive income (loss) and amounts reclassified from accumulated other comprehensive income (loss) to net income:</w:t>
      </w:r>
    </w:p>
    <w:tbl>
      <w:tblPr>
        <w:tblLayout w:type="fixed"/>
        <w:tblInd w:w="0" w:type="dxa"/>
        <w:tblCellMar>
          <w:top w:w="0" w:type="dxa"/>
          <w:left w:w="0" w:type="dxa"/>
          <w:bottom w:w="0" w:type="dxa"/>
          <w:right w:w="0" w:type="dxa"/>
        </w:tblCellMar>
      </w:tblPr>
      <w:tr>
        <w:trPr>
          <w:trHeight w:val="143"/>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40"/>
              <w:spacing w:after="0" w:line="143" w:lineRule="exact"/>
              <w:rPr>
                <w:sz w:val="20"/>
                <w:szCs w:val="20"/>
                <w:color w:val="auto"/>
              </w:rPr>
            </w:pPr>
            <w:r>
              <w:rPr>
                <w:rFonts w:ascii="Arial" w:cs="Arial" w:eastAsia="Arial" w:hAnsi="Arial"/>
                <w:sz w:val="13"/>
                <w:szCs w:val="13"/>
                <w:b w:val="1"/>
                <w:bCs w:val="1"/>
                <w:color w:val="auto"/>
                <w:w w:val="96"/>
              </w:rPr>
              <w:t>Defined</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right="128"/>
              <w:spacing w:after="0" w:line="143" w:lineRule="exact"/>
              <w:rPr>
                <w:sz w:val="20"/>
                <w:szCs w:val="20"/>
                <w:color w:val="auto"/>
              </w:rPr>
            </w:pPr>
            <w:r>
              <w:rPr>
                <w:rFonts w:ascii="Arial" w:cs="Arial" w:eastAsia="Arial" w:hAnsi="Arial"/>
                <w:sz w:val="13"/>
                <w:szCs w:val="13"/>
                <w:b w:val="1"/>
                <w:bCs w:val="1"/>
                <w:color w:val="auto"/>
                <w:w w:val="89"/>
              </w:rPr>
              <w:t>Total</w:t>
            </w: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3"/>
                <w:szCs w:val="13"/>
                <w:b w:val="1"/>
                <w:bCs w:val="1"/>
                <w:color w:val="auto"/>
              </w:rPr>
              <w:t>Investment</w:t>
            </w:r>
          </w:p>
        </w:tc>
        <w:tc>
          <w:tcPr>
            <w:tcW w:w="12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5"/>
              </w:rPr>
              <w:t>Benefit</w:t>
            </w: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center"/>
              <w:ind w:right="128"/>
              <w:spacing w:after="0"/>
              <w:rPr>
                <w:sz w:val="20"/>
                <w:szCs w:val="20"/>
                <w:color w:val="auto"/>
              </w:rPr>
            </w:pPr>
            <w:r>
              <w:rPr>
                <w:rFonts w:ascii="Arial" w:cs="Arial" w:eastAsia="Arial" w:hAnsi="Arial"/>
                <w:sz w:val="13"/>
                <w:szCs w:val="13"/>
                <w:b w:val="1"/>
                <w:bCs w:val="1"/>
                <w:color w:val="auto"/>
                <w:w w:val="97"/>
              </w:rPr>
              <w:t>Amount</w:t>
            </w:r>
          </w:p>
        </w:tc>
        <w:tc>
          <w:tcPr>
            <w:tcW w:w="340" w:type="dxa"/>
            <w:vAlign w:val="bottom"/>
          </w:tcPr>
          <w:p>
            <w:pPr>
              <w:spacing w:after="0"/>
              <w:rPr>
                <w:sz w:val="14"/>
                <w:szCs w:val="1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Income</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gridSpan w:val="3"/>
          </w:tcPr>
          <w:p>
            <w:pPr>
              <w:ind w:left="40"/>
              <w:spacing w:after="0"/>
              <w:rPr>
                <w:sz w:val="20"/>
                <w:szCs w:val="20"/>
                <w:color w:val="auto"/>
              </w:rPr>
            </w:pPr>
            <w:r>
              <w:rPr>
                <w:rFonts w:ascii="Arial" w:cs="Arial" w:eastAsia="Arial" w:hAnsi="Arial"/>
                <w:sz w:val="13"/>
                <w:szCs w:val="13"/>
                <w:b w:val="1"/>
                <w:bCs w:val="1"/>
                <w:color w:val="auto"/>
              </w:rPr>
              <w:t>Securities</w:t>
            </w:r>
          </w:p>
        </w:tc>
        <w:tc>
          <w:tcPr>
            <w:tcW w:w="12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Plans</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Other</w:t>
            </w:r>
          </w:p>
        </w:tc>
        <w:tc>
          <w:tcPr>
            <w:tcW w:w="840" w:type="dxa"/>
            <w:vAlign w:val="bottom"/>
            <w:gridSpan w:val="3"/>
          </w:tcPr>
          <w:p>
            <w:pPr>
              <w:jc w:val="center"/>
              <w:ind w:right="28"/>
              <w:spacing w:after="0"/>
              <w:rPr>
                <w:sz w:val="20"/>
                <w:szCs w:val="20"/>
                <w:color w:val="auto"/>
              </w:rPr>
            </w:pPr>
            <w:r>
              <w:rPr>
                <w:rFonts w:ascii="Arial" w:cs="Arial" w:eastAsia="Arial" w:hAnsi="Arial"/>
                <w:sz w:val="13"/>
                <w:szCs w:val="13"/>
                <w:b w:val="1"/>
                <w:bCs w:val="1"/>
                <w:color w:val="auto"/>
                <w:w w:val="92"/>
              </w:rPr>
              <w:t>Before Tax</w:t>
            </w:r>
          </w:p>
        </w:tc>
        <w:tc>
          <w:tcPr>
            <w:tcW w:w="340" w:type="dxa"/>
            <w:vAlign w:val="bottom"/>
          </w:tcPr>
          <w:p>
            <w:pPr>
              <w:spacing w:after="0"/>
              <w:rPr>
                <w:sz w:val="14"/>
                <w:szCs w:val="14"/>
                <w:color w:val="auto"/>
              </w:rPr>
            </w:pPr>
          </w:p>
        </w:tc>
        <w:tc>
          <w:tcPr>
            <w:tcW w:w="92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Tax</w:t>
            </w:r>
          </w:p>
        </w:tc>
        <w:tc>
          <w:tcPr>
            <w:tcW w:w="120" w:type="dxa"/>
            <w:vAlign w:val="bottom"/>
          </w:tcPr>
          <w:p>
            <w:pPr>
              <w:spacing w:after="0"/>
              <w:rPr>
                <w:sz w:val="14"/>
                <w:szCs w:val="14"/>
                <w:color w:val="auto"/>
              </w:rPr>
            </w:pPr>
          </w:p>
        </w:tc>
        <w:tc>
          <w:tcPr>
            <w:tcW w:w="700" w:type="dxa"/>
            <w:vAlign w:val="bottom"/>
            <w:gridSpan w:val="2"/>
          </w:tcPr>
          <w:p>
            <w:pPr>
              <w:jc w:val="right"/>
              <w:ind w:right="339"/>
              <w:spacing w:after="0"/>
              <w:rPr>
                <w:sz w:val="20"/>
                <w:szCs w:val="20"/>
                <w:color w:val="auto"/>
              </w:rPr>
            </w:pPr>
            <w:r>
              <w:rPr>
                <w:rFonts w:ascii="Arial" w:cs="Arial" w:eastAsia="Arial" w:hAnsi="Arial"/>
                <w:sz w:val="13"/>
                <w:szCs w:val="13"/>
                <w:b w:val="1"/>
                <w:bCs w:val="1"/>
                <w:color w:val="auto"/>
              </w:rPr>
              <w:t>Net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740" w:type="dxa"/>
            <w:vAlign w:val="bottom"/>
            <w:tcBorders>
              <w:top w:val="single" w:sz="8" w:color="auto"/>
            </w:tcBorders>
            <w:gridSpan w:val="5"/>
          </w:tcPr>
          <w:p>
            <w:pPr>
              <w:jc w:val="center"/>
              <w:ind w:left="88"/>
              <w:spacing w:after="0"/>
              <w:rPr>
                <w:sz w:val="20"/>
                <w:szCs w:val="20"/>
                <w:color w:val="auto"/>
              </w:rPr>
            </w:pPr>
            <w:r>
              <w:rPr>
                <w:rFonts w:ascii="Arial" w:cs="Arial" w:eastAsia="Arial" w:hAnsi="Arial"/>
                <w:sz w:val="13"/>
                <w:szCs w:val="13"/>
                <w:b w:val="1"/>
                <w:bCs w:val="1"/>
                <w:color w:val="auto"/>
                <w:w w:val="91"/>
              </w:rPr>
              <w:t>(In thousands)</w:t>
            </w:r>
          </w:p>
        </w:tc>
        <w:tc>
          <w:tcPr>
            <w:tcW w:w="34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1"/>
        </w:trPr>
        <w:tc>
          <w:tcPr>
            <w:tcW w:w="4740" w:type="dxa"/>
            <w:vAlign w:val="bottom"/>
            <w:gridSpan w:val="2"/>
          </w:tcPr>
          <w:p>
            <w:pPr>
              <w:spacing w:after="0"/>
              <w:rPr>
                <w:sz w:val="20"/>
                <w:szCs w:val="20"/>
                <w:color w:val="auto"/>
              </w:rPr>
            </w:pPr>
            <w:r>
              <w:rPr>
                <w:rFonts w:ascii="Arial" w:cs="Arial" w:eastAsia="Arial" w:hAnsi="Arial"/>
                <w:sz w:val="14"/>
                <w:szCs w:val="14"/>
                <w:color w:val="auto"/>
              </w:rPr>
              <w:t>Balance — January 1, 2020</w:t>
            </w:r>
          </w:p>
        </w:tc>
        <w:tc>
          <w:tcPr>
            <w:tcW w:w="98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50,701</w:t>
            </w:r>
          </w:p>
        </w:tc>
        <w:tc>
          <w:tcPr>
            <w:tcW w:w="100" w:type="dxa"/>
            <w:vAlign w:val="bottom"/>
          </w:tcPr>
          <w:p>
            <w:pPr>
              <w:spacing w:after="0"/>
              <w:rPr>
                <w:sz w:val="24"/>
                <w:szCs w:val="24"/>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4"/>
                <w:szCs w:val="14"/>
                <w:color w:val="auto"/>
              </w:rPr>
              <w:t>(464,548)</w:t>
            </w:r>
          </w:p>
        </w:tc>
        <w:tc>
          <w:tcPr>
            <w:tcW w:w="680" w:type="dxa"/>
            <w:vAlign w:val="bottom"/>
          </w:tcPr>
          <w:p>
            <w:pPr>
              <w:jc w:val="right"/>
              <w:spacing w:after="0"/>
              <w:rPr>
                <w:sz w:val="20"/>
                <w:szCs w:val="20"/>
                <w:color w:val="auto"/>
              </w:rPr>
            </w:pPr>
            <w:r>
              <w:rPr>
                <w:rFonts w:ascii="Arial" w:cs="Arial" w:eastAsia="Arial" w:hAnsi="Arial"/>
                <w:sz w:val="14"/>
                <w:szCs w:val="14"/>
                <w:color w:val="auto"/>
              </w:rPr>
              <w:t>133,888</w:t>
            </w:r>
          </w:p>
        </w:tc>
        <w:tc>
          <w:tcPr>
            <w:tcW w:w="220" w:type="dxa"/>
            <w:vAlign w:val="bottom"/>
          </w:tcPr>
          <w:p>
            <w:pPr>
              <w:spacing w:after="0"/>
              <w:rPr>
                <w:sz w:val="24"/>
                <w:szCs w:val="24"/>
                <w:color w:val="auto"/>
              </w:rPr>
            </w:pPr>
          </w:p>
        </w:tc>
        <w:tc>
          <w:tcPr>
            <w:tcW w:w="120" w:type="dxa"/>
            <w:vAlign w:val="bottom"/>
          </w:tcPr>
          <w:p>
            <w:pPr>
              <w:jc w:val="center"/>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(279,959)</w:t>
            </w:r>
          </w:p>
        </w:tc>
        <w:tc>
          <w:tcPr>
            <w:tcW w:w="3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73,279</w:t>
            </w:r>
          </w:p>
        </w:tc>
        <w:tc>
          <w:tcPr>
            <w:tcW w:w="240" w:type="dxa"/>
            <w:vAlign w:val="bottom"/>
          </w:tcPr>
          <w:p>
            <w:pPr>
              <w:spacing w:after="0"/>
              <w:rPr>
                <w:sz w:val="24"/>
                <w:szCs w:val="24"/>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9"/>
              <w:spacing w:after="0"/>
              <w:rPr>
                <w:sz w:val="20"/>
                <w:szCs w:val="20"/>
                <w:color w:val="auto"/>
              </w:rPr>
            </w:pPr>
            <w:r>
              <w:rPr>
                <w:rFonts w:ascii="Arial" w:cs="Arial" w:eastAsia="Arial" w:hAnsi="Arial"/>
                <w:sz w:val="14"/>
                <w:szCs w:val="14"/>
                <w:color w:val="auto"/>
              </w:rPr>
              <w:t>(206,680)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20" w:type="dxa"/>
            <w:vAlign w:val="bottom"/>
            <w:shd w:val="clear" w:color="auto" w:fill="CFF0FC"/>
          </w:tcPr>
          <w:p>
            <w:pPr>
              <w:spacing w:after="0"/>
              <w:rPr>
                <w:sz w:val="20"/>
                <w:szCs w:val="20"/>
                <w:color w:val="auto"/>
              </w:rPr>
            </w:pPr>
            <w:r>
              <w:rPr>
                <w:rFonts w:ascii="Arial" w:cs="Arial" w:eastAsia="Arial" w:hAnsi="Arial"/>
                <w:sz w:val="14"/>
                <w:szCs w:val="14"/>
                <w:color w:val="auto"/>
              </w:rPr>
              <w:t>Other comprehensive income before reclassifications:</w:t>
            </w: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20" w:type="dxa"/>
            <w:vAlign w:val="bottom"/>
          </w:tcPr>
          <w:p>
            <w:pPr>
              <w:ind w:left="240"/>
              <w:spacing w:after="0"/>
              <w:rPr>
                <w:sz w:val="20"/>
                <w:szCs w:val="20"/>
                <w:color w:val="auto"/>
              </w:rPr>
            </w:pPr>
            <w:r>
              <w:rPr>
                <w:rFonts w:ascii="Arial" w:cs="Arial" w:eastAsia="Arial" w:hAnsi="Arial"/>
                <w:sz w:val="14"/>
                <w:szCs w:val="14"/>
                <w:color w:val="auto"/>
              </w:rPr>
              <w:t>Unrealized holding gains, net</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131,423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131,423</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(34,544)</w:t>
            </w: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96,879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20" w:type="dxa"/>
            <w:vAlign w:val="bottom"/>
            <w:shd w:val="clear" w:color="auto" w:fill="CFF0FC"/>
          </w:tcPr>
          <w:p>
            <w:pPr>
              <w:ind w:left="240"/>
              <w:spacing w:after="0"/>
              <w:rPr>
                <w:sz w:val="20"/>
                <w:szCs w:val="20"/>
                <w:color w:val="auto"/>
              </w:rPr>
            </w:pPr>
            <w:r>
              <w:rPr>
                <w:rFonts w:ascii="Arial" w:cs="Arial" w:eastAsia="Arial" w:hAnsi="Arial"/>
                <w:sz w:val="14"/>
                <w:szCs w:val="14"/>
                <w:color w:val="auto"/>
              </w:rPr>
              <w:t>Foreign currency translation adjustment</w:t>
            </w: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79"/>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(3,225)</w:t>
            </w:r>
          </w:p>
        </w:tc>
        <w:tc>
          <w:tcPr>
            <w:tcW w:w="12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(3,225)</w:t>
            </w:r>
          </w:p>
        </w:tc>
        <w:tc>
          <w:tcPr>
            <w:tcW w:w="34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282</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9"/>
              <w:spacing w:after="0"/>
              <w:rPr>
                <w:sz w:val="20"/>
                <w:szCs w:val="20"/>
                <w:color w:val="auto"/>
              </w:rPr>
            </w:pPr>
            <w:r>
              <w:rPr>
                <w:rFonts w:ascii="Arial" w:cs="Arial" w:eastAsia="Arial" w:hAnsi="Arial"/>
                <w:sz w:val="14"/>
                <w:szCs w:val="14"/>
                <w:color w:val="auto"/>
              </w:rPr>
              <w:t>(2,943)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20" w:type="dxa"/>
            <w:vAlign w:val="bottom"/>
          </w:tcPr>
          <w:p>
            <w:pPr>
              <w:ind w:left="240"/>
              <w:spacing w:after="0"/>
              <w:rPr>
                <w:sz w:val="20"/>
                <w:szCs w:val="20"/>
                <w:color w:val="auto"/>
              </w:rPr>
            </w:pPr>
            <w:r>
              <w:rPr>
                <w:rFonts w:ascii="Arial" w:cs="Arial" w:eastAsia="Arial" w:hAnsi="Arial"/>
                <w:sz w:val="14"/>
                <w:szCs w:val="14"/>
                <w:color w:val="auto"/>
              </w:rPr>
              <w:t>Unrealized gains on cash flow hedges</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7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456,333</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456,333</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(119,970)</w:t>
            </w: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336,363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720" w:type="dxa"/>
            <w:vAlign w:val="bottom"/>
            <w:tcBorders>
              <w:top w:val="single" w:sz="8" w:color="CFF0FC"/>
            </w:tcBorders>
            <w:shd w:val="clear" w:color="auto" w:fill="CFF0FC"/>
          </w:tcPr>
          <w:p>
            <w:pPr>
              <w:spacing w:after="0" w:line="123" w:lineRule="exact"/>
              <w:rPr>
                <w:sz w:val="20"/>
                <w:szCs w:val="20"/>
                <w:color w:val="auto"/>
              </w:rPr>
            </w:pPr>
            <w:r>
              <w:rPr>
                <w:rFonts w:ascii="Arial" w:cs="Arial" w:eastAsia="Arial" w:hAnsi="Arial"/>
                <w:sz w:val="14"/>
                <w:szCs w:val="14"/>
                <w:color w:val="auto"/>
              </w:rPr>
              <w:t>Total other comprehensive income before</w:t>
            </w:r>
          </w:p>
        </w:tc>
        <w:tc>
          <w:tcPr>
            <w:tcW w:w="88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58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680" w:type="dxa"/>
            <w:vAlign w:val="bottom"/>
            <w:tcBorders>
              <w:top w:val="single" w:sz="8" w:color="auto"/>
            </w:tcBorders>
            <w:shd w:val="clear" w:color="auto" w:fill="CFF0FC"/>
          </w:tcPr>
          <w:p>
            <w:pPr>
              <w:spacing w:after="0"/>
              <w:rPr>
                <w:sz w:val="10"/>
                <w:szCs w:val="10"/>
                <w:color w:val="auto"/>
              </w:rPr>
            </w:pPr>
          </w:p>
        </w:tc>
        <w:tc>
          <w:tcPr>
            <w:tcW w:w="220" w:type="dxa"/>
            <w:vAlign w:val="bottom"/>
            <w:tcBorders>
              <w:top w:val="single" w:sz="8" w:color="CFF0FC"/>
            </w:tcBorders>
            <w:shd w:val="clear" w:color="auto" w:fill="CFF0FC"/>
          </w:tcPr>
          <w:p>
            <w:pPr>
              <w:spacing w:after="0"/>
              <w:rPr>
                <w:sz w:val="10"/>
                <w:szCs w:val="10"/>
                <w:color w:val="auto"/>
              </w:rPr>
            </w:pPr>
          </w:p>
        </w:tc>
        <w:tc>
          <w:tcPr>
            <w:tcW w:w="680" w:type="dxa"/>
            <w:vAlign w:val="bottom"/>
            <w:tcBorders>
              <w:top w:val="single" w:sz="8" w:color="auto"/>
            </w:tcBorders>
            <w:shd w:val="clear" w:color="auto" w:fill="CFF0FC"/>
          </w:tcPr>
          <w:p>
            <w:pPr>
              <w:spacing w:after="0"/>
              <w:rPr>
                <w:sz w:val="10"/>
                <w:szCs w:val="10"/>
                <w:color w:val="auto"/>
              </w:rPr>
            </w:pPr>
          </w:p>
        </w:tc>
        <w:tc>
          <w:tcPr>
            <w:tcW w:w="22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640" w:type="dxa"/>
            <w:vAlign w:val="bottom"/>
            <w:tcBorders>
              <w:top w:val="single" w:sz="8" w:color="auto"/>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340" w:type="dxa"/>
            <w:vAlign w:val="bottom"/>
            <w:tcBorders>
              <w:top w:val="single" w:sz="8" w:color="CFF0FC"/>
            </w:tcBorders>
            <w:shd w:val="clear" w:color="auto" w:fill="CFF0FC"/>
          </w:tcPr>
          <w:p>
            <w:pPr>
              <w:spacing w:after="0"/>
              <w:rPr>
                <w:sz w:val="10"/>
                <w:szCs w:val="10"/>
                <w:color w:val="auto"/>
              </w:rPr>
            </w:pPr>
          </w:p>
        </w:tc>
        <w:tc>
          <w:tcPr>
            <w:tcW w:w="68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60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720" w:type="dxa"/>
            <w:vAlign w:val="bottom"/>
            <w:shd w:val="clear" w:color="auto" w:fill="CFF0FC"/>
          </w:tcPr>
          <w:p>
            <w:pPr>
              <w:ind w:left="100"/>
              <w:spacing w:after="0"/>
              <w:rPr>
                <w:sz w:val="20"/>
                <w:szCs w:val="20"/>
                <w:color w:val="auto"/>
              </w:rPr>
            </w:pPr>
            <w:r>
              <w:rPr>
                <w:rFonts w:ascii="Arial" w:cs="Arial" w:eastAsia="Arial" w:hAnsi="Arial"/>
                <w:sz w:val="14"/>
                <w:szCs w:val="14"/>
                <w:color w:val="auto"/>
              </w:rPr>
              <w:t>reclassifications</w:t>
            </w: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131,423</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453,108</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584,531</w:t>
            </w:r>
          </w:p>
        </w:tc>
        <w:tc>
          <w:tcPr>
            <w:tcW w:w="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(154,232)</w:t>
            </w: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430,299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4740" w:type="dxa"/>
            <w:vAlign w:val="bottom"/>
            <w:gridSpan w:val="2"/>
          </w:tcPr>
          <w:p>
            <w:pPr>
              <w:spacing w:after="0" w:line="137" w:lineRule="exact"/>
              <w:rPr>
                <w:sz w:val="20"/>
                <w:szCs w:val="20"/>
                <w:color w:val="auto"/>
              </w:rPr>
            </w:pPr>
            <w:r>
              <w:rPr>
                <w:rFonts w:ascii="Arial" w:cs="Arial" w:eastAsia="Arial" w:hAnsi="Arial"/>
                <w:sz w:val="14"/>
                <w:szCs w:val="14"/>
                <w:color w:val="auto"/>
              </w:rPr>
              <w:t>Amounts reclassified from accumulated other</w:t>
            </w:r>
          </w:p>
        </w:tc>
        <w:tc>
          <w:tcPr>
            <w:tcW w:w="8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720" w:type="dxa"/>
            <w:vAlign w:val="bottom"/>
          </w:tcPr>
          <w:p>
            <w:pPr>
              <w:ind w:left="100"/>
              <w:spacing w:after="0"/>
              <w:rPr>
                <w:sz w:val="20"/>
                <w:szCs w:val="20"/>
                <w:color w:val="auto"/>
              </w:rPr>
            </w:pPr>
            <w:r>
              <w:rPr>
                <w:rFonts w:ascii="Arial" w:cs="Arial" w:eastAsia="Arial" w:hAnsi="Arial"/>
                <w:sz w:val="14"/>
                <w:szCs w:val="14"/>
                <w:color w:val="auto"/>
              </w:rPr>
              <w:t>comprehensive income that (increase) decrease net income:</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720" w:type="dxa"/>
            <w:vAlign w:val="bottom"/>
            <w:shd w:val="clear" w:color="auto" w:fill="CFF0FC"/>
          </w:tcPr>
          <w:p>
            <w:pPr>
              <w:ind w:left="240"/>
              <w:spacing w:after="0" w:line="143" w:lineRule="exact"/>
              <w:rPr>
                <w:sz w:val="20"/>
                <w:szCs w:val="20"/>
                <w:color w:val="auto"/>
              </w:rPr>
            </w:pPr>
            <w:r>
              <w:rPr>
                <w:rFonts w:ascii="Arial" w:cs="Arial" w:eastAsia="Arial" w:hAnsi="Arial"/>
                <w:sz w:val="14"/>
                <w:szCs w:val="14"/>
                <w:color w:val="auto"/>
              </w:rPr>
              <w:t>Amortization of unrealized holding losses on</w:t>
            </w:r>
          </w:p>
        </w:tc>
        <w:tc>
          <w:tcPr>
            <w:tcW w:w="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720" w:type="dxa"/>
            <w:vAlign w:val="bottom"/>
            <w:shd w:val="clear" w:color="auto" w:fill="CFF0FC"/>
          </w:tcPr>
          <w:p>
            <w:pPr>
              <w:ind w:left="340"/>
              <w:spacing w:after="0"/>
              <w:rPr>
                <w:sz w:val="20"/>
                <w:szCs w:val="20"/>
                <w:color w:val="auto"/>
              </w:rPr>
            </w:pPr>
            <w:r>
              <w:rPr>
                <w:rFonts w:ascii="Arial" w:cs="Arial" w:eastAsia="Arial" w:hAnsi="Arial"/>
                <w:sz w:val="14"/>
                <w:szCs w:val="14"/>
                <w:color w:val="auto"/>
              </w:rPr>
              <w:t>held-to-maturity (“HTM”) securities</w:t>
            </w: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772</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772</w:t>
            </w:r>
          </w:p>
        </w:tc>
        <w:tc>
          <w:tcPr>
            <w:tcW w:w="80" w:type="dxa"/>
            <w:vAlign w:val="bottom"/>
            <w:shd w:val="clear" w:color="auto" w:fill="CFF0FC"/>
          </w:tcPr>
          <w:p>
            <w:pPr>
              <w:spacing w:after="0"/>
              <w:rPr>
                <w:sz w:val="14"/>
                <w:szCs w:val="14"/>
                <w:color w:val="auto"/>
              </w:rPr>
            </w:pPr>
          </w:p>
        </w:tc>
        <w:tc>
          <w:tcPr>
            <w:tcW w:w="3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(a)</w:t>
            </w: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(203)</w:t>
            </w: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20" w:type="dxa"/>
            <w:vAlign w:val="bottom"/>
          </w:tcPr>
          <w:p>
            <w:pPr>
              <w:ind w:left="240"/>
              <w:spacing w:after="0"/>
              <w:rPr>
                <w:sz w:val="20"/>
                <w:szCs w:val="20"/>
                <w:color w:val="auto"/>
              </w:rPr>
            </w:pPr>
            <w:r>
              <w:rPr>
                <w:rFonts w:ascii="Arial" w:cs="Arial" w:eastAsia="Arial" w:hAnsi="Arial"/>
                <w:sz w:val="14"/>
                <w:szCs w:val="14"/>
                <w:color w:val="auto"/>
              </w:rPr>
              <w:t>Accretion of net gain on terminated cash flow hedges</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7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(34)</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(c)</w:t>
            </w:r>
          </w:p>
        </w:tc>
        <w:tc>
          <w:tcPr>
            <w:tcW w:w="680" w:type="dxa"/>
            <w:vAlign w:val="bottom"/>
          </w:tcPr>
          <w:p>
            <w:pPr>
              <w:jc w:val="right"/>
              <w:spacing w:after="0"/>
              <w:rPr>
                <w:sz w:val="20"/>
                <w:szCs w:val="20"/>
                <w:color w:val="auto"/>
              </w:rPr>
            </w:pPr>
            <w:r>
              <w:rPr>
                <w:rFonts w:ascii="Arial" w:cs="Arial" w:eastAsia="Arial" w:hAnsi="Arial"/>
                <w:sz w:val="14"/>
                <w:szCs w:val="14"/>
                <w:color w:val="auto"/>
              </w:rPr>
              <w:t>9</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19"/>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20" w:type="dxa"/>
            <w:vAlign w:val="bottom"/>
            <w:shd w:val="clear" w:color="auto" w:fill="CFF0FC"/>
          </w:tcPr>
          <w:p>
            <w:pPr>
              <w:ind w:left="240"/>
              <w:spacing w:after="0"/>
              <w:rPr>
                <w:sz w:val="20"/>
                <w:szCs w:val="20"/>
                <w:color w:val="auto"/>
              </w:rPr>
            </w:pPr>
            <w:r>
              <w:rPr>
                <w:rFonts w:ascii="Arial" w:cs="Arial" w:eastAsia="Arial" w:hAnsi="Arial"/>
                <w:sz w:val="14"/>
                <w:szCs w:val="14"/>
                <w:color w:val="auto"/>
              </w:rPr>
              <w:t>Net yield adjustment from cash flow hedges currently in effect</w:t>
            </w: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79"/>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(32,041)</w:t>
            </w:r>
          </w:p>
        </w:tc>
        <w:tc>
          <w:tcPr>
            <w:tcW w:w="12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(32,041)</w:t>
            </w:r>
          </w:p>
        </w:tc>
        <w:tc>
          <w:tcPr>
            <w:tcW w:w="3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(a)</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8,423</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9"/>
              <w:spacing w:after="0"/>
              <w:rPr>
                <w:sz w:val="20"/>
                <w:szCs w:val="20"/>
                <w:color w:val="auto"/>
              </w:rPr>
            </w:pPr>
            <w:r>
              <w:rPr>
                <w:rFonts w:ascii="Arial" w:cs="Arial" w:eastAsia="Arial" w:hAnsi="Arial"/>
                <w:sz w:val="14"/>
                <w:szCs w:val="14"/>
                <w:color w:val="auto"/>
              </w:rPr>
              <w:t>(23,618)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20" w:type="dxa"/>
            <w:vAlign w:val="bottom"/>
          </w:tcPr>
          <w:p>
            <w:pPr>
              <w:ind w:left="240"/>
              <w:spacing w:after="0"/>
              <w:rPr>
                <w:sz w:val="20"/>
                <w:szCs w:val="20"/>
                <w:color w:val="auto"/>
              </w:rPr>
            </w:pPr>
            <w:r>
              <w:rPr>
                <w:rFonts w:ascii="Arial" w:cs="Arial" w:eastAsia="Arial" w:hAnsi="Arial"/>
                <w:sz w:val="14"/>
                <w:szCs w:val="14"/>
                <w:color w:val="auto"/>
              </w:rPr>
              <w:t>Amortization of prior service credit</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79"/>
              <w:spacing w:after="0"/>
              <w:rPr>
                <w:sz w:val="20"/>
                <w:szCs w:val="20"/>
                <w:color w:val="auto"/>
              </w:rPr>
            </w:pPr>
            <w:r>
              <w:rPr>
                <w:rFonts w:ascii="Arial" w:cs="Arial" w:eastAsia="Arial" w:hAnsi="Arial"/>
                <w:sz w:val="14"/>
                <w:szCs w:val="14"/>
                <w:color w:val="auto"/>
              </w:rPr>
              <w:t>—</w:t>
            </w:r>
          </w:p>
        </w:tc>
        <w:tc>
          <w:tcPr>
            <w:tcW w:w="1020" w:type="dxa"/>
            <w:vAlign w:val="bottom"/>
            <w:gridSpan w:val="3"/>
          </w:tcPr>
          <w:p>
            <w:pPr>
              <w:jc w:val="right"/>
              <w:ind w:right="180"/>
              <w:spacing w:after="0"/>
              <w:rPr>
                <w:sz w:val="20"/>
                <w:szCs w:val="20"/>
                <w:color w:val="auto"/>
              </w:rPr>
            </w:pPr>
            <w:r>
              <w:rPr>
                <w:rFonts w:ascii="Arial" w:cs="Arial" w:eastAsia="Arial" w:hAnsi="Arial"/>
                <w:sz w:val="14"/>
                <w:szCs w:val="14"/>
                <w:color w:val="auto"/>
              </w:rPr>
              <w:t>(1,050)</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(1,050)</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(d)</w:t>
            </w:r>
          </w:p>
        </w:tc>
        <w:tc>
          <w:tcPr>
            <w:tcW w:w="680" w:type="dxa"/>
            <w:vAlign w:val="bottom"/>
          </w:tcPr>
          <w:p>
            <w:pPr>
              <w:jc w:val="right"/>
              <w:spacing w:after="0"/>
              <w:rPr>
                <w:sz w:val="20"/>
                <w:szCs w:val="20"/>
                <w:color w:val="auto"/>
              </w:rPr>
            </w:pPr>
            <w:r>
              <w:rPr>
                <w:rFonts w:ascii="Arial" w:cs="Arial" w:eastAsia="Arial" w:hAnsi="Arial"/>
                <w:sz w:val="14"/>
                <w:szCs w:val="14"/>
                <w:color w:val="auto"/>
              </w:rPr>
              <w:t>276</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19"/>
              <w:spacing w:after="0"/>
              <w:rPr>
                <w:sz w:val="20"/>
                <w:szCs w:val="20"/>
                <w:color w:val="auto"/>
              </w:rPr>
            </w:pPr>
            <w:r>
              <w:rPr>
                <w:rFonts w:ascii="Arial" w:cs="Arial" w:eastAsia="Arial" w:hAnsi="Arial"/>
                <w:sz w:val="14"/>
                <w:szCs w:val="14"/>
                <w:color w:val="auto"/>
              </w:rPr>
              <w:t>(774)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20" w:type="dxa"/>
            <w:vAlign w:val="bottom"/>
            <w:shd w:val="clear" w:color="auto" w:fill="CFF0FC"/>
          </w:tcPr>
          <w:p>
            <w:pPr>
              <w:ind w:left="240"/>
              <w:spacing w:after="0"/>
              <w:rPr>
                <w:sz w:val="20"/>
                <w:szCs w:val="20"/>
                <w:color w:val="auto"/>
              </w:rPr>
            </w:pPr>
            <w:r>
              <w:rPr>
                <w:rFonts w:ascii="Arial" w:cs="Arial" w:eastAsia="Arial" w:hAnsi="Arial"/>
                <w:sz w:val="14"/>
                <w:szCs w:val="14"/>
                <w:color w:val="auto"/>
              </w:rPr>
              <w:t>Amortization of actuarial losses</w:t>
            </w: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79"/>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13,650</w:t>
            </w:r>
          </w:p>
        </w:tc>
        <w:tc>
          <w:tcPr>
            <w:tcW w:w="2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13,650</w:t>
            </w:r>
          </w:p>
        </w:tc>
        <w:tc>
          <w:tcPr>
            <w:tcW w:w="80" w:type="dxa"/>
            <w:vAlign w:val="bottom"/>
            <w:shd w:val="clear" w:color="auto" w:fill="CFF0FC"/>
          </w:tcPr>
          <w:p>
            <w:pPr>
              <w:spacing w:after="0"/>
              <w:rPr>
                <w:sz w:val="14"/>
                <w:szCs w:val="14"/>
                <w:color w:val="auto"/>
              </w:rPr>
            </w:pPr>
          </w:p>
        </w:tc>
        <w:tc>
          <w:tcPr>
            <w:tcW w:w="3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(d)</w:t>
            </w: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(3,588)</w:t>
            </w: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10,062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740" w:type="dxa"/>
            <w:vAlign w:val="bottom"/>
            <w:gridSpan w:val="2"/>
          </w:tcPr>
          <w:p>
            <w:pPr>
              <w:spacing w:after="0" w:line="155" w:lineRule="exact"/>
              <w:rPr>
                <w:sz w:val="20"/>
                <w:szCs w:val="20"/>
                <w:color w:val="auto"/>
              </w:rPr>
            </w:pPr>
            <w:r>
              <w:rPr>
                <w:rFonts w:ascii="Arial" w:cs="Arial" w:eastAsia="Arial" w:hAnsi="Arial"/>
                <w:sz w:val="14"/>
                <w:szCs w:val="14"/>
                <w:color w:val="auto"/>
              </w:rPr>
              <w:t>Total other comprehensive income</w:t>
            </w:r>
          </w:p>
        </w:tc>
        <w:tc>
          <w:tcPr>
            <w:tcW w:w="8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132,195</w:t>
            </w:r>
          </w:p>
        </w:tc>
        <w:tc>
          <w:tcPr>
            <w:tcW w:w="100" w:type="dxa"/>
            <w:vAlign w:val="bottom"/>
          </w:tcPr>
          <w:p>
            <w:pPr>
              <w:spacing w:after="0"/>
              <w:rPr>
                <w:sz w:val="13"/>
                <w:szCs w:val="13"/>
                <w:color w:val="auto"/>
              </w:rPr>
            </w:pPr>
          </w:p>
        </w:tc>
        <w:tc>
          <w:tcPr>
            <w:tcW w:w="80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12,600</w:t>
            </w:r>
          </w:p>
        </w:tc>
        <w:tc>
          <w:tcPr>
            <w:tcW w:w="220" w:type="dxa"/>
            <w:vAlign w:val="bottom"/>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421,033</w:t>
            </w:r>
          </w:p>
        </w:tc>
        <w:tc>
          <w:tcPr>
            <w:tcW w:w="2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565,828</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(149,315)</w:t>
            </w:r>
          </w:p>
        </w:tc>
        <w:tc>
          <w:tcPr>
            <w:tcW w:w="2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416,513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72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 March 31, 2020</w:t>
            </w:r>
          </w:p>
        </w:tc>
        <w:tc>
          <w:tcPr>
            <w:tcW w:w="88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182,896</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800" w:type="dxa"/>
            <w:vAlign w:val="bottom"/>
            <w:tcBorders>
              <w:top w:val="single" w:sz="8" w:color="auto"/>
              <w:bottom w:val="single" w:sz="8" w:color="auto"/>
            </w:tcBorders>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(451,948)</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6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554,921</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center"/>
              <w:spacing w:after="0" w:line="155"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285,869</w:t>
            </w: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340" w:type="dxa"/>
            <w:vAlign w:val="bottom"/>
            <w:tcBorders>
              <w:top w:val="single" w:sz="8" w:color="CFF0FC"/>
              <w:bottom w:val="single" w:sz="8" w:color="CFF0FC"/>
            </w:tcBorders>
            <w:shd w:val="clear" w:color="auto" w:fill="CFF0FC"/>
          </w:tcPr>
          <w:p>
            <w:pPr>
              <w:spacing w:after="0"/>
              <w:rPr>
                <w:sz w:val="13"/>
                <w:szCs w:val="13"/>
                <w:color w:val="auto"/>
              </w:rPr>
            </w:pPr>
          </w:p>
        </w:tc>
        <w:tc>
          <w:tcPr>
            <w:tcW w:w="6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(76,036)</w:t>
            </w:r>
          </w:p>
        </w:tc>
        <w:tc>
          <w:tcPr>
            <w:tcW w:w="24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209,833</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7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47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720" w:type="dxa"/>
            <w:vAlign w:val="bottom"/>
          </w:tcPr>
          <w:p>
            <w:pPr>
              <w:spacing w:after="0"/>
              <w:rPr>
                <w:sz w:val="20"/>
                <w:szCs w:val="20"/>
                <w:color w:val="auto"/>
              </w:rPr>
            </w:pPr>
            <w:r>
              <w:rPr>
                <w:rFonts w:ascii="Arial" w:cs="Arial" w:eastAsia="Arial" w:hAnsi="Arial"/>
                <w:sz w:val="14"/>
                <w:szCs w:val="14"/>
                <w:color w:val="auto"/>
              </w:rPr>
              <w:t>Balance — January 1, 2019</w:t>
            </w:r>
          </w:p>
        </w:tc>
        <w:tc>
          <w:tcPr>
            <w:tcW w:w="98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9"/>
              <w:spacing w:after="0"/>
              <w:rPr>
                <w:sz w:val="20"/>
                <w:szCs w:val="20"/>
                <w:color w:val="auto"/>
              </w:rPr>
            </w:pPr>
            <w:r>
              <w:rPr>
                <w:rFonts w:ascii="Arial" w:cs="Arial" w:eastAsia="Arial" w:hAnsi="Arial"/>
                <w:sz w:val="14"/>
                <w:szCs w:val="14"/>
                <w:color w:val="auto"/>
              </w:rPr>
              <w:t>(200,107)</w:t>
            </w:r>
          </w:p>
        </w:tc>
        <w:tc>
          <w:tcPr>
            <w:tcW w:w="1020" w:type="dxa"/>
            <w:vAlign w:val="bottom"/>
            <w:gridSpan w:val="3"/>
          </w:tcPr>
          <w:p>
            <w:pPr>
              <w:jc w:val="right"/>
              <w:ind w:right="180"/>
              <w:spacing w:after="0"/>
              <w:rPr>
                <w:sz w:val="20"/>
                <w:szCs w:val="20"/>
                <w:color w:val="auto"/>
              </w:rPr>
            </w:pPr>
            <w:r>
              <w:rPr>
                <w:rFonts w:ascii="Arial" w:cs="Arial" w:eastAsia="Arial" w:hAnsi="Arial"/>
                <w:sz w:val="14"/>
                <w:szCs w:val="14"/>
                <w:color w:val="auto"/>
              </w:rPr>
              <w:t>(354,502)</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(14,719)</w:t>
            </w:r>
          </w:p>
        </w:tc>
        <w:tc>
          <w:tcPr>
            <w:tcW w:w="120" w:type="dxa"/>
            <w:vAlign w:val="bottom"/>
          </w:tcPr>
          <w:p>
            <w:pPr>
              <w:jc w:val="center"/>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(569,328)</w:t>
            </w:r>
          </w:p>
        </w:tc>
        <w:tc>
          <w:tcPr>
            <w:tcW w:w="3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149,247</w:t>
            </w:r>
          </w:p>
        </w:tc>
        <w:tc>
          <w:tcPr>
            <w:tcW w:w="240" w:type="dxa"/>
            <w:vAlign w:val="bottom"/>
          </w:tcPr>
          <w:p>
            <w:pPr>
              <w:spacing w:after="0"/>
              <w:rPr>
                <w:sz w:val="14"/>
                <w:szCs w:val="14"/>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9"/>
              <w:spacing w:after="0"/>
              <w:rPr>
                <w:sz w:val="20"/>
                <w:szCs w:val="20"/>
                <w:color w:val="auto"/>
              </w:rPr>
            </w:pPr>
            <w:r>
              <w:rPr>
                <w:rFonts w:ascii="Arial" w:cs="Arial" w:eastAsia="Arial" w:hAnsi="Arial"/>
                <w:sz w:val="14"/>
                <w:szCs w:val="14"/>
                <w:color w:val="auto"/>
              </w:rPr>
              <w:t>(420,081)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20" w:type="dxa"/>
            <w:vAlign w:val="bottom"/>
            <w:shd w:val="clear" w:color="auto" w:fill="CFF0FC"/>
          </w:tcPr>
          <w:p>
            <w:pPr>
              <w:spacing w:after="0"/>
              <w:rPr>
                <w:sz w:val="20"/>
                <w:szCs w:val="20"/>
                <w:color w:val="auto"/>
              </w:rPr>
            </w:pPr>
            <w:r>
              <w:rPr>
                <w:rFonts w:ascii="Arial" w:cs="Arial" w:eastAsia="Arial" w:hAnsi="Arial"/>
                <w:sz w:val="14"/>
                <w:szCs w:val="14"/>
                <w:color w:val="auto"/>
              </w:rPr>
              <w:t>Other comprehensive income before reclassifications:</w:t>
            </w: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20" w:type="dxa"/>
            <w:vAlign w:val="bottom"/>
          </w:tcPr>
          <w:p>
            <w:pPr>
              <w:ind w:left="240"/>
              <w:spacing w:after="0"/>
              <w:rPr>
                <w:sz w:val="20"/>
                <w:szCs w:val="20"/>
                <w:color w:val="auto"/>
              </w:rPr>
            </w:pPr>
            <w:r>
              <w:rPr>
                <w:rFonts w:ascii="Arial" w:cs="Arial" w:eastAsia="Arial" w:hAnsi="Arial"/>
                <w:sz w:val="14"/>
                <w:szCs w:val="14"/>
                <w:color w:val="auto"/>
              </w:rPr>
              <w:t>Unrealized holding gains, net</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113,805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113,805</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(29,902)</w:t>
            </w: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83,903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20" w:type="dxa"/>
            <w:vAlign w:val="bottom"/>
            <w:shd w:val="clear" w:color="auto" w:fill="CFF0FC"/>
          </w:tcPr>
          <w:p>
            <w:pPr>
              <w:ind w:left="240"/>
              <w:spacing w:after="0"/>
              <w:rPr>
                <w:sz w:val="20"/>
                <w:szCs w:val="20"/>
                <w:color w:val="auto"/>
              </w:rPr>
            </w:pPr>
            <w:r>
              <w:rPr>
                <w:rFonts w:ascii="Arial" w:cs="Arial" w:eastAsia="Arial" w:hAnsi="Arial"/>
                <w:sz w:val="14"/>
                <w:szCs w:val="14"/>
                <w:color w:val="auto"/>
              </w:rPr>
              <w:t>Foreign currency translation adjustment</w:t>
            </w: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79"/>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348</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348</w:t>
            </w:r>
          </w:p>
        </w:tc>
        <w:tc>
          <w:tcPr>
            <w:tcW w:w="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(73)</w:t>
            </w: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20" w:type="dxa"/>
            <w:vAlign w:val="bottom"/>
          </w:tcPr>
          <w:p>
            <w:pPr>
              <w:ind w:left="240"/>
              <w:spacing w:after="0"/>
              <w:rPr>
                <w:sz w:val="20"/>
                <w:szCs w:val="20"/>
                <w:color w:val="auto"/>
              </w:rPr>
            </w:pPr>
            <w:r>
              <w:rPr>
                <w:rFonts w:ascii="Arial" w:cs="Arial" w:eastAsia="Arial" w:hAnsi="Arial"/>
                <w:sz w:val="14"/>
                <w:szCs w:val="14"/>
                <w:color w:val="auto"/>
              </w:rPr>
              <w:t>Unrealized gains on cash flow hedges</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7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54,347</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54,347</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(14,288)</w:t>
            </w: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40,059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720" w:type="dxa"/>
            <w:vAlign w:val="bottom"/>
            <w:tcBorders>
              <w:top w:val="single" w:sz="8" w:color="CFF0FC"/>
            </w:tcBorders>
            <w:shd w:val="clear" w:color="auto" w:fill="CFF0FC"/>
          </w:tcPr>
          <w:p>
            <w:pPr>
              <w:spacing w:after="0" w:line="123" w:lineRule="exact"/>
              <w:rPr>
                <w:sz w:val="20"/>
                <w:szCs w:val="20"/>
                <w:color w:val="auto"/>
              </w:rPr>
            </w:pPr>
            <w:r>
              <w:rPr>
                <w:rFonts w:ascii="Arial" w:cs="Arial" w:eastAsia="Arial" w:hAnsi="Arial"/>
                <w:sz w:val="14"/>
                <w:szCs w:val="14"/>
                <w:color w:val="auto"/>
              </w:rPr>
              <w:t>Total other comprehensive income before</w:t>
            </w:r>
          </w:p>
        </w:tc>
        <w:tc>
          <w:tcPr>
            <w:tcW w:w="88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58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680" w:type="dxa"/>
            <w:vAlign w:val="bottom"/>
            <w:tcBorders>
              <w:top w:val="single" w:sz="8" w:color="auto"/>
            </w:tcBorders>
            <w:shd w:val="clear" w:color="auto" w:fill="CFF0FC"/>
          </w:tcPr>
          <w:p>
            <w:pPr>
              <w:spacing w:after="0"/>
              <w:rPr>
                <w:sz w:val="10"/>
                <w:szCs w:val="10"/>
                <w:color w:val="auto"/>
              </w:rPr>
            </w:pPr>
          </w:p>
        </w:tc>
        <w:tc>
          <w:tcPr>
            <w:tcW w:w="220" w:type="dxa"/>
            <w:vAlign w:val="bottom"/>
            <w:tcBorders>
              <w:top w:val="single" w:sz="8" w:color="CFF0FC"/>
            </w:tcBorders>
            <w:shd w:val="clear" w:color="auto" w:fill="CFF0FC"/>
          </w:tcPr>
          <w:p>
            <w:pPr>
              <w:spacing w:after="0"/>
              <w:rPr>
                <w:sz w:val="10"/>
                <w:szCs w:val="10"/>
                <w:color w:val="auto"/>
              </w:rPr>
            </w:pPr>
          </w:p>
        </w:tc>
        <w:tc>
          <w:tcPr>
            <w:tcW w:w="680" w:type="dxa"/>
            <w:vAlign w:val="bottom"/>
            <w:tcBorders>
              <w:top w:val="single" w:sz="8" w:color="auto"/>
            </w:tcBorders>
            <w:shd w:val="clear" w:color="auto" w:fill="CFF0FC"/>
          </w:tcPr>
          <w:p>
            <w:pPr>
              <w:spacing w:after="0"/>
              <w:rPr>
                <w:sz w:val="10"/>
                <w:szCs w:val="10"/>
                <w:color w:val="auto"/>
              </w:rPr>
            </w:pPr>
          </w:p>
        </w:tc>
        <w:tc>
          <w:tcPr>
            <w:tcW w:w="22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640" w:type="dxa"/>
            <w:vAlign w:val="bottom"/>
            <w:tcBorders>
              <w:top w:val="single" w:sz="8" w:color="auto"/>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340" w:type="dxa"/>
            <w:vAlign w:val="bottom"/>
            <w:tcBorders>
              <w:top w:val="single" w:sz="8" w:color="CFF0FC"/>
            </w:tcBorders>
            <w:shd w:val="clear" w:color="auto" w:fill="CFF0FC"/>
          </w:tcPr>
          <w:p>
            <w:pPr>
              <w:spacing w:after="0"/>
              <w:rPr>
                <w:sz w:val="10"/>
                <w:szCs w:val="10"/>
                <w:color w:val="auto"/>
              </w:rPr>
            </w:pPr>
          </w:p>
        </w:tc>
        <w:tc>
          <w:tcPr>
            <w:tcW w:w="68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60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720" w:type="dxa"/>
            <w:vAlign w:val="bottom"/>
            <w:shd w:val="clear" w:color="auto" w:fill="CFF0FC"/>
          </w:tcPr>
          <w:p>
            <w:pPr>
              <w:ind w:left="100"/>
              <w:spacing w:after="0"/>
              <w:rPr>
                <w:sz w:val="20"/>
                <w:szCs w:val="20"/>
                <w:color w:val="auto"/>
              </w:rPr>
            </w:pPr>
            <w:r>
              <w:rPr>
                <w:rFonts w:ascii="Arial" w:cs="Arial" w:eastAsia="Arial" w:hAnsi="Arial"/>
                <w:sz w:val="14"/>
                <w:szCs w:val="14"/>
                <w:color w:val="auto"/>
              </w:rPr>
              <w:t>reclassifications</w:t>
            </w: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113,805</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54,695</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168,500</w:t>
            </w:r>
          </w:p>
        </w:tc>
        <w:tc>
          <w:tcPr>
            <w:tcW w:w="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(44,263)</w:t>
            </w: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124,237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4740" w:type="dxa"/>
            <w:vAlign w:val="bottom"/>
            <w:gridSpan w:val="2"/>
          </w:tcPr>
          <w:p>
            <w:pPr>
              <w:spacing w:after="0" w:line="137" w:lineRule="exact"/>
              <w:rPr>
                <w:sz w:val="20"/>
                <w:szCs w:val="20"/>
                <w:color w:val="auto"/>
              </w:rPr>
            </w:pPr>
            <w:r>
              <w:rPr>
                <w:rFonts w:ascii="Arial" w:cs="Arial" w:eastAsia="Arial" w:hAnsi="Arial"/>
                <w:sz w:val="14"/>
                <w:szCs w:val="14"/>
                <w:color w:val="auto"/>
              </w:rPr>
              <w:t>Amounts reclassified from accumulated other</w:t>
            </w:r>
          </w:p>
        </w:tc>
        <w:tc>
          <w:tcPr>
            <w:tcW w:w="8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720" w:type="dxa"/>
            <w:vAlign w:val="bottom"/>
          </w:tcPr>
          <w:p>
            <w:pPr>
              <w:ind w:left="100"/>
              <w:spacing w:after="0"/>
              <w:rPr>
                <w:sz w:val="20"/>
                <w:szCs w:val="20"/>
                <w:color w:val="auto"/>
              </w:rPr>
            </w:pPr>
            <w:r>
              <w:rPr>
                <w:rFonts w:ascii="Arial" w:cs="Arial" w:eastAsia="Arial" w:hAnsi="Arial"/>
                <w:sz w:val="14"/>
                <w:szCs w:val="14"/>
                <w:color w:val="auto"/>
              </w:rPr>
              <w:t>comprehensive income that (increase) decrease net income:</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720" w:type="dxa"/>
            <w:vAlign w:val="bottom"/>
            <w:shd w:val="clear" w:color="auto" w:fill="CFF0FC"/>
          </w:tcPr>
          <w:p>
            <w:pPr>
              <w:ind w:left="240"/>
              <w:spacing w:after="0" w:line="143" w:lineRule="exact"/>
              <w:rPr>
                <w:sz w:val="20"/>
                <w:szCs w:val="20"/>
                <w:color w:val="auto"/>
              </w:rPr>
            </w:pPr>
            <w:r>
              <w:rPr>
                <w:rFonts w:ascii="Arial" w:cs="Arial" w:eastAsia="Arial" w:hAnsi="Arial"/>
                <w:sz w:val="14"/>
                <w:szCs w:val="14"/>
                <w:color w:val="auto"/>
              </w:rPr>
              <w:t>Amortization of unrealized holding losses on</w:t>
            </w:r>
          </w:p>
        </w:tc>
        <w:tc>
          <w:tcPr>
            <w:tcW w:w="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720" w:type="dxa"/>
            <w:vAlign w:val="bottom"/>
            <w:shd w:val="clear" w:color="auto" w:fill="CFF0FC"/>
          </w:tcPr>
          <w:p>
            <w:pPr>
              <w:ind w:left="340"/>
              <w:spacing w:after="0"/>
              <w:rPr>
                <w:sz w:val="20"/>
                <w:szCs w:val="20"/>
                <w:color w:val="auto"/>
              </w:rPr>
            </w:pPr>
            <w:r>
              <w:rPr>
                <w:rFonts w:ascii="Arial" w:cs="Arial" w:eastAsia="Arial" w:hAnsi="Arial"/>
                <w:sz w:val="14"/>
                <w:szCs w:val="14"/>
                <w:color w:val="auto"/>
              </w:rPr>
              <w:t>HTM securities</w:t>
            </w: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928</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928</w:t>
            </w:r>
          </w:p>
        </w:tc>
        <w:tc>
          <w:tcPr>
            <w:tcW w:w="80" w:type="dxa"/>
            <w:vAlign w:val="bottom"/>
            <w:shd w:val="clear" w:color="auto" w:fill="CFF0FC"/>
          </w:tcPr>
          <w:p>
            <w:pPr>
              <w:spacing w:after="0"/>
              <w:rPr>
                <w:sz w:val="14"/>
                <w:szCs w:val="14"/>
                <w:color w:val="auto"/>
              </w:rPr>
            </w:pPr>
          </w:p>
        </w:tc>
        <w:tc>
          <w:tcPr>
            <w:tcW w:w="3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(a)</w:t>
            </w: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(245)</w:t>
            </w: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20" w:type="dxa"/>
            <w:vAlign w:val="bottom"/>
          </w:tcPr>
          <w:p>
            <w:pPr>
              <w:ind w:left="240"/>
              <w:spacing w:after="0"/>
              <w:rPr>
                <w:sz w:val="20"/>
                <w:szCs w:val="20"/>
                <w:color w:val="auto"/>
              </w:rPr>
            </w:pPr>
            <w:r>
              <w:rPr>
                <w:rFonts w:ascii="Arial" w:cs="Arial" w:eastAsia="Arial" w:hAnsi="Arial"/>
                <w:sz w:val="14"/>
                <w:szCs w:val="14"/>
                <w:color w:val="auto"/>
              </w:rPr>
              <w:t>Losses realized in net income</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14"/>
                <w:szCs w:val="14"/>
                <w:color w:val="auto"/>
              </w:rPr>
            </w:pP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(b)</w:t>
            </w: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20" w:type="dxa"/>
            <w:vAlign w:val="bottom"/>
            <w:shd w:val="clear" w:color="auto" w:fill="CFF0FC"/>
          </w:tcPr>
          <w:p>
            <w:pPr>
              <w:ind w:left="240"/>
              <w:spacing w:after="0"/>
              <w:rPr>
                <w:sz w:val="20"/>
                <w:szCs w:val="20"/>
                <w:color w:val="auto"/>
              </w:rPr>
            </w:pPr>
            <w:r>
              <w:rPr>
                <w:rFonts w:ascii="Arial" w:cs="Arial" w:eastAsia="Arial" w:hAnsi="Arial"/>
                <w:sz w:val="14"/>
                <w:szCs w:val="14"/>
                <w:color w:val="auto"/>
              </w:rPr>
              <w:t>Accretion of net gain on terminated cash flow hedges</w:t>
            </w: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79"/>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(28)</w:t>
            </w:r>
          </w:p>
        </w:tc>
        <w:tc>
          <w:tcPr>
            <w:tcW w:w="12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(28)</w:t>
            </w:r>
          </w:p>
        </w:tc>
        <w:tc>
          <w:tcPr>
            <w:tcW w:w="3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(c)</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9"/>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20" w:type="dxa"/>
            <w:vAlign w:val="bottom"/>
          </w:tcPr>
          <w:p>
            <w:pPr>
              <w:ind w:left="240"/>
              <w:spacing w:after="0"/>
              <w:rPr>
                <w:sz w:val="20"/>
                <w:szCs w:val="20"/>
                <w:color w:val="auto"/>
              </w:rPr>
            </w:pPr>
            <w:r>
              <w:rPr>
                <w:rFonts w:ascii="Arial" w:cs="Arial" w:eastAsia="Arial" w:hAnsi="Arial"/>
                <w:sz w:val="14"/>
                <w:szCs w:val="14"/>
                <w:color w:val="auto"/>
              </w:rPr>
              <w:t>Net yield adjustment from cash flow hedges currently in effect</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7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6,625</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6,625</w:t>
            </w:r>
          </w:p>
        </w:tc>
        <w:tc>
          <w:tcPr>
            <w:tcW w:w="80" w:type="dxa"/>
            <w:vAlign w:val="bottom"/>
          </w:tcPr>
          <w:p>
            <w:pPr>
              <w:spacing w:after="0"/>
              <w:rPr>
                <w:sz w:val="14"/>
                <w:szCs w:val="14"/>
                <w:color w:val="auto"/>
              </w:rPr>
            </w:pP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(a)</w:t>
            </w: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(1,742)</w:t>
            </w: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4,883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20" w:type="dxa"/>
            <w:vAlign w:val="bottom"/>
            <w:shd w:val="clear" w:color="auto" w:fill="CFF0FC"/>
          </w:tcPr>
          <w:p>
            <w:pPr>
              <w:ind w:left="240"/>
              <w:spacing w:after="0"/>
              <w:rPr>
                <w:sz w:val="20"/>
                <w:szCs w:val="20"/>
                <w:color w:val="auto"/>
              </w:rPr>
            </w:pPr>
            <w:r>
              <w:rPr>
                <w:rFonts w:ascii="Arial" w:cs="Arial" w:eastAsia="Arial" w:hAnsi="Arial"/>
                <w:sz w:val="14"/>
                <w:szCs w:val="14"/>
                <w:color w:val="auto"/>
              </w:rPr>
              <w:t>Amortization of prior service credit</w:t>
            </w: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79"/>
              <w:spacing w:after="0"/>
              <w:rPr>
                <w:sz w:val="20"/>
                <w:szCs w:val="20"/>
                <w:color w:val="auto"/>
              </w:rPr>
            </w:pPr>
            <w:r>
              <w:rPr>
                <w:rFonts w:ascii="Arial" w:cs="Arial" w:eastAsia="Arial" w:hAnsi="Arial"/>
                <w:sz w:val="14"/>
                <w:szCs w:val="14"/>
                <w:color w:val="auto"/>
              </w:rPr>
              <w:t>—</w:t>
            </w:r>
          </w:p>
        </w:tc>
        <w:tc>
          <w:tcPr>
            <w:tcW w:w="1020" w:type="dxa"/>
            <w:vAlign w:val="bottom"/>
            <w:gridSpan w:val="3"/>
            <w:shd w:val="clear" w:color="auto" w:fill="CFF0FC"/>
          </w:tcPr>
          <w:p>
            <w:pPr>
              <w:jc w:val="right"/>
              <w:ind w:right="180"/>
              <w:spacing w:after="0"/>
              <w:rPr>
                <w:sz w:val="20"/>
                <w:szCs w:val="20"/>
                <w:color w:val="auto"/>
              </w:rPr>
            </w:pPr>
            <w:r>
              <w:rPr>
                <w:rFonts w:ascii="Arial" w:cs="Arial" w:eastAsia="Arial" w:hAnsi="Arial"/>
                <w:sz w:val="14"/>
                <w:szCs w:val="14"/>
                <w:color w:val="auto"/>
              </w:rPr>
              <w:t>(1,050)</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(1,050)</w:t>
            </w:r>
          </w:p>
        </w:tc>
        <w:tc>
          <w:tcPr>
            <w:tcW w:w="3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(d)</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276</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9"/>
              <w:spacing w:after="0"/>
              <w:rPr>
                <w:sz w:val="20"/>
                <w:szCs w:val="20"/>
                <w:color w:val="auto"/>
              </w:rPr>
            </w:pPr>
            <w:r>
              <w:rPr>
                <w:rFonts w:ascii="Arial" w:cs="Arial" w:eastAsia="Arial" w:hAnsi="Arial"/>
                <w:sz w:val="14"/>
                <w:szCs w:val="14"/>
                <w:color w:val="auto"/>
              </w:rPr>
              <w:t>(774)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20" w:type="dxa"/>
            <w:vAlign w:val="bottom"/>
          </w:tcPr>
          <w:p>
            <w:pPr>
              <w:ind w:left="240"/>
              <w:spacing w:after="0"/>
              <w:rPr>
                <w:sz w:val="20"/>
                <w:szCs w:val="20"/>
                <w:color w:val="auto"/>
              </w:rPr>
            </w:pPr>
            <w:r>
              <w:rPr>
                <w:rFonts w:ascii="Arial" w:cs="Arial" w:eastAsia="Arial" w:hAnsi="Arial"/>
                <w:sz w:val="14"/>
                <w:szCs w:val="14"/>
                <w:color w:val="auto"/>
              </w:rPr>
              <w:t>Amortization of actuarial losses</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79"/>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4,150</w:t>
            </w:r>
          </w:p>
        </w:tc>
        <w:tc>
          <w:tcPr>
            <w:tcW w:w="22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4,150</w:t>
            </w:r>
          </w:p>
        </w:tc>
        <w:tc>
          <w:tcPr>
            <w:tcW w:w="80" w:type="dxa"/>
            <w:vAlign w:val="bottom"/>
          </w:tcPr>
          <w:p>
            <w:pPr>
              <w:spacing w:after="0"/>
              <w:rPr>
                <w:sz w:val="14"/>
                <w:szCs w:val="14"/>
                <w:color w:val="auto"/>
              </w:rPr>
            </w:pP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(d)</w:t>
            </w: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(1,091)</w:t>
            </w: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3,059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72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Total other comprehensive income</w:t>
            </w:r>
          </w:p>
        </w:tc>
        <w:tc>
          <w:tcPr>
            <w:tcW w:w="8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5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114,740</w:t>
            </w:r>
          </w:p>
        </w:tc>
        <w:tc>
          <w:tcPr>
            <w:tcW w:w="100" w:type="dxa"/>
            <w:vAlign w:val="bottom"/>
            <w:tcBorders>
              <w:top w:val="single" w:sz="8" w:color="CFF0FC"/>
            </w:tcBorders>
            <w:shd w:val="clear" w:color="auto" w:fill="CFF0FC"/>
          </w:tcPr>
          <w:p>
            <w:pPr>
              <w:spacing w:after="0"/>
              <w:rPr>
                <w:sz w:val="13"/>
                <w:szCs w:val="13"/>
                <w:color w:val="auto"/>
              </w:rPr>
            </w:pPr>
          </w:p>
        </w:tc>
        <w:tc>
          <w:tcPr>
            <w:tcW w:w="800" w:type="dxa"/>
            <w:vAlign w:val="bottom"/>
            <w:tcBorders>
              <w:top w:val="single" w:sz="8" w:color="auto"/>
              <w:bottom w:val="single" w:sz="8" w:color="auto"/>
            </w:tcBorders>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3,100</w:t>
            </w:r>
          </w:p>
        </w:tc>
        <w:tc>
          <w:tcPr>
            <w:tcW w:w="220" w:type="dxa"/>
            <w:vAlign w:val="bottom"/>
            <w:tcBorders>
              <w:top w:val="single" w:sz="8" w:color="CFF0FC"/>
            </w:tcBorders>
            <w:shd w:val="clear" w:color="auto" w:fill="CFF0FC"/>
          </w:tcPr>
          <w:p>
            <w:pPr>
              <w:spacing w:after="0"/>
              <w:rPr>
                <w:sz w:val="13"/>
                <w:szCs w:val="13"/>
                <w:color w:val="auto"/>
              </w:rPr>
            </w:pPr>
          </w:p>
        </w:tc>
        <w:tc>
          <w:tcPr>
            <w:tcW w:w="6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61,292</w:t>
            </w:r>
          </w:p>
        </w:tc>
        <w:tc>
          <w:tcPr>
            <w:tcW w:w="2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6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179,132</w:t>
            </w:r>
          </w:p>
        </w:tc>
        <w:tc>
          <w:tcPr>
            <w:tcW w:w="80" w:type="dxa"/>
            <w:vAlign w:val="bottom"/>
            <w:tcBorders>
              <w:top w:val="single" w:sz="8" w:color="CFF0FC"/>
            </w:tcBorders>
            <w:shd w:val="clear" w:color="auto" w:fill="CFF0FC"/>
          </w:tcPr>
          <w:p>
            <w:pPr>
              <w:spacing w:after="0"/>
              <w:rPr>
                <w:sz w:val="13"/>
                <w:szCs w:val="13"/>
                <w:color w:val="auto"/>
              </w:rPr>
            </w:pPr>
          </w:p>
        </w:tc>
        <w:tc>
          <w:tcPr>
            <w:tcW w:w="340" w:type="dxa"/>
            <w:vAlign w:val="bottom"/>
            <w:tcBorders>
              <w:top w:val="single" w:sz="8" w:color="CFF0FC"/>
            </w:tcBorders>
            <w:shd w:val="clear" w:color="auto" w:fill="CFF0FC"/>
          </w:tcPr>
          <w:p>
            <w:pPr>
              <w:spacing w:after="0"/>
              <w:rPr>
                <w:sz w:val="13"/>
                <w:szCs w:val="13"/>
                <w:color w:val="auto"/>
              </w:rPr>
            </w:pPr>
          </w:p>
        </w:tc>
        <w:tc>
          <w:tcPr>
            <w:tcW w:w="6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(47,060)</w:t>
            </w:r>
          </w:p>
        </w:tc>
        <w:tc>
          <w:tcPr>
            <w:tcW w:w="24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6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132,072</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740" w:type="dxa"/>
            <w:vAlign w:val="bottom"/>
            <w:gridSpan w:val="2"/>
          </w:tcPr>
          <w:p>
            <w:pPr>
              <w:spacing w:after="0" w:line="155" w:lineRule="exact"/>
              <w:rPr>
                <w:sz w:val="20"/>
                <w:szCs w:val="20"/>
                <w:color w:val="auto"/>
              </w:rPr>
            </w:pPr>
            <w:r>
              <w:rPr>
                <w:rFonts w:ascii="Arial" w:cs="Arial" w:eastAsia="Arial" w:hAnsi="Arial"/>
                <w:sz w:val="14"/>
                <w:szCs w:val="14"/>
                <w:color w:val="auto"/>
              </w:rPr>
              <w:t>Balance — March 31, 2019</w:t>
            </w:r>
          </w:p>
        </w:tc>
        <w:tc>
          <w:tcPr>
            <w:tcW w:w="880" w:type="dxa"/>
            <w:vAlign w:val="bottom"/>
          </w:tcPr>
          <w:p>
            <w:pPr>
              <w:spacing w:after="0"/>
              <w:rPr>
                <w:sz w:val="13"/>
                <w:szCs w:val="13"/>
                <w:color w:val="auto"/>
              </w:rPr>
            </w:pPr>
          </w:p>
        </w:tc>
        <w:tc>
          <w:tcPr>
            <w:tcW w:w="1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(85,367</w:t>
            </w:r>
          </w:p>
        </w:tc>
        <w:tc>
          <w:tcPr>
            <w:tcW w:w="100" w:type="dxa"/>
            <w:vAlign w:val="bottom"/>
          </w:tcPr>
          <w:p>
            <w:pPr>
              <w:jc w:val="right"/>
              <w:ind w:right="19"/>
              <w:spacing w:after="0"/>
              <w:rPr>
                <w:sz w:val="20"/>
                <w:szCs w:val="20"/>
                <w:color w:val="auto"/>
              </w:rPr>
            </w:pPr>
            <w:r>
              <w:rPr>
                <w:rFonts w:ascii="Arial" w:cs="Arial" w:eastAsia="Arial" w:hAnsi="Arial"/>
                <w:sz w:val="8"/>
                <w:szCs w:val="8"/>
                <w:color w:val="auto"/>
                <w:w w:val="73"/>
              </w:rPr>
              <w:t>)</w:t>
            </w:r>
          </w:p>
        </w:tc>
        <w:tc>
          <w:tcPr>
            <w:tcW w:w="80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(351,402)</w:t>
            </w:r>
          </w:p>
        </w:tc>
        <w:tc>
          <w:tcPr>
            <w:tcW w:w="22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46,573</w:t>
            </w:r>
          </w:p>
        </w:tc>
        <w:tc>
          <w:tcPr>
            <w:tcW w:w="220" w:type="dxa"/>
            <w:vAlign w:val="bottom"/>
          </w:tcPr>
          <w:p>
            <w:pPr>
              <w:spacing w:after="0"/>
              <w:rPr>
                <w:sz w:val="13"/>
                <w:szCs w:val="13"/>
                <w:color w:val="auto"/>
              </w:rPr>
            </w:pPr>
          </w:p>
        </w:tc>
        <w:tc>
          <w:tcPr>
            <w:tcW w:w="12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(390,196</w:t>
            </w: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84"/>
              </w:rPr>
              <w:t>)</w:t>
            </w:r>
          </w:p>
        </w:tc>
        <w:tc>
          <w:tcPr>
            <w:tcW w:w="34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102,187</w:t>
            </w:r>
          </w:p>
        </w:tc>
        <w:tc>
          <w:tcPr>
            <w:tcW w:w="240" w:type="dxa"/>
            <w:vAlign w:val="bottom"/>
          </w:tcPr>
          <w:p>
            <w:pPr>
              <w:spacing w:after="0"/>
              <w:rPr>
                <w:sz w:val="13"/>
                <w:szCs w:val="13"/>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(288,009</w:t>
            </w:r>
          </w:p>
        </w:tc>
        <w:tc>
          <w:tcPr>
            <w:tcW w:w="100" w:type="dxa"/>
            <w:vAlign w:val="bottom"/>
          </w:tcPr>
          <w:p>
            <w:pPr>
              <w:jc w:val="right"/>
              <w:ind w:right="19"/>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bl>
    <w:p>
      <w:pPr>
        <w:spacing w:after="0" w:line="8" w:lineRule="exact"/>
        <w:rPr>
          <w:sz w:val="20"/>
          <w:szCs w:val="20"/>
          <w:color w:val="auto"/>
        </w:rPr>
      </w:pPr>
    </w:p>
    <w:p>
      <w:pPr>
        <w:ind w:left="500" w:hanging="492"/>
        <w:spacing w:after="0"/>
        <w:tabs>
          <w:tab w:leader="none" w:pos="500" w:val="left"/>
        </w:tabs>
        <w:numPr>
          <w:ilvl w:val="0"/>
          <w:numId w:val="7"/>
        </w:numPr>
        <w:rPr>
          <w:rFonts w:ascii="Arial" w:cs="Arial" w:eastAsia="Arial" w:hAnsi="Arial"/>
          <w:sz w:val="14"/>
          <w:szCs w:val="14"/>
          <w:i w:val="1"/>
          <w:iCs w:val="1"/>
          <w:color w:val="auto"/>
        </w:rPr>
      </w:pPr>
      <w:r>
        <w:rPr>
          <w:rFonts w:ascii="Arial" w:cs="Arial" w:eastAsia="Arial" w:hAnsi="Arial"/>
          <w:sz w:val="14"/>
          <w:szCs w:val="14"/>
          <w:i w:val="1"/>
          <w:iCs w:val="1"/>
          <w:color w:val="auto"/>
        </w:rPr>
        <w:t>Included in interest income.</w:t>
      </w:r>
    </w:p>
    <w:p>
      <w:pPr>
        <w:ind w:left="500" w:hanging="492"/>
        <w:spacing w:after="0" w:line="221" w:lineRule="auto"/>
        <w:tabs>
          <w:tab w:leader="none" w:pos="500" w:val="left"/>
        </w:tabs>
        <w:numPr>
          <w:ilvl w:val="0"/>
          <w:numId w:val="7"/>
        </w:numPr>
        <w:rPr>
          <w:rFonts w:ascii="Arial" w:cs="Arial" w:eastAsia="Arial" w:hAnsi="Arial"/>
          <w:sz w:val="14"/>
          <w:szCs w:val="14"/>
          <w:i w:val="1"/>
          <w:iCs w:val="1"/>
          <w:color w:val="auto"/>
        </w:rPr>
      </w:pPr>
      <w:r>
        <w:rPr>
          <w:rFonts w:ascii="Arial" w:cs="Arial" w:eastAsia="Arial" w:hAnsi="Arial"/>
          <w:sz w:val="14"/>
          <w:szCs w:val="14"/>
          <w:i w:val="1"/>
          <w:iCs w:val="1"/>
          <w:color w:val="auto"/>
        </w:rPr>
        <w:t>Included in gain (loss) on bank investment securities.</w:t>
      </w:r>
    </w:p>
    <w:p>
      <w:pPr>
        <w:ind w:left="500" w:hanging="492"/>
        <w:spacing w:after="0" w:line="221" w:lineRule="auto"/>
        <w:tabs>
          <w:tab w:leader="none" w:pos="500" w:val="left"/>
        </w:tabs>
        <w:numPr>
          <w:ilvl w:val="0"/>
          <w:numId w:val="7"/>
        </w:numPr>
        <w:rPr>
          <w:rFonts w:ascii="Arial" w:cs="Arial" w:eastAsia="Arial" w:hAnsi="Arial"/>
          <w:sz w:val="14"/>
          <w:szCs w:val="14"/>
          <w:i w:val="1"/>
          <w:iCs w:val="1"/>
          <w:color w:val="auto"/>
        </w:rPr>
      </w:pPr>
      <w:r>
        <w:rPr>
          <w:rFonts w:ascii="Arial" w:cs="Arial" w:eastAsia="Arial" w:hAnsi="Arial"/>
          <w:sz w:val="14"/>
          <w:szCs w:val="14"/>
          <w:i w:val="1"/>
          <w:iCs w:val="1"/>
          <w:color w:val="auto"/>
        </w:rPr>
        <w:t>Included in interest expense.</w:t>
      </w:r>
    </w:p>
    <w:p>
      <w:pPr>
        <w:ind w:left="500" w:hanging="492"/>
        <w:spacing w:after="0"/>
        <w:tabs>
          <w:tab w:leader="none" w:pos="500" w:val="left"/>
        </w:tabs>
        <w:numPr>
          <w:ilvl w:val="0"/>
          <w:numId w:val="7"/>
        </w:numPr>
        <w:rPr>
          <w:rFonts w:ascii="Arial" w:cs="Arial" w:eastAsia="Arial" w:hAnsi="Arial"/>
          <w:sz w:val="14"/>
          <w:szCs w:val="14"/>
          <w:i w:val="1"/>
          <w:iCs w:val="1"/>
          <w:color w:val="auto"/>
        </w:rPr>
      </w:pPr>
      <w:r>
        <w:rPr>
          <w:rFonts w:ascii="Arial" w:cs="Arial" w:eastAsia="Arial" w:hAnsi="Arial"/>
          <w:sz w:val="14"/>
          <w:szCs w:val="14"/>
          <w:i w:val="1"/>
          <w:iCs w:val="1"/>
          <w:color w:val="auto"/>
        </w:rPr>
        <w:t>Included in other costs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3566795</wp:posOffset>
            </wp:positionH>
            <wp:positionV relativeFrom="paragraph">
              <wp:posOffset>-388620</wp:posOffset>
            </wp:positionV>
            <wp:extent cx="35020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502025" cy="8255"/>
                    </a:xfrm>
                    <a:prstGeom prst="rect">
                      <a:avLst/>
                    </a:prstGeom>
                    <a:noFill/>
                  </pic:spPr>
                </pic:pic>
              </a:graphicData>
            </a:graphic>
          </wp:anchor>
        </w:drawing>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NOTES TO FINANCIAL STATEMENTS, CONTINUED</w:t>
      </w:r>
    </w:p>
    <w:p>
      <w:pPr>
        <w:spacing w:after="0" w:line="219"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8. Comprehensive income, continued</w:t>
      </w:r>
    </w:p>
    <w:p>
      <w:pPr>
        <w:spacing w:after="0" w:line="115" w:lineRule="exact"/>
        <w:rPr>
          <w:sz w:val="20"/>
          <w:szCs w:val="20"/>
          <w:color w:val="auto"/>
        </w:rPr>
      </w:pPr>
    </w:p>
    <w:p>
      <w:pPr>
        <w:ind w:left="520"/>
        <w:spacing w:after="0"/>
        <w:rPr>
          <w:sz w:val="20"/>
          <w:szCs w:val="20"/>
          <w:color w:val="auto"/>
        </w:rPr>
      </w:pPr>
      <w:r>
        <w:rPr>
          <w:rFonts w:ascii="Arial" w:cs="Arial" w:eastAsia="Arial" w:hAnsi="Arial"/>
          <w:sz w:val="21"/>
          <w:szCs w:val="21"/>
          <w:color w:val="auto"/>
        </w:rPr>
        <w:t>Accumulated other comprehensive income (loss), net consisted of the following:</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60" w:type="dxa"/>
            <w:vAlign w:val="bottom"/>
            <w:gridSpan w:val="3"/>
          </w:tcPr>
          <w:p>
            <w:pPr>
              <w:jc w:val="center"/>
              <w:ind w:right="660"/>
              <w:spacing w:after="0"/>
              <w:rPr>
                <w:sz w:val="20"/>
                <w:szCs w:val="20"/>
                <w:color w:val="auto"/>
              </w:rPr>
            </w:pPr>
            <w:r>
              <w:rPr>
                <w:rFonts w:ascii="Arial" w:cs="Arial" w:eastAsia="Arial" w:hAnsi="Arial"/>
                <w:sz w:val="13"/>
                <w:szCs w:val="13"/>
                <w:b w:val="1"/>
                <w:bCs w:val="1"/>
                <w:color w:val="auto"/>
                <w:w w:val="96"/>
              </w:rPr>
              <w:t>Defined</w:t>
            </w:r>
          </w:p>
        </w:tc>
        <w:tc>
          <w:tcPr>
            <w:tcW w:w="1020" w:type="dxa"/>
            <w:vAlign w:val="bottom"/>
          </w:tcPr>
          <w:p>
            <w:pPr>
              <w:jc w:val="center"/>
              <w:ind w:right="250"/>
              <w:spacing w:after="0"/>
              <w:rPr>
                <w:sz w:val="20"/>
                <w:szCs w:val="20"/>
                <w:color w:val="auto"/>
              </w:rPr>
            </w:pPr>
            <w:r>
              <w:rPr>
                <w:rFonts w:ascii="Arial" w:cs="Arial" w:eastAsia="Arial" w:hAnsi="Arial"/>
                <w:sz w:val="13"/>
                <w:szCs w:val="13"/>
                <w:b w:val="1"/>
                <w:bCs w:val="1"/>
                <w:color w:val="auto"/>
                <w:w w:val="95"/>
              </w:rPr>
              <w:t>Cash Flow</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tcPr>
          <w:p>
            <w:pPr>
              <w:jc w:val="center"/>
              <w:ind w:right="560"/>
              <w:spacing w:after="0"/>
              <w:rPr>
                <w:sz w:val="20"/>
                <w:szCs w:val="20"/>
                <w:color w:val="auto"/>
              </w:rPr>
            </w:pPr>
            <w:r>
              <w:rPr>
                <w:rFonts w:ascii="Arial" w:cs="Arial" w:eastAsia="Arial" w:hAnsi="Arial"/>
                <w:sz w:val="13"/>
                <w:szCs w:val="13"/>
                <w:b w:val="1"/>
                <w:bCs w:val="1"/>
                <w:color w:val="auto"/>
                <w:w w:val="93"/>
              </w:rPr>
              <w:t>Investment</w:t>
            </w:r>
          </w:p>
        </w:tc>
        <w:tc>
          <w:tcPr>
            <w:tcW w:w="1960" w:type="dxa"/>
            <w:vAlign w:val="bottom"/>
            <w:gridSpan w:val="3"/>
          </w:tcPr>
          <w:p>
            <w:pPr>
              <w:jc w:val="center"/>
              <w:ind w:right="660"/>
              <w:spacing w:after="0"/>
              <w:rPr>
                <w:sz w:val="20"/>
                <w:szCs w:val="20"/>
                <w:color w:val="auto"/>
              </w:rPr>
            </w:pPr>
            <w:r>
              <w:rPr>
                <w:rFonts w:ascii="Arial" w:cs="Arial" w:eastAsia="Arial" w:hAnsi="Arial"/>
                <w:sz w:val="13"/>
                <w:szCs w:val="13"/>
                <w:b w:val="1"/>
                <w:bCs w:val="1"/>
                <w:color w:val="auto"/>
                <w:w w:val="95"/>
              </w:rPr>
              <w:t>Benefit</w:t>
            </w:r>
          </w:p>
        </w:tc>
        <w:tc>
          <w:tcPr>
            <w:tcW w:w="1020" w:type="dxa"/>
            <w:vAlign w:val="bottom"/>
          </w:tcPr>
          <w:p>
            <w:pPr>
              <w:jc w:val="center"/>
              <w:ind w:right="250"/>
              <w:spacing w:after="0"/>
              <w:rPr>
                <w:sz w:val="20"/>
                <w:szCs w:val="20"/>
                <w:color w:val="auto"/>
              </w:rPr>
            </w:pPr>
            <w:r>
              <w:rPr>
                <w:rFonts w:ascii="Arial" w:cs="Arial" w:eastAsia="Arial" w:hAnsi="Arial"/>
                <w:sz w:val="13"/>
                <w:szCs w:val="13"/>
                <w:b w:val="1"/>
                <w:bCs w:val="1"/>
                <w:color w:val="auto"/>
                <w:w w:val="89"/>
              </w:rPr>
              <w:t>Hedges</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tcPr>
          <w:p>
            <w:pPr>
              <w:jc w:val="center"/>
              <w:ind w:right="560"/>
              <w:spacing w:after="0"/>
              <w:rPr>
                <w:sz w:val="20"/>
                <w:szCs w:val="20"/>
                <w:color w:val="auto"/>
              </w:rPr>
            </w:pPr>
            <w:r>
              <w:rPr>
                <w:rFonts w:ascii="Arial" w:cs="Arial" w:eastAsia="Arial" w:hAnsi="Arial"/>
                <w:sz w:val="13"/>
                <w:szCs w:val="13"/>
                <w:b w:val="1"/>
                <w:bCs w:val="1"/>
                <w:color w:val="auto"/>
                <w:w w:val="90"/>
              </w:rPr>
              <w:t>Securities</w:t>
            </w:r>
          </w:p>
        </w:tc>
        <w:tc>
          <w:tcPr>
            <w:tcW w:w="1960" w:type="dxa"/>
            <w:vAlign w:val="bottom"/>
            <w:gridSpan w:val="3"/>
          </w:tcPr>
          <w:p>
            <w:pPr>
              <w:jc w:val="center"/>
              <w:ind w:right="640"/>
              <w:spacing w:after="0"/>
              <w:rPr>
                <w:sz w:val="20"/>
                <w:szCs w:val="20"/>
                <w:color w:val="auto"/>
              </w:rPr>
            </w:pPr>
            <w:r>
              <w:rPr>
                <w:rFonts w:ascii="Arial" w:cs="Arial" w:eastAsia="Arial" w:hAnsi="Arial"/>
                <w:sz w:val="13"/>
                <w:szCs w:val="13"/>
                <w:b w:val="1"/>
                <w:bCs w:val="1"/>
                <w:color w:val="auto"/>
                <w:w w:val="92"/>
              </w:rPr>
              <w:t>Plans</w:t>
            </w:r>
          </w:p>
        </w:tc>
        <w:tc>
          <w:tcPr>
            <w:tcW w:w="1020" w:type="dxa"/>
            <w:vAlign w:val="bottom"/>
          </w:tcPr>
          <w:p>
            <w:pPr>
              <w:jc w:val="center"/>
              <w:ind w:right="230"/>
              <w:spacing w:after="0"/>
              <w:rPr>
                <w:sz w:val="20"/>
                <w:szCs w:val="20"/>
                <w:color w:val="auto"/>
              </w:rPr>
            </w:pPr>
            <w:r>
              <w:rPr>
                <w:rFonts w:ascii="Arial" w:cs="Arial" w:eastAsia="Arial" w:hAnsi="Arial"/>
                <w:sz w:val="13"/>
                <w:szCs w:val="13"/>
                <w:b w:val="1"/>
                <w:bCs w:val="1"/>
                <w:color w:val="auto"/>
                <w:w w:val="97"/>
              </w:rPr>
              <w:t>and Other</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960" w:type="dxa"/>
            <w:vAlign w:val="bottom"/>
            <w:tcBorders>
              <w:top w:val="single" w:sz="8" w:color="auto"/>
            </w:tcBorders>
            <w:gridSpan w:val="3"/>
          </w:tcPr>
          <w:p>
            <w:pPr>
              <w:ind w:left="1080"/>
              <w:spacing w:after="0"/>
              <w:rPr>
                <w:sz w:val="20"/>
                <w:szCs w:val="20"/>
                <w:color w:val="auto"/>
              </w:rPr>
            </w:pPr>
            <w:r>
              <w:rPr>
                <w:rFonts w:ascii="Arial" w:cs="Arial" w:eastAsia="Arial" w:hAnsi="Arial"/>
                <w:sz w:val="13"/>
                <w:szCs w:val="13"/>
                <w:b w:val="1"/>
                <w:bCs w:val="1"/>
                <w:color w:val="auto"/>
                <w:w w:val="95"/>
              </w:rPr>
              <w:t>(In thousands)</w:t>
            </w:r>
          </w:p>
        </w:tc>
        <w:tc>
          <w:tcPr>
            <w:tcW w:w="102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840" w:type="dxa"/>
            <w:vAlign w:val="bottom"/>
            <w:shd w:val="clear" w:color="auto" w:fill="CFF0FC"/>
          </w:tcPr>
          <w:p>
            <w:pPr>
              <w:spacing w:after="0"/>
              <w:rPr>
                <w:sz w:val="20"/>
                <w:szCs w:val="20"/>
                <w:color w:val="auto"/>
              </w:rPr>
            </w:pPr>
            <w:r>
              <w:rPr>
                <w:rFonts w:ascii="Arial" w:cs="Arial" w:eastAsia="Arial" w:hAnsi="Arial"/>
                <w:sz w:val="14"/>
                <w:szCs w:val="14"/>
                <w:color w:val="auto"/>
              </w:rPr>
              <w:t>Balance — December 31, 2019</w:t>
            </w: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37,380</w:t>
            </w:r>
          </w:p>
        </w:tc>
        <w:tc>
          <w:tcPr>
            <w:tcW w:w="340" w:type="dxa"/>
            <w:vAlign w:val="bottom"/>
            <w:shd w:val="clear" w:color="auto" w:fill="CFF0FC"/>
          </w:tcPr>
          <w:p>
            <w:pPr>
              <w:spacing w:after="0"/>
              <w:rPr>
                <w:sz w:val="14"/>
                <w:szCs w:val="14"/>
                <w:color w:val="auto"/>
              </w:rPr>
            </w:pPr>
          </w:p>
        </w:tc>
        <w:tc>
          <w:tcPr>
            <w:tcW w:w="166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(342,419)</w:t>
            </w: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98,359</w:t>
            </w:r>
          </w:p>
        </w:tc>
        <w:tc>
          <w:tcPr>
            <w:tcW w:w="64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(206,680)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4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Net gain during period</w:t>
            </w: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97,448</w:t>
            </w:r>
          </w:p>
        </w:tc>
        <w:tc>
          <w:tcPr>
            <w:tcW w:w="340" w:type="dxa"/>
            <w:vAlign w:val="bottom"/>
            <w:tcBorders>
              <w:bottom w:val="single" w:sz="8" w:color="CFF0FC"/>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9,288</w:t>
            </w:r>
          </w:p>
        </w:tc>
        <w:tc>
          <w:tcPr>
            <w:tcW w:w="3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309,777</w:t>
            </w:r>
          </w:p>
        </w:tc>
        <w:tc>
          <w:tcPr>
            <w:tcW w:w="3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416,513</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84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 March 31, 2020</w:t>
            </w:r>
          </w:p>
        </w:tc>
        <w:tc>
          <w:tcPr>
            <w:tcW w:w="20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134,828</w:t>
            </w:r>
          </w:p>
        </w:tc>
        <w:tc>
          <w:tcPr>
            <w:tcW w:w="340" w:type="dxa"/>
            <w:vAlign w:val="bottom"/>
            <w:tcBorders>
              <w:bottom w:val="single" w:sz="8" w:color="CFF0FC"/>
            </w:tcBorders>
            <w:shd w:val="clear" w:color="auto" w:fill="CFF0FC"/>
          </w:tcPr>
          <w:p>
            <w:pPr>
              <w:spacing w:after="0"/>
              <w:rPr>
                <w:sz w:val="13"/>
                <w:szCs w:val="13"/>
                <w:color w:val="auto"/>
              </w:rPr>
            </w:pPr>
          </w:p>
        </w:tc>
        <w:tc>
          <w:tcPr>
            <w:tcW w:w="13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(333,131)</w:t>
            </w:r>
          </w:p>
        </w:tc>
        <w:tc>
          <w:tcPr>
            <w:tcW w:w="340" w:type="dxa"/>
            <w:vAlign w:val="bottom"/>
            <w:tcBorders>
              <w:bottom w:val="single" w:sz="8" w:color="CFF0FC"/>
            </w:tcBorders>
            <w:shd w:val="clear" w:color="auto" w:fill="CFF0FC"/>
          </w:tcPr>
          <w:p>
            <w:pPr>
              <w:spacing w:after="0"/>
              <w:rPr>
                <w:sz w:val="13"/>
                <w:szCs w:val="13"/>
                <w:color w:val="auto"/>
              </w:rPr>
            </w:pPr>
          </w:p>
        </w:tc>
        <w:tc>
          <w:tcPr>
            <w:tcW w:w="300" w:type="dxa"/>
            <w:vAlign w:val="bottom"/>
            <w:tcBorders>
              <w:bottom w:val="single" w:sz="8" w:color="auto"/>
            </w:tcBorders>
            <w:shd w:val="clear" w:color="auto" w:fill="CFF0FC"/>
          </w:tcPr>
          <w:p>
            <w:pPr>
              <w:spacing w:after="0"/>
              <w:rPr>
                <w:sz w:val="13"/>
                <w:szCs w:val="13"/>
                <w:color w:val="auto"/>
              </w:rPr>
            </w:pPr>
          </w:p>
        </w:tc>
        <w:tc>
          <w:tcPr>
            <w:tcW w:w="10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408,136</w:t>
            </w:r>
          </w:p>
        </w:tc>
        <w:tc>
          <w:tcPr>
            <w:tcW w:w="340" w:type="dxa"/>
            <w:vAlign w:val="bottom"/>
            <w:tcBorders>
              <w:bottom w:val="single" w:sz="8" w:color="CFF0FC"/>
            </w:tcBorders>
            <w:shd w:val="clear" w:color="auto" w:fill="CFF0FC"/>
          </w:tcPr>
          <w:p>
            <w:pPr>
              <w:spacing w:after="0"/>
              <w:rPr>
                <w:sz w:val="13"/>
                <w:szCs w:val="13"/>
                <w:color w:val="auto"/>
              </w:rPr>
            </w:pPr>
          </w:p>
        </w:tc>
        <w:tc>
          <w:tcPr>
            <w:tcW w:w="300" w:type="dxa"/>
            <w:vAlign w:val="bottom"/>
            <w:tcBorders>
              <w:bottom w:val="single" w:sz="8" w:color="auto"/>
            </w:tcBorders>
            <w:shd w:val="clear" w:color="auto" w:fill="CFF0FC"/>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209,833</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9. Derivative financial instruments</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As part of managing interest rate risk, the Company enters into interest rate swap agreements to modify the repricing characteristics of certain portions of the Company’s portfolios of earning assets and interest-bearing liabilities. The Company designates interest rate swap agreements utilized in the management of interest rate risk as either fair value hedges or cash flow hedges. Interest rate swap agreements are generally entered into with counterparties that meet established credit standards and most contain master netting, collateral and/or settlement provisions protecting the at-risk party. Based on adherence to the Company’s credit standards and the presence of the netting, collateral or settlement provisions, the Company believes that the credit risk inherent in these contracts was not material as of March 31, 2020.</w:t>
      </w:r>
    </w:p>
    <w:p>
      <w:pPr>
        <w:spacing w:after="0" w:line="70" w:lineRule="exact"/>
        <w:rPr>
          <w:sz w:val="20"/>
          <w:szCs w:val="20"/>
          <w:color w:val="auto"/>
        </w:rPr>
      </w:pPr>
    </w:p>
    <w:p>
      <w:pPr>
        <w:jc w:val="both"/>
        <w:ind w:right="20" w:firstLine="510"/>
        <w:spacing w:after="0" w:line="316" w:lineRule="auto"/>
        <w:rPr>
          <w:sz w:val="20"/>
          <w:szCs w:val="20"/>
          <w:color w:val="auto"/>
        </w:rPr>
      </w:pPr>
      <w:r>
        <w:rPr>
          <w:rFonts w:ascii="Arial" w:cs="Arial" w:eastAsia="Arial" w:hAnsi="Arial"/>
          <w:sz w:val="19"/>
          <w:szCs w:val="19"/>
          <w:color w:val="auto"/>
        </w:rPr>
        <w:t>The net effect of interest rate swap agreements was to increase net interest income by $36 million during the three months ended March 31, 2020 and to decrease net interest income by $13 million during the three months ended March 31, 2019.</w:t>
      </w:r>
    </w:p>
    <w:p>
      <w:pPr>
        <w:spacing w:after="0" w:line="18"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21"/>
          <w:szCs w:val="21"/>
          <w:color w:val="auto"/>
        </w:rPr>
        <w:t>Information about interest rate swap agreements entered into for interest rate risk management purposes summarized by type of financial instrument the swap agreements were intended to hedge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tcBorders>
              <w:bottom w:val="single" w:sz="8" w:color="auto"/>
            </w:tcBorders>
            <w:gridSpan w:val="3"/>
          </w:tcPr>
          <w:p>
            <w:pPr>
              <w:jc w:val="center"/>
              <w:ind w:left="628"/>
              <w:spacing w:after="0"/>
              <w:rPr>
                <w:sz w:val="20"/>
                <w:szCs w:val="20"/>
                <w:color w:val="auto"/>
              </w:rPr>
            </w:pPr>
            <w:r>
              <w:rPr>
                <w:rFonts w:ascii="Arial" w:cs="Arial" w:eastAsia="Arial" w:hAnsi="Arial"/>
                <w:sz w:val="14"/>
                <w:szCs w:val="14"/>
                <w:b w:val="1"/>
                <w:bCs w:val="1"/>
                <w:color w:val="auto"/>
                <w:w w:val="94"/>
              </w:rPr>
              <w:t>Weighted-</w:t>
            </w:r>
          </w:p>
        </w:tc>
        <w:tc>
          <w:tcPr>
            <w:tcW w:w="72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Estimated</w:t>
            </w:r>
          </w:p>
        </w:tc>
      </w:tr>
      <w:tr>
        <w:trPr>
          <w:trHeight w:val="180"/>
        </w:trPr>
        <w:tc>
          <w:tcPr>
            <w:tcW w:w="39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Notional</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320" w:type="dxa"/>
            <w:vAlign w:val="bottom"/>
          </w:tcPr>
          <w:p>
            <w:pPr>
              <w:spacing w:after="0"/>
              <w:rPr>
                <w:sz w:val="15"/>
                <w:szCs w:val="15"/>
                <w:color w:val="auto"/>
              </w:rPr>
            </w:pPr>
          </w:p>
        </w:tc>
        <w:tc>
          <w:tcPr>
            <w:tcW w:w="21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Average Rate</w:t>
            </w: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Fair Value</w:t>
            </w:r>
          </w:p>
        </w:tc>
      </w:tr>
      <w:tr>
        <w:trPr>
          <w:trHeight w:val="218"/>
        </w:trPr>
        <w:tc>
          <w:tcPr>
            <w:tcW w:w="39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4"/>
              </w:rPr>
              <w:t>Amount</w:t>
            </w:r>
          </w:p>
        </w:tc>
        <w:tc>
          <w:tcPr>
            <w:tcW w:w="320" w:type="dxa"/>
            <w:vAlign w:val="bottom"/>
          </w:tcPr>
          <w:p>
            <w:pPr>
              <w:spacing w:after="0"/>
              <w:rPr>
                <w:sz w:val="18"/>
                <w:szCs w:val="18"/>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Maturity</w:t>
            </w:r>
          </w:p>
        </w:tc>
        <w:tc>
          <w:tcPr>
            <w:tcW w:w="320" w:type="dxa"/>
            <w:vAlign w:val="bottom"/>
          </w:tcPr>
          <w:p>
            <w:pPr>
              <w:spacing w:after="0"/>
              <w:rPr>
                <w:sz w:val="18"/>
                <w:szCs w:val="18"/>
                <w:color w:val="auto"/>
              </w:rPr>
            </w:pPr>
          </w:p>
        </w:tc>
        <w:tc>
          <w:tcPr>
            <w:tcW w:w="86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Fixed</w:t>
            </w:r>
          </w:p>
        </w:tc>
        <w:tc>
          <w:tcPr>
            <w:tcW w:w="3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Variable</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Gain (Loss) (a)</w:t>
            </w:r>
          </w:p>
        </w:tc>
        <w:tc>
          <w:tcPr>
            <w:tcW w:w="120" w:type="dxa"/>
            <w:vAlign w:val="bottom"/>
          </w:tcPr>
          <w:p>
            <w:pPr>
              <w:spacing w:after="0"/>
              <w:rPr>
                <w:sz w:val="18"/>
                <w:szCs w:val="18"/>
                <w:color w:val="auto"/>
              </w:rPr>
            </w:pPr>
          </w:p>
        </w:tc>
      </w:tr>
      <w:tr>
        <w:trPr>
          <w:trHeight w:val="236"/>
        </w:trPr>
        <w:tc>
          <w:tcPr>
            <w:tcW w:w="39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(In thousands)</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6"/>
              </w:rPr>
              <w:t>(In years)</w:t>
            </w: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(In thousands)</w:t>
            </w:r>
          </w:p>
        </w:tc>
      </w:tr>
      <w:tr>
        <w:trPr>
          <w:trHeight w:val="229"/>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March 31, 2020</w:t>
            </w: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3940" w:type="dxa"/>
            <w:vAlign w:val="bottom"/>
          </w:tcPr>
          <w:p>
            <w:pPr>
              <w:spacing w:after="0"/>
              <w:rPr>
                <w:sz w:val="20"/>
                <w:szCs w:val="20"/>
                <w:color w:val="auto"/>
              </w:rPr>
            </w:pPr>
            <w:r>
              <w:rPr>
                <w:rFonts w:ascii="Arial" w:cs="Arial" w:eastAsia="Arial" w:hAnsi="Arial"/>
                <w:sz w:val="18"/>
                <w:szCs w:val="18"/>
                <w:color w:val="auto"/>
              </w:rPr>
              <w:t>Fair value hedges:</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3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Fixed rate long-term borrowings (b)</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3,050,000</w:t>
            </w:r>
          </w:p>
        </w:tc>
        <w:tc>
          <w:tcPr>
            <w:tcW w:w="3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56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2.61%</w:t>
            </w: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1.34%</w:t>
            </w:r>
          </w:p>
        </w:tc>
        <w:tc>
          <w:tcPr>
            <w:tcW w:w="8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(959)</w:t>
            </w:r>
          </w:p>
        </w:tc>
      </w:tr>
      <w:tr>
        <w:trPr>
          <w:trHeight w:val="229"/>
        </w:trPr>
        <w:tc>
          <w:tcPr>
            <w:tcW w:w="3940" w:type="dxa"/>
            <w:vAlign w:val="bottom"/>
          </w:tcPr>
          <w:p>
            <w:pPr>
              <w:spacing w:after="0"/>
              <w:rPr>
                <w:sz w:val="20"/>
                <w:szCs w:val="20"/>
                <w:color w:val="auto"/>
              </w:rPr>
            </w:pPr>
            <w:r>
              <w:rPr>
                <w:rFonts w:ascii="Arial" w:cs="Arial" w:eastAsia="Arial" w:hAnsi="Arial"/>
                <w:sz w:val="18"/>
                <w:szCs w:val="18"/>
                <w:color w:val="auto"/>
              </w:rPr>
              <w:t>Cash flow hedges:</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5"/>
        </w:trPr>
        <w:tc>
          <w:tcPr>
            <w:tcW w:w="3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payments on variable rate</w:t>
            </w: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3940" w:type="dxa"/>
            <w:vAlign w:val="bottom"/>
            <w:shd w:val="clear" w:color="auto" w:fill="CFF0FC"/>
          </w:tcPr>
          <w:p>
            <w:pPr>
              <w:ind w:left="420"/>
              <w:spacing w:after="0"/>
              <w:rPr>
                <w:sz w:val="20"/>
                <w:szCs w:val="20"/>
                <w:color w:val="auto"/>
              </w:rPr>
            </w:pPr>
            <w:r>
              <w:rPr>
                <w:rFonts w:ascii="Arial" w:cs="Arial" w:eastAsia="Arial" w:hAnsi="Arial"/>
                <w:sz w:val="18"/>
                <w:szCs w:val="18"/>
                <w:color w:val="auto"/>
              </w:rPr>
              <w:t>commercial real estate loans (b)(c)</w:t>
            </w:r>
          </w:p>
        </w:tc>
        <w:tc>
          <w:tcPr>
            <w:tcW w:w="100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55,100,000</w:t>
            </w:r>
          </w:p>
        </w:tc>
        <w:tc>
          <w:tcPr>
            <w:tcW w:w="320" w:type="dxa"/>
            <w:vAlign w:val="bottom"/>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56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2.53%</w:t>
            </w:r>
          </w:p>
        </w:tc>
        <w:tc>
          <w:tcPr>
            <w:tcW w:w="14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1.09%</w:t>
            </w:r>
          </w:p>
        </w:tc>
        <w:tc>
          <w:tcPr>
            <w:tcW w:w="20" w:type="dxa"/>
            <w:vAlign w:val="bottom"/>
            <w:shd w:val="clear" w:color="auto" w:fill="CFF0FC"/>
          </w:tcPr>
          <w:p>
            <w:pPr>
              <w:spacing w:after="0"/>
              <w:rPr>
                <w:sz w:val="20"/>
                <w:szCs w:val="20"/>
                <w:color w:val="auto"/>
              </w:rPr>
            </w:pPr>
          </w:p>
        </w:tc>
        <w:tc>
          <w:tcPr>
            <w:tcW w:w="6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3,942</w:t>
            </w:r>
          </w:p>
        </w:tc>
        <w:tc>
          <w:tcPr>
            <w:tcW w:w="120" w:type="dxa"/>
            <w:vAlign w:val="bottom"/>
            <w:shd w:val="clear" w:color="auto" w:fill="CFF0FC"/>
          </w:tcPr>
          <w:p>
            <w:pPr>
              <w:spacing w:after="0"/>
              <w:rPr>
                <w:sz w:val="20"/>
                <w:szCs w:val="20"/>
                <w:color w:val="auto"/>
              </w:rPr>
            </w:pPr>
          </w:p>
        </w:tc>
      </w:tr>
      <w:tr>
        <w:trPr>
          <w:trHeight w:val="263"/>
        </w:trPr>
        <w:tc>
          <w:tcPr>
            <w:tcW w:w="39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w:t>
            </w:r>
          </w:p>
        </w:tc>
        <w:tc>
          <w:tcPr>
            <w:tcW w:w="100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58,150,000</w:t>
            </w:r>
          </w:p>
        </w:tc>
        <w:tc>
          <w:tcPr>
            <w:tcW w:w="320" w:type="dxa"/>
            <w:vAlign w:val="bottom"/>
            <w:tcBorders>
              <w:bottom w:val="single" w:sz="8" w:color="CFF0FC"/>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320" w:type="dxa"/>
            <w:vAlign w:val="bottom"/>
            <w:tcBorders>
              <w:bottom w:val="single" w:sz="8" w:color="CFF0FC"/>
            </w:tcBorders>
          </w:tcPr>
          <w:p>
            <w:pPr>
              <w:spacing w:after="0"/>
              <w:rPr>
                <w:sz w:val="22"/>
                <w:szCs w:val="22"/>
                <w:color w:val="auto"/>
              </w:rPr>
            </w:pPr>
          </w:p>
        </w:tc>
        <w:tc>
          <w:tcPr>
            <w:tcW w:w="860" w:type="dxa"/>
            <w:vAlign w:val="bottom"/>
            <w:tcBorders>
              <w:bottom w:val="single" w:sz="8" w:color="CFF0FC"/>
            </w:tcBorders>
          </w:tcPr>
          <w:p>
            <w:pPr>
              <w:spacing w:after="0"/>
              <w:rPr>
                <w:sz w:val="22"/>
                <w:szCs w:val="22"/>
                <w:color w:val="auto"/>
              </w:rPr>
            </w:pPr>
          </w:p>
        </w:tc>
        <w:tc>
          <w:tcPr>
            <w:tcW w:w="380" w:type="dxa"/>
            <w:vAlign w:val="bottom"/>
            <w:tcBorders>
              <w:bottom w:val="single" w:sz="8" w:color="CFF0FC"/>
            </w:tcBorders>
          </w:tcPr>
          <w:p>
            <w:pPr>
              <w:spacing w:after="0"/>
              <w:rPr>
                <w:sz w:val="22"/>
                <w:szCs w:val="22"/>
                <w:color w:val="auto"/>
              </w:rPr>
            </w:pPr>
          </w:p>
        </w:tc>
        <w:tc>
          <w:tcPr>
            <w:tcW w:w="140" w:type="dxa"/>
            <w:vAlign w:val="bottom"/>
            <w:tcBorders>
              <w:bottom w:val="single" w:sz="8" w:color="CFF0FC"/>
            </w:tcBorders>
          </w:tcPr>
          <w:p>
            <w:pPr>
              <w:spacing w:after="0"/>
              <w:rPr>
                <w:sz w:val="22"/>
                <w:szCs w:val="22"/>
                <w:color w:val="auto"/>
              </w:rPr>
            </w:pPr>
          </w:p>
        </w:tc>
        <w:tc>
          <w:tcPr>
            <w:tcW w:w="720" w:type="dxa"/>
            <w:vAlign w:val="bottom"/>
            <w:tcBorders>
              <w:bottom w:val="single" w:sz="8" w:color="CFF0FC"/>
            </w:tcBorders>
          </w:tcPr>
          <w:p>
            <w:pPr>
              <w:spacing w:after="0"/>
              <w:rPr>
                <w:sz w:val="22"/>
                <w:szCs w:val="22"/>
                <w:color w:val="auto"/>
              </w:rPr>
            </w:pPr>
          </w:p>
        </w:tc>
        <w:tc>
          <w:tcPr>
            <w:tcW w:w="38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2,983</w:t>
            </w:r>
          </w:p>
        </w:tc>
        <w:tc>
          <w:tcPr>
            <w:tcW w:w="120" w:type="dxa"/>
            <w:vAlign w:val="bottom"/>
            <w:tcBorders>
              <w:bottom w:val="single" w:sz="8" w:color="CFF0FC"/>
            </w:tcBorders>
          </w:tcPr>
          <w:p>
            <w:pPr>
              <w:spacing w:after="0"/>
              <w:rPr>
                <w:sz w:val="22"/>
                <w:szCs w:val="22"/>
                <w:color w:val="auto"/>
              </w:rPr>
            </w:pPr>
          </w:p>
        </w:tc>
      </w:tr>
      <w:tr>
        <w:trPr>
          <w:trHeight w:val="210"/>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December 31, 2019</w:t>
            </w: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9"/>
        </w:trPr>
        <w:tc>
          <w:tcPr>
            <w:tcW w:w="3940" w:type="dxa"/>
            <w:vAlign w:val="bottom"/>
          </w:tcPr>
          <w:p>
            <w:pPr>
              <w:spacing w:after="0"/>
              <w:rPr>
                <w:sz w:val="20"/>
                <w:szCs w:val="20"/>
                <w:color w:val="auto"/>
              </w:rPr>
            </w:pPr>
            <w:r>
              <w:rPr>
                <w:rFonts w:ascii="Arial" w:cs="Arial" w:eastAsia="Arial" w:hAnsi="Arial"/>
                <w:sz w:val="18"/>
                <w:szCs w:val="18"/>
                <w:color w:val="auto"/>
              </w:rPr>
              <w:t>Fair value hedges:</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3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Fixed rate long-term borrowings (b)</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3,800,000</w:t>
            </w:r>
          </w:p>
        </w:tc>
        <w:tc>
          <w:tcPr>
            <w:tcW w:w="3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56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2.51%</w:t>
            </w: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2.27%</w:t>
            </w:r>
          </w:p>
        </w:tc>
        <w:tc>
          <w:tcPr>
            <w:tcW w:w="8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(567)</w:t>
            </w:r>
          </w:p>
        </w:tc>
      </w:tr>
      <w:tr>
        <w:trPr>
          <w:trHeight w:val="229"/>
        </w:trPr>
        <w:tc>
          <w:tcPr>
            <w:tcW w:w="3940" w:type="dxa"/>
            <w:vAlign w:val="bottom"/>
          </w:tcPr>
          <w:p>
            <w:pPr>
              <w:spacing w:after="0"/>
              <w:rPr>
                <w:sz w:val="20"/>
                <w:szCs w:val="20"/>
                <w:color w:val="auto"/>
              </w:rPr>
            </w:pPr>
            <w:r>
              <w:rPr>
                <w:rFonts w:ascii="Arial" w:cs="Arial" w:eastAsia="Arial" w:hAnsi="Arial"/>
                <w:sz w:val="18"/>
                <w:szCs w:val="18"/>
                <w:color w:val="auto"/>
              </w:rPr>
              <w:t>Cash flow hedges:</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5"/>
        </w:trPr>
        <w:tc>
          <w:tcPr>
            <w:tcW w:w="3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payments on variable rate</w:t>
            </w: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3940" w:type="dxa"/>
            <w:vAlign w:val="bottom"/>
            <w:shd w:val="clear" w:color="auto" w:fill="CFF0FC"/>
          </w:tcPr>
          <w:p>
            <w:pPr>
              <w:ind w:left="420"/>
              <w:spacing w:after="0"/>
              <w:rPr>
                <w:sz w:val="20"/>
                <w:szCs w:val="20"/>
                <w:color w:val="auto"/>
              </w:rPr>
            </w:pPr>
            <w:r>
              <w:rPr>
                <w:rFonts w:ascii="Arial" w:cs="Arial" w:eastAsia="Arial" w:hAnsi="Arial"/>
                <w:sz w:val="18"/>
                <w:szCs w:val="18"/>
                <w:color w:val="auto"/>
              </w:rPr>
              <w:t>commercial real estate loans (b)(d)</w:t>
            </w: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53,750,000</w:t>
            </w:r>
          </w:p>
        </w:tc>
        <w:tc>
          <w:tcPr>
            <w:tcW w:w="32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56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2.44%</w:t>
            </w:r>
          </w:p>
        </w:tc>
        <w:tc>
          <w:tcPr>
            <w:tcW w:w="14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1.73%</w:t>
            </w:r>
          </w:p>
        </w:tc>
        <w:tc>
          <w:tcPr>
            <w:tcW w:w="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(1,195)</w:t>
            </w:r>
          </w:p>
        </w:tc>
      </w:tr>
      <w:tr>
        <w:trPr>
          <w:trHeight w:val="223"/>
        </w:trPr>
        <w:tc>
          <w:tcPr>
            <w:tcW w:w="3940" w:type="dxa"/>
            <w:vAlign w:val="bottom"/>
          </w:tcPr>
          <w:p>
            <w:pPr>
              <w:ind w:left="240"/>
              <w:spacing w:after="0"/>
              <w:rPr>
                <w:sz w:val="20"/>
                <w:szCs w:val="20"/>
                <w:color w:val="auto"/>
              </w:rPr>
            </w:pPr>
            <w:r>
              <w:rPr>
                <w:rFonts w:ascii="Arial" w:cs="Arial" w:eastAsia="Arial" w:hAnsi="Arial"/>
                <w:sz w:val="18"/>
                <w:szCs w:val="18"/>
                <w:color w:val="auto"/>
              </w:rPr>
              <w:t>Total</w:t>
            </w:r>
          </w:p>
        </w:tc>
        <w:tc>
          <w:tcPr>
            <w:tcW w:w="10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57,550,000</w:t>
            </w:r>
          </w:p>
        </w:tc>
        <w:tc>
          <w:tcPr>
            <w:tcW w:w="3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(1,762)</w:t>
            </w:r>
          </w:p>
        </w:tc>
        <w:tc>
          <w:tcPr>
            <w:tcW w:w="120" w:type="dxa"/>
            <w:vAlign w:val="bottom"/>
          </w:tcPr>
          <w:p>
            <w:pPr>
              <w:spacing w:after="0"/>
              <w:rPr>
                <w:sz w:val="19"/>
                <w:szCs w:val="19"/>
                <w:color w:val="auto"/>
              </w:rPr>
            </w:pPr>
          </w:p>
        </w:tc>
      </w:tr>
      <w:tr>
        <w:trPr>
          <w:trHeight w:val="20"/>
        </w:trPr>
        <w:tc>
          <w:tcPr>
            <w:tcW w:w="39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62" w:lineRule="exact"/>
        <w:rPr>
          <w:sz w:val="20"/>
          <w:szCs w:val="20"/>
          <w:color w:val="auto"/>
        </w:rPr>
      </w:pPr>
    </w:p>
    <w:p>
      <w:pPr>
        <w:ind w:left="520" w:hanging="512"/>
        <w:spacing w:after="0" w:line="244" w:lineRule="auto"/>
        <w:tabs>
          <w:tab w:leader="none" w:pos="520" w:val="left"/>
        </w:tabs>
        <w:numPr>
          <w:ilvl w:val="0"/>
          <w:numId w:val="8"/>
        </w:numPr>
        <w:rPr>
          <w:rFonts w:ascii="Arial" w:cs="Arial" w:eastAsia="Arial" w:hAnsi="Arial"/>
          <w:sz w:val="13"/>
          <w:szCs w:val="13"/>
          <w:i w:val="1"/>
          <w:iCs w:val="1"/>
          <w:color w:val="auto"/>
        </w:rPr>
      </w:pPr>
      <w:r>
        <w:rPr>
          <w:rFonts w:ascii="Arial" w:cs="Arial" w:eastAsia="Arial" w:hAnsi="Arial"/>
          <w:sz w:val="13"/>
          <w:szCs w:val="13"/>
          <w:i w:val="1"/>
          <w:iCs w:val="1"/>
          <w:color w:val="auto"/>
        </w:rPr>
        <w:t>Certain clearinghouse exchanges consider payments by counterparties for variation margin on derivative instruments to be settlements of those positions. The impact of such treatment at March 31, 2020 and December 31, 2019 was a reduction of the estimated fair value gains on interest rate swap agreements designated as fair value hedges of $134.2 million and $45.1 million, respectively, and on interest rate swap agreements designated as cash flow hedges of $559.9 million and $140.7 million, respectively.</w:t>
      </w:r>
    </w:p>
    <w:p>
      <w:pPr>
        <w:spacing w:after="0" w:line="1" w:lineRule="exact"/>
        <w:rPr>
          <w:rFonts w:ascii="Arial" w:cs="Arial" w:eastAsia="Arial" w:hAnsi="Arial"/>
          <w:sz w:val="13"/>
          <w:szCs w:val="13"/>
          <w:i w:val="1"/>
          <w:iCs w:val="1"/>
          <w:color w:val="auto"/>
        </w:rPr>
      </w:pPr>
    </w:p>
    <w:p>
      <w:pPr>
        <w:ind w:left="520" w:hanging="512"/>
        <w:spacing w:after="0" w:line="221" w:lineRule="auto"/>
        <w:tabs>
          <w:tab w:leader="none" w:pos="520" w:val="left"/>
        </w:tabs>
        <w:numPr>
          <w:ilvl w:val="0"/>
          <w:numId w:val="8"/>
        </w:numPr>
        <w:rPr>
          <w:rFonts w:ascii="Arial" w:cs="Arial" w:eastAsia="Arial" w:hAnsi="Arial"/>
          <w:sz w:val="14"/>
          <w:szCs w:val="14"/>
          <w:i w:val="1"/>
          <w:iCs w:val="1"/>
          <w:color w:val="auto"/>
        </w:rPr>
      </w:pPr>
      <w:r>
        <w:rPr>
          <w:rFonts w:ascii="Arial" w:cs="Arial" w:eastAsia="Arial" w:hAnsi="Arial"/>
          <w:sz w:val="14"/>
          <w:szCs w:val="14"/>
          <w:i w:val="1"/>
          <w:iCs w:val="1"/>
          <w:color w:val="auto"/>
        </w:rPr>
        <w:t>Under the terms of these agreements, the Company receives settlement amounts at a fixed rate and pays at a variable rate.</w:t>
      </w:r>
    </w:p>
    <w:p>
      <w:pPr>
        <w:ind w:left="520" w:hanging="512"/>
        <w:spacing w:after="0"/>
        <w:tabs>
          <w:tab w:leader="none" w:pos="520" w:val="left"/>
        </w:tabs>
        <w:numPr>
          <w:ilvl w:val="0"/>
          <w:numId w:val="8"/>
        </w:numPr>
        <w:rPr>
          <w:rFonts w:ascii="Arial" w:cs="Arial" w:eastAsia="Arial" w:hAnsi="Arial"/>
          <w:sz w:val="14"/>
          <w:szCs w:val="14"/>
          <w:i w:val="1"/>
          <w:iCs w:val="1"/>
          <w:color w:val="auto"/>
        </w:rPr>
      </w:pPr>
      <w:r>
        <w:rPr>
          <w:rFonts w:ascii="Arial" w:cs="Arial" w:eastAsia="Arial" w:hAnsi="Arial"/>
          <w:sz w:val="14"/>
          <w:szCs w:val="14"/>
          <w:i w:val="1"/>
          <w:iCs w:val="1"/>
          <w:color w:val="auto"/>
        </w:rPr>
        <w:t>Includes notional amount and terms of $41.75 billion of forward-starting interest rate swap agreements that become effective in 2020 - 2022.</w:t>
      </w:r>
    </w:p>
    <w:p>
      <w:pPr>
        <w:spacing w:after="0" w:line="9" w:lineRule="exact"/>
        <w:rPr>
          <w:rFonts w:ascii="Arial" w:cs="Arial" w:eastAsia="Arial" w:hAnsi="Arial"/>
          <w:sz w:val="14"/>
          <w:szCs w:val="14"/>
          <w:i w:val="1"/>
          <w:iCs w:val="1"/>
          <w:color w:val="auto"/>
        </w:rPr>
      </w:pPr>
    </w:p>
    <w:p>
      <w:pPr>
        <w:ind w:left="520" w:hanging="512"/>
        <w:spacing w:after="0" w:line="180" w:lineRule="auto"/>
        <w:tabs>
          <w:tab w:leader="none" w:pos="520" w:val="left"/>
        </w:tabs>
        <w:numPr>
          <w:ilvl w:val="0"/>
          <w:numId w:val="8"/>
        </w:numPr>
        <w:rPr>
          <w:rFonts w:ascii="Arial" w:cs="Arial" w:eastAsia="Arial" w:hAnsi="Arial"/>
          <w:sz w:val="21"/>
          <w:szCs w:val="21"/>
          <w:i w:val="1"/>
          <w:iCs w:val="1"/>
          <w:color w:val="auto"/>
          <w:vertAlign w:val="superscript"/>
        </w:rPr>
      </w:pPr>
      <w:r>
        <w:rPr>
          <w:rFonts w:ascii="Arial" w:cs="Arial" w:eastAsia="Arial" w:hAnsi="Arial"/>
          <w:sz w:val="12"/>
          <w:szCs w:val="12"/>
          <w:i w:val="1"/>
          <w:iCs w:val="1"/>
          <w:color w:val="auto"/>
        </w:rPr>
        <w:t>Includes notional amount and terms of $40.4 billion of forward-starting interest rate swap agreements that become effective in 2020 - 2022</w:t>
      </w:r>
      <w:r>
        <w:rPr>
          <w:rFonts w:ascii="Arial" w:cs="Arial" w:eastAsia="Arial" w:hAnsi="Arial"/>
          <w:sz w:val="13"/>
          <w:szCs w:val="13"/>
          <w:i w:val="1"/>
          <w:iCs w:val="1"/>
          <w:color w:val="auto"/>
        </w:rPr>
        <w:t>.</w:t>
      </w:r>
    </w:p>
    <w:p>
      <w:pPr>
        <w:spacing w:after="0" w:line="200" w:lineRule="exact"/>
        <w:rPr>
          <w:rFonts w:ascii="Arial" w:cs="Arial" w:eastAsia="Arial" w:hAnsi="Arial"/>
          <w:sz w:val="21"/>
          <w:szCs w:val="21"/>
          <w:i w:val="1"/>
          <w:iCs w:val="1"/>
          <w:color w:val="auto"/>
          <w:vertAlign w:val="superscript"/>
        </w:rPr>
      </w:pPr>
    </w:p>
    <w:p>
      <w:pPr>
        <w:spacing w:after="0" w:line="358" w:lineRule="exact"/>
        <w:rPr>
          <w:rFonts w:ascii="Arial" w:cs="Arial" w:eastAsia="Arial" w:hAnsi="Arial"/>
          <w:sz w:val="21"/>
          <w:szCs w:val="21"/>
          <w:i w:val="1"/>
          <w:iCs w:val="1"/>
          <w:color w:val="auto"/>
          <w:vertAlign w:val="superscript"/>
        </w:rPr>
      </w:pPr>
    </w:p>
    <w:p>
      <w:pPr>
        <w:ind w:left="5540" w:hanging="111"/>
        <w:spacing w:after="0"/>
        <w:tabs>
          <w:tab w:leader="none" w:pos="5540" w:val="left"/>
        </w:tabs>
        <w:numPr>
          <w:ilvl w:val="1"/>
          <w:numId w:val="8"/>
        </w:numPr>
        <w:rPr>
          <w:rFonts w:ascii="Arial" w:cs="Arial" w:eastAsia="Arial" w:hAnsi="Arial"/>
          <w:sz w:val="18"/>
          <w:szCs w:val="18"/>
          <w:color w:val="auto"/>
        </w:rPr>
      </w:pPr>
      <w:r>
        <w:rPr>
          <w:rFonts w:ascii="Arial" w:cs="Arial" w:eastAsia="Arial" w:hAnsi="Arial"/>
          <w:sz w:val="18"/>
          <w:szCs w:val="18"/>
          <w:color w:val="auto"/>
        </w:rPr>
        <w:t>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NOTES TO FINANCIAL STATEMENTS, CONTINUED</w:t>
      </w:r>
    </w:p>
    <w:p>
      <w:pPr>
        <w:spacing w:after="0" w:line="219"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9. Derivative financial instruments, continued</w:t>
      </w:r>
    </w:p>
    <w:p>
      <w:pPr>
        <w:spacing w:after="0" w:line="115" w:lineRule="exact"/>
        <w:rPr>
          <w:sz w:val="20"/>
          <w:szCs w:val="20"/>
          <w:color w:val="auto"/>
        </w:rPr>
      </w:pPr>
    </w:p>
    <w:p>
      <w:pPr>
        <w:jc w:val="both"/>
        <w:ind w:right="20" w:firstLine="510"/>
        <w:spacing w:after="0" w:line="250" w:lineRule="auto"/>
        <w:rPr>
          <w:sz w:val="20"/>
          <w:szCs w:val="20"/>
          <w:color w:val="auto"/>
        </w:rPr>
      </w:pPr>
      <w:r>
        <w:rPr>
          <w:rFonts w:ascii="Arial" w:cs="Arial" w:eastAsia="Arial" w:hAnsi="Arial"/>
          <w:sz w:val="21"/>
          <w:szCs w:val="21"/>
          <w:color w:val="auto"/>
        </w:rPr>
        <w:t>The Company utilizes commitments to sell residential and commercial real estate loans to hedge the exposure to changes in the fair value of real estate loans held for sale. Such commitments have generally been designated as</w:t>
      </w:r>
    </w:p>
    <w:p>
      <w:pPr>
        <w:jc w:val="both"/>
        <w:spacing w:after="0" w:line="245" w:lineRule="auto"/>
        <w:rPr>
          <w:sz w:val="20"/>
          <w:szCs w:val="20"/>
          <w:color w:val="auto"/>
        </w:rPr>
      </w:pPr>
      <w:r>
        <w:rPr>
          <w:rFonts w:ascii="Arial" w:cs="Arial" w:eastAsia="Arial" w:hAnsi="Arial"/>
          <w:sz w:val="21"/>
          <w:szCs w:val="21"/>
          <w:color w:val="auto"/>
        </w:rPr>
        <w:t>fair value hedges. The Company also utilizes commitments to sell real estate loans to offset the exposure to changes in fair value of certain commitments to originate real estate loans for sale.</w:t>
      </w:r>
    </w:p>
    <w:p>
      <w:pPr>
        <w:spacing w:after="0" w:line="82" w:lineRule="exact"/>
        <w:rPr>
          <w:sz w:val="20"/>
          <w:szCs w:val="20"/>
          <w:color w:val="auto"/>
        </w:rPr>
      </w:pPr>
    </w:p>
    <w:p>
      <w:pPr>
        <w:jc w:val="both"/>
        <w:ind w:firstLine="510"/>
        <w:spacing w:after="0" w:line="262" w:lineRule="auto"/>
        <w:rPr>
          <w:sz w:val="20"/>
          <w:szCs w:val="20"/>
          <w:color w:val="auto"/>
        </w:rPr>
      </w:pPr>
      <w:r>
        <w:rPr>
          <w:rFonts w:ascii="Arial" w:cs="Arial" w:eastAsia="Arial" w:hAnsi="Arial"/>
          <w:sz w:val="20"/>
          <w:szCs w:val="20"/>
          <w:color w:val="auto"/>
        </w:rPr>
        <w:t>Derivative financial instruments used for trading account purposes included interest rate contracts, foreign exchange and other option contracts, foreign exchange forward and spot contracts, and financial futures. Interest rate contracts entered into for trading account purposes had notional values of $36.7 billion and $48.6 billion at March 31, 2020 and December 31, 2019, respectively. The notional amounts of foreign currency and other option and futures contracts entered into for trading account purposes aggregated $928 million and $1.2 billion at March 31, 2020 and December 31, 2019, respectively.</w:t>
      </w:r>
    </w:p>
    <w:p>
      <w:pPr>
        <w:spacing w:after="0" w:line="66" w:lineRule="exact"/>
        <w:rPr>
          <w:sz w:val="20"/>
          <w:szCs w:val="20"/>
          <w:color w:val="auto"/>
        </w:rPr>
      </w:pPr>
    </w:p>
    <w:p>
      <w:pPr>
        <w:jc w:val="both"/>
        <w:ind w:right="20" w:firstLine="510"/>
        <w:spacing w:after="0" w:line="263" w:lineRule="auto"/>
        <w:rPr>
          <w:sz w:val="20"/>
          <w:szCs w:val="20"/>
          <w:color w:val="auto"/>
        </w:rPr>
      </w:pPr>
      <w:r>
        <w:rPr>
          <w:rFonts w:ascii="Arial" w:cs="Arial" w:eastAsia="Arial" w:hAnsi="Arial"/>
          <w:sz w:val="21"/>
          <w:szCs w:val="21"/>
          <w:color w:val="auto"/>
        </w:rPr>
        <w:t>Information about the fair values of derivative instruments in the Company’s consolidated balance sheet and consolidated statement of income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4"/>
          </w:tcPr>
          <w:p>
            <w:pPr>
              <w:jc w:val="right"/>
              <w:ind w:right="353"/>
              <w:spacing w:after="0"/>
              <w:rPr>
                <w:sz w:val="20"/>
                <w:szCs w:val="20"/>
                <w:color w:val="auto"/>
              </w:rPr>
            </w:pPr>
            <w:r>
              <w:rPr>
                <w:rFonts w:ascii="Arial" w:cs="Arial" w:eastAsia="Arial" w:hAnsi="Arial"/>
                <w:sz w:val="14"/>
                <w:szCs w:val="14"/>
                <w:b w:val="1"/>
                <w:bCs w:val="1"/>
                <w:color w:val="auto"/>
              </w:rPr>
              <w:t>Asset Derivatives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5"/>
              </w:rPr>
              <w:t>Liability Derivatives</w:t>
            </w:r>
          </w:p>
        </w:tc>
        <w:tc>
          <w:tcPr>
            <w:tcW w:w="0" w:type="dxa"/>
            <w:vAlign w:val="bottom"/>
          </w:tcPr>
          <w:p>
            <w:pPr>
              <w:spacing w:after="0"/>
              <w:rPr>
                <w:sz w:val="1"/>
                <w:szCs w:val="1"/>
                <w:color w:val="auto"/>
              </w:rPr>
            </w:pPr>
          </w:p>
        </w:tc>
      </w:tr>
      <w:tr>
        <w:trPr>
          <w:trHeight w:val="146"/>
        </w:trPr>
        <w:tc>
          <w:tcPr>
            <w:tcW w:w="59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gridSpan w:val="3"/>
          </w:tcPr>
          <w:p>
            <w:pPr>
              <w:jc w:val="right"/>
              <w:spacing w:after="0" w:line="146" w:lineRule="exact"/>
              <w:rPr>
                <w:sz w:val="20"/>
                <w:szCs w:val="20"/>
                <w:color w:val="auto"/>
              </w:rPr>
            </w:pPr>
            <w:r>
              <w:rPr>
                <w:rFonts w:ascii="Arial" w:cs="Arial" w:eastAsia="Arial" w:hAnsi="Arial"/>
                <w:sz w:val="14"/>
                <w:szCs w:val="14"/>
                <w:b w:val="1"/>
                <w:bCs w:val="1"/>
                <w:color w:val="auto"/>
              </w:rPr>
              <w:t>Fair Value</w:t>
            </w: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3"/>
          </w:tcPr>
          <w:p>
            <w:pPr>
              <w:jc w:val="center"/>
              <w:ind w:left="436"/>
              <w:spacing w:after="0" w:line="146" w:lineRule="exact"/>
              <w:rPr>
                <w:sz w:val="20"/>
                <w:szCs w:val="20"/>
                <w:color w:val="auto"/>
              </w:rPr>
            </w:pPr>
            <w:r>
              <w:rPr>
                <w:rFonts w:ascii="Arial" w:cs="Arial" w:eastAsia="Arial" w:hAnsi="Arial"/>
                <w:sz w:val="14"/>
                <w:szCs w:val="14"/>
                <w:b w:val="1"/>
                <w:bCs w:val="1"/>
                <w:color w:val="auto"/>
                <w:w w:val="98"/>
              </w:rPr>
              <w:t>Fair Value</w:t>
            </w:r>
          </w:p>
        </w:tc>
        <w:tc>
          <w:tcPr>
            <w:tcW w:w="6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36"/>
              <w:spacing w:after="0"/>
              <w:rPr>
                <w:sz w:val="20"/>
                <w:szCs w:val="20"/>
                <w:color w:val="auto"/>
              </w:rPr>
            </w:pPr>
            <w:r>
              <w:rPr>
                <w:rFonts w:ascii="Arial" w:cs="Arial" w:eastAsia="Arial" w:hAnsi="Arial"/>
                <w:sz w:val="14"/>
                <w:szCs w:val="14"/>
                <w:b w:val="1"/>
                <w:bCs w:val="1"/>
                <w:color w:val="auto"/>
                <w:w w:val="95"/>
              </w:rPr>
              <w:t>March 31,</w:t>
            </w:r>
          </w:p>
        </w:tc>
        <w:tc>
          <w:tcPr>
            <w:tcW w:w="22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December 31,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36"/>
              <w:spacing w:after="0"/>
              <w:rPr>
                <w:sz w:val="20"/>
                <w:szCs w:val="20"/>
                <w:color w:val="auto"/>
              </w:rPr>
            </w:pPr>
            <w:r>
              <w:rPr>
                <w:rFonts w:ascii="Arial" w:cs="Arial" w:eastAsia="Arial" w:hAnsi="Arial"/>
                <w:sz w:val="14"/>
                <w:szCs w:val="14"/>
                <w:b w:val="1"/>
                <w:bCs w:val="1"/>
                <w:color w:val="auto"/>
                <w:w w:val="95"/>
              </w:rPr>
              <w:t>March 31,</w:t>
            </w:r>
          </w:p>
        </w:tc>
        <w:tc>
          <w:tcPr>
            <w:tcW w:w="220" w:type="dxa"/>
            <w:vAlign w:val="bottom"/>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5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920" w:type="dxa"/>
            <w:vAlign w:val="bottom"/>
            <w:vMerge w:val="restart"/>
          </w:tcPr>
          <w:p>
            <w:pPr>
              <w:spacing w:after="0"/>
              <w:rPr>
                <w:sz w:val="20"/>
                <w:szCs w:val="20"/>
                <w:color w:val="auto"/>
              </w:rPr>
            </w:pPr>
            <w:r>
              <w:rPr>
                <w:rFonts w:ascii="Arial" w:cs="Arial" w:eastAsia="Arial" w:hAnsi="Arial"/>
                <w:sz w:val="16"/>
                <w:szCs w:val="16"/>
                <w:b w:val="1"/>
                <w:bCs w:val="1"/>
                <w:color w:val="auto"/>
              </w:rPr>
              <w:t>Derivatives designated and qualifying as hedging instruments</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00" w:type="dxa"/>
            <w:vAlign w:val="bottom"/>
            <w:gridSpan w:val="4"/>
          </w:tcPr>
          <w:p>
            <w:pPr>
              <w:jc w:val="right"/>
              <w:ind w:right="436"/>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5920" w:type="dxa"/>
            <w:vAlign w:val="bottom"/>
            <w:shd w:val="clear" w:color="auto" w:fill="CFF0FC"/>
          </w:tcPr>
          <w:p>
            <w:pPr>
              <w:spacing w:after="0"/>
              <w:rPr>
                <w:sz w:val="20"/>
                <w:szCs w:val="20"/>
                <w:color w:val="auto"/>
              </w:rPr>
            </w:pPr>
            <w:r>
              <w:rPr>
                <w:rFonts w:ascii="Arial" w:cs="Arial" w:eastAsia="Arial" w:hAnsi="Arial"/>
                <w:sz w:val="16"/>
                <w:szCs w:val="16"/>
                <w:color w:val="auto"/>
              </w:rPr>
              <w:t>Interest rate swap agreements (a)</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4,543</w:t>
            </w:r>
          </w:p>
        </w:tc>
        <w:tc>
          <w:tcPr>
            <w:tcW w:w="44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1,560</w:t>
            </w:r>
          </w:p>
        </w:tc>
        <w:tc>
          <w:tcPr>
            <w:tcW w:w="46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1,994</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9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Commitments to sell real estate loans (a)</w:t>
            </w: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831</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1,195</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11,167</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5,374</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12,727</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920" w:type="dxa"/>
            <w:vAlign w:val="bottom"/>
          </w:tcPr>
          <w:p>
            <w:pPr>
              <w:spacing w:after="0"/>
              <w:rPr>
                <w:sz w:val="20"/>
                <w:szCs w:val="20"/>
                <w:color w:val="auto"/>
              </w:rPr>
            </w:pPr>
            <w:r>
              <w:rPr>
                <w:rFonts w:ascii="Arial" w:cs="Arial" w:eastAsia="Arial" w:hAnsi="Arial"/>
                <w:sz w:val="16"/>
                <w:szCs w:val="16"/>
                <w:b w:val="1"/>
                <w:bCs w:val="1"/>
                <w:color w:val="auto"/>
              </w:rPr>
              <w:t>Derivatives not designated and qualifying as hedging instruments</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920" w:type="dxa"/>
            <w:vAlign w:val="bottom"/>
            <w:shd w:val="clear" w:color="auto" w:fill="CFF0FC"/>
          </w:tcPr>
          <w:p>
            <w:pPr>
              <w:spacing w:after="0"/>
              <w:rPr>
                <w:sz w:val="20"/>
                <w:szCs w:val="20"/>
                <w:color w:val="auto"/>
              </w:rPr>
            </w:pPr>
            <w:r>
              <w:rPr>
                <w:rFonts w:ascii="Arial" w:cs="Arial" w:eastAsia="Arial" w:hAnsi="Arial"/>
                <w:sz w:val="16"/>
                <w:szCs w:val="16"/>
                <w:color w:val="auto"/>
              </w:rPr>
              <w:t>Mortgage-related commitments to originate real estate loans</w:t>
            </w:r>
          </w:p>
        </w:tc>
        <w:tc>
          <w:tcPr>
            <w:tcW w:w="100" w:type="dxa"/>
            <w:vAlign w:val="bottom"/>
            <w:shd w:val="clear" w:color="auto" w:fill="CFF0FC"/>
          </w:tcPr>
          <w:p>
            <w:pPr>
              <w:spacing w:after="0"/>
              <w:rPr>
                <w:sz w:val="18"/>
                <w:szCs w:val="18"/>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35,063</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11,965</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1,225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920" w:type="dxa"/>
            <w:vAlign w:val="bottom"/>
            <w:shd w:val="clear" w:color="auto" w:fill="CFF0FC"/>
          </w:tcPr>
          <w:p>
            <w:pPr>
              <w:ind w:left="160"/>
              <w:spacing w:after="0"/>
              <w:rPr>
                <w:sz w:val="20"/>
                <w:szCs w:val="20"/>
                <w:color w:val="auto"/>
              </w:rPr>
            </w:pPr>
            <w:r>
              <w:rPr>
                <w:rFonts w:ascii="Arial" w:cs="Arial" w:eastAsia="Arial" w:hAnsi="Arial"/>
                <w:sz w:val="16"/>
                <w:szCs w:val="16"/>
                <w:color w:val="auto"/>
              </w:rPr>
              <w:t>for sale (a)</w:t>
            </w:r>
          </w:p>
        </w:tc>
        <w:tc>
          <w:tcPr>
            <w:tcW w:w="100" w:type="dxa"/>
            <w:vAlign w:val="bottom"/>
            <w:shd w:val="clear" w:color="auto" w:fill="CFF0FC"/>
          </w:tcPr>
          <w:p>
            <w:pPr>
              <w:spacing w:after="0"/>
              <w:rPr>
                <w:sz w:val="18"/>
                <w:szCs w:val="18"/>
                <w:color w:val="auto"/>
              </w:rPr>
            </w:pPr>
          </w:p>
        </w:tc>
        <w:tc>
          <w:tcPr>
            <w:tcW w:w="76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4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20" w:type="dxa"/>
            <w:vAlign w:val="bottom"/>
          </w:tcPr>
          <w:p>
            <w:pPr>
              <w:spacing w:after="0"/>
              <w:rPr>
                <w:sz w:val="20"/>
                <w:szCs w:val="20"/>
                <w:color w:val="auto"/>
              </w:rPr>
            </w:pPr>
            <w:r>
              <w:rPr>
                <w:rFonts w:ascii="Arial" w:cs="Arial" w:eastAsia="Arial" w:hAnsi="Arial"/>
                <w:sz w:val="16"/>
                <w:szCs w:val="16"/>
                <w:color w:val="auto"/>
              </w:rPr>
              <w:t>Commitments to sell real estate loans (a)</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3,910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3,074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26,212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3,548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20" w:type="dxa"/>
            <w:vAlign w:val="bottom"/>
            <w:shd w:val="clear" w:color="auto" w:fill="CFF0FC"/>
          </w:tcPr>
          <w:p>
            <w:pPr>
              <w:spacing w:after="0"/>
              <w:rPr>
                <w:sz w:val="20"/>
                <w:szCs w:val="20"/>
                <w:color w:val="auto"/>
              </w:rPr>
            </w:pPr>
            <w:r>
              <w:rPr>
                <w:rFonts w:ascii="Arial" w:cs="Arial" w:eastAsia="Arial" w:hAnsi="Arial"/>
                <w:sz w:val="16"/>
                <w:szCs w:val="16"/>
                <w:color w:val="auto"/>
              </w:rPr>
              <w:t>Trading:</w:t>
            </w: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20" w:type="dxa"/>
            <w:vAlign w:val="bottom"/>
          </w:tcPr>
          <w:p>
            <w:pPr>
              <w:ind w:left="260"/>
              <w:spacing w:after="0"/>
              <w:rPr>
                <w:sz w:val="20"/>
                <w:szCs w:val="20"/>
                <w:color w:val="auto"/>
              </w:rPr>
            </w:pPr>
            <w:r>
              <w:rPr>
                <w:rFonts w:ascii="Arial" w:cs="Arial" w:eastAsia="Arial" w:hAnsi="Arial"/>
                <w:sz w:val="16"/>
                <w:szCs w:val="16"/>
                <w:color w:val="auto"/>
              </w:rPr>
              <w:t>Interest rate contracts (b)</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89"/>
              </w:rPr>
              <w:t>1,153,277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398,295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108,345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68,103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Foreign exchange and other option and futures contracts (b)</w:t>
            </w:r>
          </w:p>
        </w:tc>
        <w:tc>
          <w:tcPr>
            <w:tcW w:w="1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20,662</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12,506</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17,401</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11,800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1,212,912</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425,840</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151,994</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84,676</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 derivatives</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1,218,286</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427,267</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164,721</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87,091</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 w:lineRule="exact"/>
        <w:rPr>
          <w:sz w:val="20"/>
          <w:szCs w:val="20"/>
          <w:color w:val="auto"/>
        </w:rPr>
      </w:pPr>
    </w:p>
    <w:p>
      <w:pPr>
        <w:ind w:left="500" w:hanging="492"/>
        <w:spacing w:after="0"/>
        <w:tabs>
          <w:tab w:leader="none" w:pos="500" w:val="left"/>
        </w:tabs>
        <w:numPr>
          <w:ilvl w:val="0"/>
          <w:numId w:val="9"/>
        </w:numPr>
        <w:rPr>
          <w:rFonts w:ascii="Arial" w:cs="Arial" w:eastAsia="Arial" w:hAnsi="Arial"/>
          <w:sz w:val="15"/>
          <w:szCs w:val="15"/>
          <w:i w:val="1"/>
          <w:iCs w:val="1"/>
          <w:color w:val="auto"/>
        </w:rPr>
      </w:pPr>
      <w:r>
        <w:rPr>
          <w:rFonts w:ascii="Arial" w:cs="Arial" w:eastAsia="Arial" w:hAnsi="Arial"/>
          <w:sz w:val="15"/>
          <w:szCs w:val="15"/>
          <w:i w:val="1"/>
          <w:iCs w:val="1"/>
          <w:color w:val="auto"/>
        </w:rPr>
        <w:t>Asset derivatives are reported in other assets and liability derivatives are reported in other liabilities.</w:t>
      </w:r>
    </w:p>
    <w:p>
      <w:pPr>
        <w:spacing w:after="0" w:line="1" w:lineRule="exact"/>
        <w:rPr>
          <w:rFonts w:ascii="Arial" w:cs="Arial" w:eastAsia="Arial" w:hAnsi="Arial"/>
          <w:sz w:val="15"/>
          <w:szCs w:val="15"/>
          <w:i w:val="1"/>
          <w:iCs w:val="1"/>
          <w:color w:val="auto"/>
        </w:rPr>
      </w:pPr>
    </w:p>
    <w:p>
      <w:pPr>
        <w:jc w:val="both"/>
        <w:ind w:left="500" w:hanging="492"/>
        <w:spacing w:after="0" w:line="234" w:lineRule="auto"/>
        <w:tabs>
          <w:tab w:leader="none" w:pos="500" w:val="left"/>
        </w:tabs>
        <w:numPr>
          <w:ilvl w:val="0"/>
          <w:numId w:val="9"/>
        </w:numPr>
        <w:rPr>
          <w:rFonts w:ascii="Arial" w:cs="Arial" w:eastAsia="Arial" w:hAnsi="Arial"/>
          <w:sz w:val="15"/>
          <w:szCs w:val="15"/>
          <w:i w:val="1"/>
          <w:iCs w:val="1"/>
          <w:color w:val="auto"/>
        </w:rPr>
      </w:pPr>
      <w:r>
        <w:rPr>
          <w:rFonts w:ascii="Arial" w:cs="Arial" w:eastAsia="Arial" w:hAnsi="Arial"/>
          <w:sz w:val="15"/>
          <w:szCs w:val="15"/>
          <w:i w:val="1"/>
          <w:iCs w:val="1"/>
          <w:color w:val="auto"/>
        </w:rPr>
        <w:t>Asset derivatives are reported in trading account assets and liability derivatives are reported in other liabilities. The impact of variation margin payments at March 31, 2020 and December 31, 2019 was a reduction of the estimated fair value of interest rate contracts in the trading account in an asset position of $3.3 million and $43.3 million, respectively, and in a liability position of $945.1 million and $281.3 million, respectively.</w:t>
      </w:r>
    </w:p>
    <w:p>
      <w:pPr>
        <w:spacing w:after="0" w:line="399" w:lineRule="exact"/>
        <w:rPr>
          <w:rFonts w:ascii="Arial" w:cs="Arial" w:eastAsia="Arial" w:hAnsi="Arial"/>
          <w:sz w:val="15"/>
          <w:szCs w:val="15"/>
          <w:i w:val="1"/>
          <w:iCs w:val="1"/>
          <w:color w:val="auto"/>
        </w:rPr>
      </w:pPr>
    </w:p>
    <w:p>
      <w:pPr>
        <w:ind w:left="5540" w:hanging="111"/>
        <w:spacing w:after="0"/>
        <w:tabs>
          <w:tab w:leader="none" w:pos="5540" w:val="left"/>
        </w:tabs>
        <w:numPr>
          <w:ilvl w:val="1"/>
          <w:numId w:val="9"/>
        </w:numPr>
        <w:rPr>
          <w:rFonts w:ascii="Arial" w:cs="Arial" w:eastAsia="Arial" w:hAnsi="Arial"/>
          <w:sz w:val="18"/>
          <w:szCs w:val="18"/>
          <w:color w:val="auto"/>
        </w:rPr>
      </w:pPr>
      <w:r>
        <w:rPr>
          <w:rFonts w:ascii="Arial" w:cs="Arial" w:eastAsia="Arial" w:hAnsi="Arial"/>
          <w:sz w:val="18"/>
          <w:szCs w:val="18"/>
          <w:color w:val="auto"/>
        </w:rPr>
        <w:t>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NOTES TO FINANCIAL STATEMENTS, CONTINUED</w:t>
      </w:r>
    </w:p>
    <w:p>
      <w:pPr>
        <w:spacing w:after="0" w:line="219"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9. Derivative financial instruments, continued</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7"/>
          </w:tcPr>
          <w:p>
            <w:pPr>
              <w:jc w:val="center"/>
              <w:ind w:right="20"/>
              <w:spacing w:after="0"/>
              <w:rPr>
                <w:sz w:val="20"/>
                <w:szCs w:val="20"/>
                <w:color w:val="auto"/>
              </w:rPr>
            </w:pPr>
            <w:r>
              <w:rPr>
                <w:rFonts w:ascii="Arial" w:cs="Arial" w:eastAsia="Arial" w:hAnsi="Arial"/>
                <w:sz w:val="14"/>
                <w:szCs w:val="14"/>
                <w:b w:val="1"/>
                <w:bCs w:val="1"/>
                <w:color w:val="auto"/>
                <w:w w:val="92"/>
              </w:rPr>
              <w:t>Amount of Gain (Loss) Recognized</w:t>
            </w: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7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80" w:type="dxa"/>
            <w:vAlign w:val="bottom"/>
            <w:gridSpan w:val="4"/>
          </w:tcPr>
          <w:p>
            <w:pPr>
              <w:jc w:val="center"/>
              <w:ind w:right="380"/>
              <w:spacing w:after="0" w:line="133" w:lineRule="exact"/>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60" w:type="dxa"/>
            <w:vAlign w:val="bottom"/>
            <w:gridSpan w:val="3"/>
          </w:tcPr>
          <w:p>
            <w:pPr>
              <w:jc w:val="center"/>
              <w:ind w:right="102"/>
              <w:spacing w:after="0" w:line="133" w:lineRule="exact"/>
              <w:rPr>
                <w:sz w:val="20"/>
                <w:szCs w:val="20"/>
                <w:color w:val="auto"/>
              </w:rPr>
            </w:pPr>
            <w:r>
              <w:rPr>
                <w:rFonts w:ascii="Arial" w:cs="Arial" w:eastAsia="Arial" w:hAnsi="Arial"/>
                <w:sz w:val="14"/>
                <w:szCs w:val="14"/>
                <w:b w:val="1"/>
                <w:bCs w:val="1"/>
                <w:color w:val="auto"/>
                <w:w w:val="95"/>
              </w:rPr>
              <w:t>Three Months Ended</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7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8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4"/>
              </w:rPr>
              <w:t>March 31, 2020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6"/>
              </w:rPr>
              <w:t>March 31, 2019</w:t>
            </w:r>
          </w:p>
        </w:tc>
        <w:tc>
          <w:tcPr>
            <w:tcW w:w="0" w:type="dxa"/>
            <w:vAlign w:val="bottom"/>
          </w:tcPr>
          <w:p>
            <w:pPr>
              <w:spacing w:after="0"/>
              <w:rPr>
                <w:sz w:val="1"/>
                <w:szCs w:val="1"/>
                <w:color w:val="auto"/>
              </w:rPr>
            </w:pPr>
          </w:p>
        </w:tc>
      </w:tr>
      <w:tr>
        <w:trPr>
          <w:trHeight w:val="133"/>
        </w:trPr>
        <w:tc>
          <w:tcPr>
            <w:tcW w:w="7160" w:type="dxa"/>
            <w:vAlign w:val="bottom"/>
          </w:tcPr>
          <w:p>
            <w:pPr>
              <w:spacing w:after="0"/>
              <w:rPr>
                <w:sz w:val="11"/>
                <w:szCs w:val="11"/>
                <w:color w:val="auto"/>
              </w:rPr>
            </w:pPr>
          </w:p>
        </w:tc>
        <w:tc>
          <w:tcPr>
            <w:tcW w:w="78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4"/>
                <w:szCs w:val="14"/>
                <w:b w:val="1"/>
                <w:bCs w:val="1"/>
                <w:color w:val="auto"/>
              </w:rPr>
              <w:t>Derivative</w:t>
            </w:r>
          </w:p>
        </w:tc>
        <w:tc>
          <w:tcPr>
            <w:tcW w:w="3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89"/>
              </w:rPr>
              <w:t>Hedged</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Borders>
              <w:top w:val="single" w:sz="8" w:color="auto"/>
            </w:tcBorders>
            <w:gridSpan w:val="3"/>
            <w:vMerge w:val="restart"/>
          </w:tcPr>
          <w:p>
            <w:pPr>
              <w:ind w:left="60"/>
              <w:spacing w:after="0"/>
              <w:rPr>
                <w:sz w:val="20"/>
                <w:szCs w:val="20"/>
                <w:color w:val="auto"/>
              </w:rPr>
            </w:pPr>
            <w:r>
              <w:rPr>
                <w:rFonts w:ascii="Arial" w:cs="Arial" w:eastAsia="Arial" w:hAnsi="Arial"/>
                <w:sz w:val="14"/>
                <w:szCs w:val="14"/>
                <w:b w:val="1"/>
                <w:bCs w:val="1"/>
                <w:color w:val="auto"/>
              </w:rPr>
              <w:t>Derivative</w:t>
            </w:r>
          </w:p>
        </w:tc>
        <w:tc>
          <w:tcPr>
            <w:tcW w:w="76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3"/>
              </w:rPr>
              <w:t>Hedged</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71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Item</w:t>
            </w:r>
          </w:p>
        </w:tc>
        <w:tc>
          <w:tcPr>
            <w:tcW w:w="12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8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7"/>
              </w:rPr>
              <w:t>Item</w:t>
            </w:r>
          </w:p>
        </w:tc>
        <w:tc>
          <w:tcPr>
            <w:tcW w:w="0" w:type="dxa"/>
            <w:vAlign w:val="bottom"/>
          </w:tcPr>
          <w:p>
            <w:pPr>
              <w:spacing w:after="0"/>
              <w:rPr>
                <w:sz w:val="1"/>
                <w:szCs w:val="1"/>
                <w:color w:val="auto"/>
              </w:rPr>
            </w:pPr>
          </w:p>
        </w:tc>
      </w:tr>
      <w:tr>
        <w:trPr>
          <w:trHeight w:val="180"/>
        </w:trPr>
        <w:tc>
          <w:tcPr>
            <w:tcW w:w="7160" w:type="dxa"/>
            <w:vAlign w:val="bottom"/>
            <w:vMerge w:val="restart"/>
          </w:tcPr>
          <w:p>
            <w:pPr>
              <w:spacing w:after="0"/>
              <w:rPr>
                <w:sz w:val="20"/>
                <w:szCs w:val="20"/>
                <w:color w:val="auto"/>
              </w:rPr>
            </w:pPr>
            <w:r>
              <w:rPr>
                <w:rFonts w:ascii="Arial" w:cs="Arial" w:eastAsia="Arial" w:hAnsi="Arial"/>
                <w:sz w:val="18"/>
                <w:szCs w:val="18"/>
                <w:b w:val="1"/>
                <w:bCs w:val="1"/>
                <w:color w:val="auto"/>
              </w:rPr>
              <w:t>Derivatives in fair value hedging relationships</w:t>
            </w:r>
          </w:p>
        </w:tc>
        <w:tc>
          <w:tcPr>
            <w:tcW w:w="1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2160" w:type="dxa"/>
            <w:vAlign w:val="bottom"/>
            <w:tcBorders>
              <w:top w:val="single" w:sz="8" w:color="auto"/>
            </w:tcBorders>
            <w:gridSpan w:val="6"/>
          </w:tcPr>
          <w:p>
            <w:pPr>
              <w:jc w:val="center"/>
              <w:ind w:right="320"/>
              <w:spacing w:after="0"/>
              <w:rPr>
                <w:sz w:val="20"/>
                <w:szCs w:val="20"/>
                <w:color w:val="auto"/>
              </w:rPr>
            </w:pPr>
            <w:r>
              <w:rPr>
                <w:rFonts w:ascii="Arial" w:cs="Arial" w:eastAsia="Arial" w:hAnsi="Arial"/>
                <w:sz w:val="14"/>
                <w:szCs w:val="14"/>
                <w:b w:val="1"/>
                <w:bCs w:val="1"/>
                <w:color w:val="auto"/>
                <w:w w:val="91"/>
              </w:rPr>
              <w:t>(In thousands)</w:t>
            </w:r>
          </w:p>
        </w:tc>
        <w:tc>
          <w:tcPr>
            <w:tcW w:w="7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71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FF0FC"/>
          </w:tcPr>
          <w:p>
            <w:pPr>
              <w:spacing w:after="0"/>
              <w:rPr>
                <w:sz w:val="20"/>
                <w:szCs w:val="20"/>
                <w:color w:val="auto"/>
              </w:rPr>
            </w:pPr>
            <w:r>
              <w:rPr>
                <w:rFonts w:ascii="Arial" w:cs="Arial" w:eastAsia="Arial" w:hAnsi="Arial"/>
                <w:sz w:val="18"/>
                <w:szCs w:val="18"/>
                <w:color w:val="auto"/>
              </w:rPr>
              <w:t>Interest rate swap agreements:</w:t>
            </w:r>
          </w:p>
        </w:tc>
        <w:tc>
          <w:tcPr>
            <w:tcW w:w="1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7160" w:type="dxa"/>
            <w:vAlign w:val="bottom"/>
          </w:tcPr>
          <w:p>
            <w:pPr>
              <w:ind w:left="260"/>
              <w:spacing w:after="0"/>
              <w:rPr>
                <w:sz w:val="20"/>
                <w:szCs w:val="20"/>
                <w:color w:val="auto"/>
              </w:rPr>
            </w:pPr>
            <w:r>
              <w:rPr>
                <w:rFonts w:ascii="Arial" w:cs="Arial" w:eastAsia="Arial" w:hAnsi="Arial"/>
                <w:sz w:val="18"/>
                <w:szCs w:val="18"/>
                <w:color w:val="auto"/>
              </w:rPr>
              <w:t>Fixed rate long-term borrowings (a)</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88,710</w:t>
            </w:r>
          </w:p>
        </w:tc>
        <w:tc>
          <w:tcPr>
            <w:tcW w:w="1280" w:type="dxa"/>
            <w:vAlign w:val="bottom"/>
            <w:gridSpan w:val="3"/>
          </w:tcPr>
          <w:p>
            <w:pPr>
              <w:jc w:val="right"/>
              <w:ind w:right="140"/>
              <w:spacing w:after="0"/>
              <w:rPr>
                <w:sz w:val="20"/>
                <w:szCs w:val="20"/>
                <w:color w:val="auto"/>
              </w:rPr>
            </w:pPr>
            <w:r>
              <w:rPr>
                <w:rFonts w:ascii="Arial" w:cs="Arial" w:eastAsia="Arial" w:hAnsi="Arial"/>
                <w:sz w:val="18"/>
                <w:szCs w:val="18"/>
                <w:color w:val="auto"/>
              </w:rPr>
              <w:t>(87,824)</w:t>
            </w:r>
          </w:p>
        </w:tc>
        <w:tc>
          <w:tcPr>
            <w:tcW w:w="28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34,180</w:t>
            </w:r>
          </w:p>
        </w:tc>
        <w:tc>
          <w:tcPr>
            <w:tcW w:w="300" w:type="dxa"/>
            <w:vAlign w:val="bottom"/>
          </w:tcPr>
          <w:p>
            <w:pPr>
              <w:spacing w:after="0"/>
              <w:rPr>
                <w:sz w:val="22"/>
                <w:szCs w:val="22"/>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(34,014)</w:t>
            </w:r>
          </w:p>
        </w:tc>
        <w:tc>
          <w:tcPr>
            <w:tcW w:w="0" w:type="dxa"/>
            <w:vAlign w:val="bottom"/>
          </w:tcPr>
          <w:p>
            <w:pPr>
              <w:spacing w:after="0"/>
              <w:rPr>
                <w:sz w:val="1"/>
                <w:szCs w:val="1"/>
                <w:color w:val="auto"/>
              </w:rPr>
            </w:pPr>
          </w:p>
        </w:tc>
      </w:tr>
      <w:tr>
        <w:trPr>
          <w:trHeight w:val="196"/>
        </w:trPr>
        <w:tc>
          <w:tcPr>
            <w:tcW w:w="7160" w:type="dxa"/>
            <w:vAlign w:val="bottom"/>
            <w:tcBorders>
              <w:top w:val="single" w:sz="8" w:color="CFF0FC"/>
            </w:tcBorders>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Derivatives not designated as hedging instruments</w:t>
            </w:r>
          </w:p>
        </w:tc>
        <w:tc>
          <w:tcPr>
            <w:tcW w:w="18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Trading:</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rate contracts (b)</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12,786</w:t>
            </w:r>
          </w:p>
        </w:tc>
        <w:tc>
          <w:tcPr>
            <w:tcW w:w="3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2,711</w:t>
            </w:r>
          </w:p>
        </w:tc>
        <w:tc>
          <w:tcPr>
            <w:tcW w:w="3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Foreign exchange and other option and futures contracts (b)</w:t>
            </w: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4,352</w:t>
            </w:r>
          </w:p>
        </w:tc>
        <w:tc>
          <w:tcPr>
            <w:tcW w:w="300" w:type="dxa"/>
            <w:vAlign w:val="bottom"/>
            <w:tcBorders>
              <w:bottom w:val="single" w:sz="8" w:color="CFF0FC"/>
            </w:tcBorders>
          </w:tcPr>
          <w:p>
            <w:pPr>
              <w:spacing w:after="0"/>
              <w:rPr>
                <w:sz w:val="18"/>
                <w:szCs w:val="18"/>
                <w:color w:val="auto"/>
              </w:rPr>
            </w:pPr>
          </w:p>
        </w:tc>
        <w:tc>
          <w:tcPr>
            <w:tcW w:w="780" w:type="dxa"/>
            <w:vAlign w:val="bottom"/>
            <w:tcBorders>
              <w:bottom w:val="single" w:sz="8" w:color="CFF0FC"/>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1,613</w:t>
            </w:r>
          </w:p>
        </w:tc>
        <w:tc>
          <w:tcPr>
            <w:tcW w:w="300" w:type="dxa"/>
            <w:vAlign w:val="bottom"/>
            <w:tcBorders>
              <w:bottom w:val="single" w:sz="8" w:color="CFF0FC"/>
            </w:tcBorders>
          </w:tcPr>
          <w:p>
            <w:pPr>
              <w:spacing w:after="0"/>
              <w:rPr>
                <w:sz w:val="18"/>
                <w:szCs w:val="18"/>
                <w:color w:val="auto"/>
              </w:rPr>
            </w:pPr>
          </w:p>
        </w:tc>
        <w:tc>
          <w:tcPr>
            <w:tcW w:w="7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17,138</w:t>
            </w:r>
          </w:p>
        </w:tc>
        <w:tc>
          <w:tcPr>
            <w:tcW w:w="30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4,324</w:t>
            </w:r>
          </w:p>
        </w:tc>
        <w:tc>
          <w:tcPr>
            <w:tcW w:w="30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 w:lineRule="exact"/>
        <w:rPr>
          <w:sz w:val="20"/>
          <w:szCs w:val="20"/>
          <w:color w:val="auto"/>
        </w:rPr>
      </w:pPr>
    </w:p>
    <w:p>
      <w:pPr>
        <w:ind w:left="500" w:hanging="452"/>
        <w:spacing w:after="0"/>
        <w:tabs>
          <w:tab w:leader="none" w:pos="500"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Reported as an adjustment to interest expense.</w:t>
      </w:r>
    </w:p>
    <w:p>
      <w:pPr>
        <w:spacing w:after="0" w:line="22" w:lineRule="exact"/>
        <w:rPr>
          <w:rFonts w:ascii="Arial" w:cs="Arial" w:eastAsia="Arial" w:hAnsi="Arial"/>
          <w:sz w:val="16"/>
          <w:szCs w:val="16"/>
          <w:i w:val="1"/>
          <w:iCs w:val="1"/>
          <w:color w:val="auto"/>
        </w:rPr>
      </w:pPr>
    </w:p>
    <w:p>
      <w:pPr>
        <w:ind w:left="500" w:hanging="452"/>
        <w:spacing w:after="0"/>
        <w:tabs>
          <w:tab w:leader="none" w:pos="500"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Reported as trading account and foreign exchange gains.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8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5"/>
              </w:rPr>
              <w:t>Cumulative Amount of Fair Value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8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Hedging Adjustment Increasing</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500" w:type="dxa"/>
            <w:vAlign w:val="bottom"/>
            <w:gridSpan w:val="5"/>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(Decreasing) the Carrying Amount of</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7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Carrying Amount of the Hedged Item</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40" w:type="dxa"/>
            <w:vAlign w:val="bottom"/>
          </w:tcPr>
          <w:p>
            <w:pPr>
              <w:jc w:val="center"/>
              <w:ind w:right="242"/>
              <w:spacing w:after="0" w:line="149" w:lineRule="exact"/>
              <w:rPr>
                <w:sz w:val="20"/>
                <w:szCs w:val="20"/>
                <w:color w:val="auto"/>
              </w:rPr>
            </w:pPr>
            <w:r>
              <w:rPr>
                <w:rFonts w:ascii="Arial" w:cs="Arial" w:eastAsia="Arial" w:hAnsi="Arial"/>
                <w:sz w:val="14"/>
                <w:szCs w:val="14"/>
                <w:b w:val="1"/>
                <w:bCs w:val="1"/>
                <w:color w:val="auto"/>
                <w:w w:val="95"/>
              </w:rPr>
              <w:t>the</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7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center"/>
              <w:ind w:left="504"/>
              <w:spacing w:after="0"/>
              <w:rPr>
                <w:sz w:val="20"/>
                <w:szCs w:val="20"/>
                <w:color w:val="auto"/>
              </w:rPr>
            </w:pPr>
            <w:r>
              <w:rPr>
                <w:rFonts w:ascii="Arial" w:cs="Arial" w:eastAsia="Arial" w:hAnsi="Arial"/>
                <w:sz w:val="14"/>
                <w:szCs w:val="14"/>
                <w:b w:val="1"/>
                <w:bCs w:val="1"/>
                <w:color w:val="auto"/>
                <w:w w:val="95"/>
              </w:rPr>
              <w:t>Hedged Item</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6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18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March 31, 2020</w:t>
            </w:r>
          </w:p>
        </w:tc>
        <w:tc>
          <w:tcPr>
            <w:tcW w:w="1180" w:type="dxa"/>
            <w:vAlign w:val="bottom"/>
            <w:tcBorders>
              <w:top w:val="single" w:sz="8" w:color="auto"/>
            </w:tcBorders>
          </w:tcPr>
          <w:p>
            <w:pPr>
              <w:ind w:left="280"/>
              <w:spacing w:after="0" w:line="133" w:lineRule="exact"/>
              <w:rPr>
                <w:sz w:val="20"/>
                <w:szCs w:val="20"/>
                <w:color w:val="auto"/>
              </w:rPr>
            </w:pPr>
            <w:r>
              <w:rPr>
                <w:rFonts w:ascii="Arial" w:cs="Arial" w:eastAsia="Arial" w:hAnsi="Arial"/>
                <w:sz w:val="14"/>
                <w:szCs w:val="14"/>
                <w:b w:val="1"/>
                <w:bCs w:val="1"/>
                <w:color w:val="auto"/>
                <w:w w:val="96"/>
              </w:rPr>
              <w:t>December 31,</w:t>
            </w:r>
          </w:p>
        </w:tc>
        <w:tc>
          <w:tcPr>
            <w:tcW w:w="420" w:type="dxa"/>
            <w:vAlign w:val="bottom"/>
          </w:tcPr>
          <w:p>
            <w:pPr>
              <w:spacing w:after="0"/>
              <w:rPr>
                <w:sz w:val="11"/>
                <w:szCs w:val="11"/>
                <w:color w:val="auto"/>
              </w:rPr>
            </w:pPr>
          </w:p>
        </w:tc>
        <w:tc>
          <w:tcPr>
            <w:tcW w:w="1020" w:type="dxa"/>
            <w:vAlign w:val="bottom"/>
            <w:tcBorders>
              <w:top w:val="single" w:sz="8" w:color="auto"/>
            </w:tcBorders>
            <w:gridSpan w:val="2"/>
            <w:vMerge w:val="restart"/>
          </w:tcPr>
          <w:p>
            <w:pPr>
              <w:spacing w:after="0"/>
              <w:rPr>
                <w:sz w:val="20"/>
                <w:szCs w:val="20"/>
                <w:color w:val="auto"/>
              </w:rPr>
            </w:pPr>
            <w:r>
              <w:rPr>
                <w:rFonts w:ascii="Arial" w:cs="Arial" w:eastAsia="Arial" w:hAnsi="Arial"/>
                <w:sz w:val="14"/>
                <w:szCs w:val="14"/>
                <w:b w:val="1"/>
                <w:bCs w:val="1"/>
                <w:color w:val="auto"/>
              </w:rPr>
              <w:t>March 31, 2020</w:t>
            </w:r>
          </w:p>
        </w:tc>
        <w:tc>
          <w:tcPr>
            <w:tcW w:w="1360" w:type="dxa"/>
            <w:vAlign w:val="bottom"/>
            <w:tcBorders>
              <w:top w:val="single" w:sz="8" w:color="auto"/>
            </w:tcBorders>
            <w:gridSpan w:val="2"/>
          </w:tcPr>
          <w:p>
            <w:pPr>
              <w:jc w:val="center"/>
              <w:ind w:left="282"/>
              <w:spacing w:after="0" w:line="133" w:lineRule="exact"/>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1180" w:type="dxa"/>
            <w:vAlign w:val="bottom"/>
            <w:tcBorders>
              <w:bottom w:val="single" w:sz="8" w:color="auto"/>
            </w:tcBorders>
          </w:tcPr>
          <w:p>
            <w:pPr>
              <w:jc w:val="right"/>
              <w:ind w:right="264"/>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vMerge w:val="continue"/>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20" w:type="dxa"/>
            <w:vAlign w:val="bottom"/>
            <w:gridSpan w:val="4"/>
          </w:tcPr>
          <w:p>
            <w:pPr>
              <w:jc w:val="right"/>
              <w:ind w:right="704"/>
              <w:spacing w:after="0"/>
              <w:rPr>
                <w:sz w:val="20"/>
                <w:szCs w:val="20"/>
                <w:color w:val="auto"/>
              </w:rPr>
            </w:pPr>
            <w:r>
              <w:rPr>
                <w:rFonts w:ascii="Arial" w:cs="Arial" w:eastAsia="Arial" w:hAnsi="Arial"/>
                <w:sz w:val="14"/>
                <w:szCs w:val="14"/>
                <w:b w:val="1"/>
                <w:bCs w:val="1"/>
                <w:color w:val="auto"/>
              </w:rPr>
              <w:t>(In thousands)</w:t>
            </w:r>
          </w:p>
        </w:tc>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6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Location in the Consolidated Balance Sheet</w:t>
            </w:r>
          </w:p>
        </w:tc>
        <w:tc>
          <w:tcPr>
            <w:tcW w:w="13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40" w:type="dxa"/>
            <w:vAlign w:val="bottom"/>
            <w:shd w:val="clear" w:color="auto" w:fill="CFF0FC"/>
          </w:tcPr>
          <w:p>
            <w:pPr>
              <w:ind w:left="120"/>
              <w:spacing w:after="0"/>
              <w:rPr>
                <w:sz w:val="20"/>
                <w:szCs w:val="20"/>
                <w:color w:val="auto"/>
              </w:rPr>
            </w:pPr>
            <w:r>
              <w:rPr>
                <w:rFonts w:ascii="Arial" w:cs="Arial" w:eastAsia="Arial" w:hAnsi="Arial"/>
                <w:sz w:val="18"/>
                <w:szCs w:val="18"/>
                <w:b w:val="1"/>
                <w:bCs w:val="1"/>
                <w:color w:val="auto"/>
              </w:rPr>
              <w:t>of the Hedged Items in Fair Value Hedges</w:t>
            </w:r>
          </w:p>
        </w:tc>
        <w:tc>
          <w:tcPr>
            <w:tcW w:w="130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46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Long-term debt</w:t>
            </w:r>
          </w:p>
        </w:tc>
        <w:tc>
          <w:tcPr>
            <w:tcW w:w="2480" w:type="dxa"/>
            <w:vAlign w:val="bottom"/>
            <w:gridSpan w:val="2"/>
            <w:shd w:val="clear" w:color="auto" w:fill="CFF0FC"/>
          </w:tcPr>
          <w:p>
            <w:pPr>
              <w:ind w:left="1300"/>
              <w:spacing w:after="0"/>
              <w:rPr>
                <w:sz w:val="20"/>
                <w:szCs w:val="20"/>
                <w:color w:val="auto"/>
              </w:rPr>
            </w:pPr>
            <w:r>
              <w:rPr>
                <w:rFonts w:ascii="Arial" w:cs="Arial" w:eastAsia="Arial" w:hAnsi="Arial"/>
                <w:sz w:val="18"/>
                <w:szCs w:val="18"/>
                <w:color w:val="auto"/>
              </w:rPr>
              <w:t>$  3,179,012</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  3,840,775</w:t>
            </w:r>
          </w:p>
        </w:tc>
        <w:tc>
          <w:tcPr>
            <w:tcW w:w="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131,464</w:t>
            </w:r>
          </w:p>
        </w:tc>
        <w:tc>
          <w:tcPr>
            <w:tcW w:w="640" w:type="dxa"/>
            <w:vAlign w:val="bottom"/>
            <w:shd w:val="clear" w:color="auto" w:fill="CFF0FC"/>
          </w:tcPr>
          <w:p>
            <w:pPr>
              <w:jc w:val="right"/>
              <w:ind w:right="102"/>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43,640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21"/>
          <w:szCs w:val="21"/>
          <w:color w:val="auto"/>
        </w:rPr>
        <w:t>The amount of gain (loss) recognized in the consolidated statement of income associated with derivatives designated as cash flow hedges was not material.</w:t>
      </w:r>
    </w:p>
    <w:p>
      <w:pPr>
        <w:spacing w:after="0" w:line="64" w:lineRule="exact"/>
        <w:rPr>
          <w:sz w:val="20"/>
          <w:szCs w:val="20"/>
          <w:color w:val="auto"/>
        </w:rPr>
      </w:pPr>
    </w:p>
    <w:p>
      <w:pPr>
        <w:jc w:val="both"/>
        <w:ind w:firstLine="510"/>
        <w:spacing w:after="0" w:line="292" w:lineRule="auto"/>
        <w:rPr>
          <w:sz w:val="20"/>
          <w:szCs w:val="20"/>
          <w:color w:val="auto"/>
        </w:rPr>
      </w:pPr>
      <w:r>
        <w:rPr>
          <w:rFonts w:ascii="Arial" w:cs="Arial" w:eastAsia="Arial" w:hAnsi="Arial"/>
          <w:sz w:val="18"/>
          <w:szCs w:val="18"/>
          <w:color w:val="auto"/>
        </w:rPr>
        <w:t>The Company also has commitments to sell and commitments to originate residential and commercial real estate loans that are considered derivatives. The Company designates certain of the commitments to sell real estate loans as fair value hedges of real estate loans held for sale. The Company also utilizes commitments to sell real estate loans to offset the exposure to changes in the fair value of certain commitments to originate real estate loans for sale. As a result of these activities, net unrealized pre-tax gains related to hedged loans held for sale, commitments to originate loans for sale and commitments to sell loans were approximately $27 million and $18 million at March 31, 2020 and December 31, 2019, respectively. Changes in unrealized gains and losses are included in mortgage banking revenues and, in general, are realized in subsequent periods as the related loans are sold and commitments satisfied.</w:t>
      </w:r>
    </w:p>
    <w:p>
      <w:pPr>
        <w:spacing w:after="0" w:line="44" w:lineRule="exact"/>
        <w:rPr>
          <w:sz w:val="20"/>
          <w:szCs w:val="20"/>
          <w:color w:val="auto"/>
        </w:rPr>
      </w:pPr>
    </w:p>
    <w:p>
      <w:pPr>
        <w:jc w:val="both"/>
        <w:ind w:firstLine="510"/>
        <w:spacing w:after="0" w:line="283" w:lineRule="auto"/>
        <w:rPr>
          <w:sz w:val="20"/>
          <w:szCs w:val="20"/>
          <w:color w:val="auto"/>
        </w:rPr>
      </w:pPr>
      <w:r>
        <w:rPr>
          <w:rFonts w:ascii="Arial" w:cs="Arial" w:eastAsia="Arial" w:hAnsi="Arial"/>
          <w:sz w:val="19"/>
          <w:szCs w:val="19"/>
          <w:color w:val="auto"/>
        </w:rPr>
        <w:t>The Company does not offset derivative asset and liability positions in its consolidated financial statements. The Company’s exposure to credit risk by entering into derivative contracts is mitigated through master netting agreements and collateral posting or settlement requirements. Master netting agreements covering interest rate and foreign exchange contracts with the same party include a right to set-off that becomes enforceable in the event of default, early termination or under other specific conditions.</w:t>
      </w:r>
    </w:p>
    <w:p>
      <w:pPr>
        <w:spacing w:after="0" w:line="48" w:lineRule="exact"/>
        <w:rPr>
          <w:sz w:val="20"/>
          <w:szCs w:val="20"/>
          <w:color w:val="auto"/>
        </w:rPr>
      </w:pPr>
    </w:p>
    <w:p>
      <w:pPr>
        <w:jc w:val="both"/>
        <w:ind w:firstLine="510"/>
        <w:spacing w:after="0" w:line="245" w:lineRule="auto"/>
        <w:rPr>
          <w:sz w:val="20"/>
          <w:szCs w:val="20"/>
          <w:color w:val="auto"/>
        </w:rPr>
      </w:pPr>
      <w:r>
        <w:rPr>
          <w:rFonts w:ascii="Arial" w:cs="Arial" w:eastAsia="Arial" w:hAnsi="Arial"/>
          <w:sz w:val="21"/>
          <w:szCs w:val="21"/>
          <w:color w:val="auto"/>
        </w:rPr>
        <w:t>The aggregate fair value of derivative financial instruments in a liability position and the net liability positions with counterparties, which are subject to enforceable master netting arrangements, was $151 million and $51 million at March 31, 2020 and December 31, 2019, respectively. The Company was required to post collateral relating to those positions of $146 million and $50 million at March 31, 2020 and December 31, 2019, respectively. Certain of the Company’s derivative financial instruments contain provisions that require the Company to maintain specific credit ratings from credit rating agencies to avoid higher collateral posting requirements. If the Company’s debt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NOTES TO FINANCIAL STATEMENTS, CONTINUED</w:t>
      </w:r>
    </w:p>
    <w:p>
      <w:pPr>
        <w:spacing w:after="0" w:line="219"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9. Derivative financial instruments, continued</w:t>
      </w:r>
    </w:p>
    <w:p>
      <w:pPr>
        <w:spacing w:after="0" w:line="115"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rating were to fall below specified ratings, the counterparties of the derivative financial instruments could demand immediate incremental collateralization on those instruments in a net liability position. The aggregate fair value of all derivative financial instruments with such credit risk-related contingent features in a net liability position on March 31, 2020 was not significant. If the credit risk-related contingent features had been triggered on March 31, 2020, the Company would not have been required to post any additional collateral to counterparties.</w:t>
      </w:r>
    </w:p>
    <w:p>
      <w:pPr>
        <w:spacing w:after="0" w:line="84" w:lineRule="exact"/>
        <w:rPr>
          <w:sz w:val="20"/>
          <w:szCs w:val="20"/>
          <w:color w:val="auto"/>
        </w:rPr>
      </w:pPr>
    </w:p>
    <w:p>
      <w:pPr>
        <w:jc w:val="both"/>
        <w:ind w:firstLine="510"/>
        <w:spacing w:after="0" w:line="246" w:lineRule="auto"/>
        <w:rPr>
          <w:sz w:val="20"/>
          <w:szCs w:val="20"/>
          <w:color w:val="auto"/>
        </w:rPr>
      </w:pPr>
      <w:r>
        <w:rPr>
          <w:rFonts w:ascii="Arial" w:cs="Arial" w:eastAsia="Arial" w:hAnsi="Arial"/>
          <w:sz w:val="21"/>
          <w:szCs w:val="21"/>
          <w:color w:val="auto"/>
        </w:rPr>
        <w:t>The aggregate fair value of derivative financial instruments in an asset position and the net asset positions with counterparties, which are subject to enforceable master netting arrangements, was $2 million and $6 million at March 31, 2020 and December 31, 2019, respectively. Counterparties posted collateral relating to those positions of $81 thousand and $5 million at March 31, 2020 and December 31, 2019, respectively. Trading account interest rate swap agreements entered into with customers are subject to the Company’s credit risk standards and often contain collateral provisions.</w:t>
      </w:r>
    </w:p>
    <w:p>
      <w:pPr>
        <w:spacing w:after="0" w:line="84" w:lineRule="exact"/>
        <w:rPr>
          <w:sz w:val="20"/>
          <w:szCs w:val="20"/>
          <w:color w:val="auto"/>
        </w:rPr>
      </w:pPr>
    </w:p>
    <w:p>
      <w:pPr>
        <w:jc w:val="both"/>
        <w:ind w:firstLine="510"/>
        <w:spacing w:after="0" w:line="244" w:lineRule="auto"/>
        <w:rPr>
          <w:sz w:val="20"/>
          <w:szCs w:val="20"/>
          <w:color w:val="auto"/>
        </w:rPr>
      </w:pPr>
      <w:r>
        <w:rPr>
          <w:rFonts w:ascii="Arial" w:cs="Arial" w:eastAsia="Arial" w:hAnsi="Arial"/>
          <w:sz w:val="21"/>
          <w:szCs w:val="21"/>
          <w:color w:val="auto"/>
        </w:rPr>
        <w:t>In addition to the derivative contracts noted above, the Company clears certain derivative transactions through a clearinghouse, rather than directly with counterparties. Those transactions cleared through a clearinghouse require initial margin collateral and variation margin payments depending on the contracts being in a net asset or liability position. The amount of initial margin collateral posted by the Company was $125 million and $84 million at March 31, 2020 and December 31, 2019, respectively. The fair value asset and liability amounts of derivative contracts have been reduced by variation margin payments treated as settlements as described herein. Variation margin on derivative contracts not treated as settlements continues to represent collateral posted or received by the Company.</w:t>
      </w:r>
    </w:p>
    <w:p>
      <w:pPr>
        <w:spacing w:after="0" w:line="8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10. Variable interest entities and asset securitizations</w:t>
      </w:r>
    </w:p>
    <w:p>
      <w:pPr>
        <w:spacing w:after="0" w:line="115"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The Company’s securitization activity has consisted of securitizing loans originated for sale into government issued or guaranteed mortgage-backed securities. The amounts of those securitizations during the three-month periods ended March 31, 2020 and 2019 are presented in the Company’s consolidated statement of cash flows. The Company has not recognized any losses as a result of having securitized assets.</w:t>
      </w:r>
    </w:p>
    <w:p>
      <w:pPr>
        <w:spacing w:after="0" w:line="81"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20"/>
          <w:szCs w:val="20"/>
          <w:color w:val="auto"/>
        </w:rPr>
        <w:t>As described in note 4, M&amp;T has issued junior subordinated debentures payable to various trusts that have issued Capital Securities. M&amp;T owns the common securities of those trust entities. The Company is not considered to be the primary beneficiary of those entities and, accordingly, the trusts are not included in the Company’s consolidated financial statements. At each of March 31, 2020 and December 31, 2019, the Company included the junior subordinated debentures as “long-term borrowings” in its consolidated balance sheet and recognized $23 million in other assets for its “investment” in the common securities of the trusts that will be concomitantly repaid to M&amp;T by the respective trust from the proceeds of M&amp;T’s repayment of the junior subordinated debentures associated with preferred capital securities described in note 4.</w:t>
      </w:r>
    </w:p>
    <w:p>
      <w:pPr>
        <w:spacing w:after="0" w:line="70" w:lineRule="exact"/>
        <w:rPr>
          <w:sz w:val="20"/>
          <w:szCs w:val="20"/>
          <w:color w:val="auto"/>
        </w:rPr>
      </w:pPr>
    </w:p>
    <w:p>
      <w:pPr>
        <w:jc w:val="both"/>
        <w:ind w:firstLine="510"/>
        <w:spacing w:after="0" w:line="270" w:lineRule="auto"/>
        <w:rPr>
          <w:sz w:val="20"/>
          <w:szCs w:val="20"/>
          <w:color w:val="auto"/>
        </w:rPr>
      </w:pPr>
      <w:r>
        <w:rPr>
          <w:rFonts w:ascii="Arial" w:cs="Arial" w:eastAsia="Arial" w:hAnsi="Arial"/>
          <w:sz w:val="19"/>
          <w:szCs w:val="19"/>
          <w:color w:val="auto"/>
        </w:rPr>
        <w:t>The Company has invested as a limited partner in various partnerships that collectively had total assets of approximately $1.6 billion at March 31, 2020 and $1.5 billion at December 31, 2019. Those partnerships generally construct or acquire properties for which the investing partners are eligible to receive certain federal income tax credits in accordance with government guidelines. Such investments may also provide tax deductible losses to the partners. The partnership investments also assist the Company in achieving its community reinvestment initiatives. As a limited partner, there is no recourse to the Company by creditors of the partnerships. However, the tax credits that result from the Company’s investments in such partnerships are generally subject to recapture should a partnership fail to comply with the respective government regulations. The Company’s carrying amount of its investments in such partnerships was $724 million, including $345 million of unfunded commitments, at March 31, 2020 and $748 million, including $414 million of unfunded commitments, at December 31, 2019. Contingent commitments to provide additional capital contributions to these partnerships were not material at March 31, 2020. The Company has not provided financial or other support to the partnerships that was not contractually required. The Company’s maximum exposure to loss from its investments in such partnerships as of March 31, 2020 was $953 million, including possible recapture of certain tax credits. Management currently estimates that no material losses are probable as a result of the Company’s involvement with such entities. The Company, in its position as limited partner, does not direct the activities that most significantly impact the economic performance of the partnerships and, therefore, in accordance with the accounting provisions for variable interest entities, the partnership entities are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NOTES TO FINANCIAL STATEMENTS, CONTINUED</w:t>
      </w:r>
    </w:p>
    <w:p>
      <w:pPr>
        <w:spacing w:after="0" w:line="21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10. Variable interest entities and asset securitizations, continued</w:t>
      </w:r>
    </w:p>
    <w:p>
      <w:pPr>
        <w:spacing w:after="0" w:line="115"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not included in the Company’s consolidated financial statements. The Company’s investment in qualified affordable housing projects is amortized to income taxes in the consolidated statement of income as tax credits and other tax benefits resulting from deductible losses associated with the projects are received. The Company amortized $21 million and $17 million of its investments in qualified affordable housing projects to income tax expense during the three-month periods ended March 31, 2020 and 2019, respectively, and recognized $26 million and $20 million of tax credits and other tax benefits during those periods.</w:t>
      </w:r>
    </w:p>
    <w:p>
      <w:pPr>
        <w:spacing w:after="0" w:line="51" w:lineRule="exact"/>
        <w:rPr>
          <w:sz w:val="20"/>
          <w:szCs w:val="20"/>
          <w:color w:val="auto"/>
        </w:rPr>
      </w:pPr>
    </w:p>
    <w:p>
      <w:pPr>
        <w:jc w:val="both"/>
        <w:ind w:firstLine="510"/>
        <w:spacing w:after="0" w:line="252" w:lineRule="auto"/>
        <w:rPr>
          <w:sz w:val="20"/>
          <w:szCs w:val="20"/>
          <w:color w:val="auto"/>
        </w:rPr>
      </w:pPr>
      <w:r>
        <w:rPr>
          <w:rFonts w:ascii="Arial" w:cs="Arial" w:eastAsia="Arial" w:hAnsi="Arial"/>
          <w:sz w:val="21"/>
          <w:szCs w:val="21"/>
          <w:color w:val="auto"/>
        </w:rPr>
        <w:t>The Company serves as investment advisor for certain registered money-market funds. The Company has no explicit arrangement to provide support to those funds, but may waive portions of its allowable management fees as a result of market conditions</w:t>
      </w:r>
      <w:r>
        <w:rPr>
          <w:rFonts w:ascii="Arial" w:cs="Arial" w:eastAsia="Arial" w:hAnsi="Arial"/>
          <w:sz w:val="17"/>
          <w:szCs w:val="17"/>
          <w:color w:val="auto"/>
        </w:rPr>
        <w:t>.</w:t>
      </w:r>
    </w:p>
    <w:p>
      <w:pPr>
        <w:spacing w:after="0" w:line="69"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11. Fair value measurements</w:t>
      </w:r>
    </w:p>
    <w:p>
      <w:pPr>
        <w:spacing w:after="0" w:line="115"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GAAP permits an entity to choose to measure eligible financial instruments and other items at fair value. The Company has not made any fair value elections at March 31, 2020.</w:t>
      </w:r>
    </w:p>
    <w:p>
      <w:pPr>
        <w:spacing w:after="0" w:line="64" w:lineRule="exact"/>
        <w:rPr>
          <w:sz w:val="20"/>
          <w:szCs w:val="20"/>
          <w:color w:val="auto"/>
        </w:rPr>
      </w:pPr>
    </w:p>
    <w:p>
      <w:pPr>
        <w:jc w:val="both"/>
        <w:ind w:firstLine="510"/>
        <w:spacing w:after="0" w:line="252" w:lineRule="auto"/>
        <w:rPr>
          <w:sz w:val="20"/>
          <w:szCs w:val="20"/>
          <w:color w:val="auto"/>
        </w:rPr>
      </w:pPr>
      <w:r>
        <w:rPr>
          <w:rFonts w:ascii="Arial" w:cs="Arial" w:eastAsia="Arial" w:hAnsi="Arial"/>
          <w:sz w:val="21"/>
          <w:szCs w:val="21"/>
          <w:color w:val="auto"/>
        </w:rPr>
        <w:t>Pursuant to GAAP, fair value is defined as the price that would be received to sell an asset or paid to transfer a liability in an orderly transaction between market participants at the measurement date. A three-level hierarchy exists in GAAP for fair value measurements based upon the inputs to the valuation of an asset or liability.</w:t>
      </w:r>
    </w:p>
    <w:p>
      <w:pPr>
        <w:spacing w:after="0" w:line="75" w:lineRule="exact"/>
        <w:rPr>
          <w:sz w:val="20"/>
          <w:szCs w:val="20"/>
          <w:color w:val="auto"/>
        </w:rPr>
      </w:pPr>
    </w:p>
    <w:p>
      <w:pPr>
        <w:ind w:left="1000" w:hanging="493"/>
        <w:spacing w:after="0"/>
        <w:tabs>
          <w:tab w:leader="none" w:pos="1000" w:val="left"/>
        </w:tabs>
        <w:numPr>
          <w:ilvl w:val="0"/>
          <w:numId w:val="11"/>
        </w:numPr>
        <w:rPr>
          <w:rFonts w:ascii="Arial" w:cs="Arial" w:eastAsia="Arial" w:hAnsi="Arial"/>
          <w:sz w:val="21"/>
          <w:szCs w:val="21"/>
          <w:color w:val="auto"/>
        </w:rPr>
      </w:pPr>
      <w:r>
        <w:rPr>
          <w:rFonts w:ascii="Arial" w:cs="Arial" w:eastAsia="Arial" w:hAnsi="Arial"/>
          <w:sz w:val="21"/>
          <w:szCs w:val="21"/>
          <w:color w:val="auto"/>
        </w:rPr>
        <w:t>Level 1 — Valuation is based on quoted prices in active markets for identical assets and liabilities.</w:t>
      </w:r>
    </w:p>
    <w:p>
      <w:pPr>
        <w:spacing w:after="0" w:line="109" w:lineRule="exact"/>
        <w:rPr>
          <w:rFonts w:ascii="Arial" w:cs="Arial" w:eastAsia="Arial" w:hAnsi="Arial"/>
          <w:sz w:val="21"/>
          <w:szCs w:val="21"/>
          <w:color w:val="auto"/>
        </w:rPr>
      </w:pPr>
    </w:p>
    <w:p>
      <w:pPr>
        <w:jc w:val="both"/>
        <w:ind w:left="1000" w:hanging="493"/>
        <w:spacing w:after="0" w:line="252" w:lineRule="auto"/>
        <w:tabs>
          <w:tab w:leader="none" w:pos="1000" w:val="left"/>
        </w:tabs>
        <w:numPr>
          <w:ilvl w:val="0"/>
          <w:numId w:val="11"/>
        </w:numPr>
        <w:rPr>
          <w:rFonts w:ascii="Arial" w:cs="Arial" w:eastAsia="Arial" w:hAnsi="Arial"/>
          <w:sz w:val="21"/>
          <w:szCs w:val="21"/>
          <w:color w:val="auto"/>
        </w:rPr>
      </w:pPr>
      <w:r>
        <w:rPr>
          <w:rFonts w:ascii="Arial" w:cs="Arial" w:eastAsia="Arial" w:hAnsi="Arial"/>
          <w:sz w:val="21"/>
          <w:szCs w:val="21"/>
          <w:color w:val="auto"/>
        </w:rPr>
        <w:t>Level 2 — Valuation is determined from quoted prices for similar assets or liabilities in active markets, quoted prices for identical or similar instruments in markets that are not active or by model-based techniques in which all significant inputs are observable in the market.</w:t>
      </w:r>
    </w:p>
    <w:p>
      <w:pPr>
        <w:spacing w:after="0" w:line="75" w:lineRule="exact"/>
        <w:rPr>
          <w:rFonts w:ascii="Arial" w:cs="Arial" w:eastAsia="Arial" w:hAnsi="Arial"/>
          <w:sz w:val="21"/>
          <w:szCs w:val="21"/>
          <w:color w:val="auto"/>
        </w:rPr>
      </w:pPr>
    </w:p>
    <w:p>
      <w:pPr>
        <w:jc w:val="both"/>
        <w:ind w:left="1000" w:hanging="493"/>
        <w:spacing w:after="0" w:line="252" w:lineRule="auto"/>
        <w:tabs>
          <w:tab w:leader="none" w:pos="1000" w:val="left"/>
        </w:tabs>
        <w:numPr>
          <w:ilvl w:val="0"/>
          <w:numId w:val="11"/>
        </w:numPr>
        <w:rPr>
          <w:rFonts w:ascii="Arial" w:cs="Arial" w:eastAsia="Arial" w:hAnsi="Arial"/>
          <w:sz w:val="21"/>
          <w:szCs w:val="21"/>
          <w:color w:val="auto"/>
        </w:rPr>
      </w:pPr>
      <w:r>
        <w:rPr>
          <w:rFonts w:ascii="Arial" w:cs="Arial" w:eastAsia="Arial" w:hAnsi="Arial"/>
          <w:sz w:val="21"/>
          <w:szCs w:val="21"/>
          <w:color w:val="auto"/>
        </w:rPr>
        <w:t>Level 3 — Valuation is derived from model-based and other techniques in which at least one significant input is unobservable and which may be based on the Company's own estimates about the assumptions that market participants would use to value the asset or liability.</w:t>
      </w:r>
    </w:p>
    <w:p>
      <w:pPr>
        <w:spacing w:after="0" w:line="183" w:lineRule="exact"/>
        <w:rPr>
          <w:sz w:val="20"/>
          <w:szCs w:val="20"/>
          <w:color w:val="auto"/>
        </w:rPr>
      </w:pPr>
    </w:p>
    <w:p>
      <w:pPr>
        <w:jc w:val="both"/>
        <w:ind w:firstLine="510"/>
        <w:spacing w:after="0" w:line="276" w:lineRule="auto"/>
        <w:rPr>
          <w:sz w:val="20"/>
          <w:szCs w:val="20"/>
          <w:color w:val="auto"/>
        </w:rPr>
      </w:pPr>
      <w:r>
        <w:rPr>
          <w:rFonts w:ascii="Arial" w:cs="Arial" w:eastAsia="Arial" w:hAnsi="Arial"/>
          <w:sz w:val="19"/>
          <w:szCs w:val="19"/>
          <w:color w:val="auto"/>
        </w:rPr>
        <w:t>When available, the Company attempts to use quoted market prices in active markets to determine fair value and classifies such items as Level 1 or Level 2. If quoted market prices in active markets are not available, fair value is often determined using model-based techniques incorporating various assumptions including interest rates, prepayment speeds and credit losses. Assets and liabilities valued using model-based techniques are classified as either Level 2 or Level 3, depending on the lowest level classification of an input that is considered significant to the overall valuation. The following is a description of the valuation methodologies used for the Company's assets and liabilities that are measured on a recurring basis at estimated fair value.</w:t>
      </w:r>
    </w:p>
    <w:p>
      <w:pPr>
        <w:spacing w:after="0" w:line="164"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Trading account assets and liabilities</w:t>
      </w:r>
    </w:p>
    <w:p>
      <w:pPr>
        <w:spacing w:after="0" w:line="109"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Trading account assets and liabilities consist primarily of interest rate contracts and foreign exchange contracts with customers who require such services with offsetting positions with third parties to minimize the Company's risk with respect to such transactions. The Company generally determines the fair value of its derivative trading account assets and liabilities using externally developed pricing models based on market observable inputs and, therefore, classifies such valuations as Level 2. Mutual funds held in connection with deferred compensation and other arrangements have been classified as Level 1 valuations. Valuations of investments in municipal and other bonds can generally be obtained through reference to quoted prices in less active markets for the same or similar securities or through model-based techniques in which all significant inputs are observable and, therefore, such valuations have been classified as Level 2.</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NOTES TO FINANCIAL STATEMENTS, CONTINUED</w:t>
      </w:r>
    </w:p>
    <w:p>
      <w:pPr>
        <w:spacing w:after="0" w:line="21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11. Fair value measurements, continued</w:t>
      </w:r>
    </w:p>
    <w:p>
      <w:pPr>
        <w:spacing w:after="0" w:line="115"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Investment securities available for sale and equity securities</w:t>
      </w:r>
    </w:p>
    <w:p>
      <w:pPr>
        <w:spacing w:after="0" w:line="109"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The majority of the Company's available-for-sale investment securities have been valued by reference to prices for similar securities or through model-based techniques in which all significant inputs are observable and, therefore, such valuations have been classified as Level 2. Certain investments in mutual funds and equity securities are actively traded and, therefore, have been classified as Level 1 valuations.</w:t>
      </w:r>
    </w:p>
    <w:p>
      <w:pPr>
        <w:spacing w:after="0" w:line="18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Real estate loans held for sale</w:t>
      </w:r>
    </w:p>
    <w:p>
      <w:pPr>
        <w:spacing w:after="0" w:line="109"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The Company utilizes commitments to sell real estate loans to hedge the exposure to changes in fair value of real estate loans held for sale. The carrying value of hedged real estate loans held for sale includes changes in estimated fair value during the hedge period. Typically, the Company attempts to hedge real estate loans held for sale from the date of close through the sale date. The fair value of hedged real estate loans held for sale is generally calculated by reference to quoted prices in secondary markets for commitments to sell real estate loans with similar characteristics and, accordingly, such loans have been classified as a Level 2 valuation.</w:t>
      </w:r>
    </w:p>
    <w:p>
      <w:pPr>
        <w:spacing w:after="0" w:line="193"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Commitments to originate real estate loans for sale and commitments to sell real estate loans</w:t>
      </w:r>
    </w:p>
    <w:p>
      <w:pPr>
        <w:spacing w:after="0" w:line="109" w:lineRule="exact"/>
        <w:rPr>
          <w:sz w:val="20"/>
          <w:szCs w:val="20"/>
          <w:color w:val="auto"/>
        </w:rPr>
      </w:pPr>
    </w:p>
    <w:p>
      <w:pPr>
        <w:jc w:val="both"/>
        <w:spacing w:after="0" w:line="289" w:lineRule="auto"/>
        <w:rPr>
          <w:sz w:val="20"/>
          <w:szCs w:val="20"/>
          <w:color w:val="auto"/>
        </w:rPr>
      </w:pPr>
      <w:r>
        <w:rPr>
          <w:rFonts w:ascii="Arial" w:cs="Arial" w:eastAsia="Arial" w:hAnsi="Arial"/>
          <w:sz w:val="18"/>
          <w:szCs w:val="18"/>
          <w:color w:val="auto"/>
        </w:rPr>
        <w:t>The Company enters into various commitments to originate real estate loans for sale and commitments to sell real estate loans. Such commitments are considered to be derivative financial instruments and, therefore, are carried at estimated fair value on the consolidated balance sheet. The estimated fair values of such commitments were generally calculated by reference to quoted prices in secondary markets for commitments to sell real estate loans to certain government-sponsored entities and other parties. The fair valuations of commitments to sell real estate loans generally result in a Level 2 classification. The estimated fair value of commitments to originate real estate loans for sale are adjusted to reflect the Company's anticipated commitment expirations. The estimated commitment expirations are considered significant unobservable inputs contributing to the Level 3 classification of commitments to originate real estate loans for sale. Significant unobservable inputs used in the determination of estimated fair value of commitments to originate real estate loans for sale are included in the accompanying table of significant unobservable inputs to Level 3 measurements.</w:t>
      </w:r>
    </w:p>
    <w:p>
      <w:pPr>
        <w:spacing w:after="0" w:line="157"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Interest rate swap agreements used for interest rate risk management</w:t>
      </w:r>
    </w:p>
    <w:p>
      <w:pPr>
        <w:spacing w:after="0" w:line="109"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The Company utilizes interest rate swap agreements as part of the management of interest rate risk to modify the repricing characteristics of certain portions of its portfolios of earning assets and interest-bearing liabilities. The Company generally determines the fair value of its interest rate swap agreements using externally developed pricing models based on market observable inputs and, therefore, classifies such valuations as Level 2. The Company has considered counterparty credit risk in the valuation of its interest rate swap agreement assets and has considered its own credit risk in the valuation of its interest rate swap agreement liabilities.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NOTES TO FINANCIAL STATEMENTS, CONTINUED</w:t>
      </w:r>
    </w:p>
    <w:p>
      <w:pPr>
        <w:spacing w:after="0" w:line="21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11. Fair value measurements, continued</w:t>
      </w:r>
    </w:p>
    <w:p>
      <w:pPr>
        <w:spacing w:after="0" w:line="115" w:lineRule="exact"/>
        <w:rPr>
          <w:sz w:val="20"/>
          <w:szCs w:val="20"/>
          <w:color w:val="auto"/>
        </w:rPr>
      </w:pPr>
    </w:p>
    <w:p>
      <w:pPr>
        <w:ind w:firstLine="510"/>
        <w:spacing w:after="0" w:line="263" w:lineRule="auto"/>
        <w:rPr>
          <w:sz w:val="20"/>
          <w:szCs w:val="20"/>
          <w:color w:val="auto"/>
        </w:rPr>
      </w:pPr>
      <w:r>
        <w:rPr>
          <w:rFonts w:ascii="Arial" w:cs="Arial" w:eastAsia="Arial" w:hAnsi="Arial"/>
          <w:sz w:val="21"/>
          <w:szCs w:val="21"/>
          <w:color w:val="auto"/>
        </w:rPr>
        <w:t>The following tables present assets and liabilities at March 31, 2020 and December 31, 2019 measured at estimated fair value on a recurring basis: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5"/>
              </w:rPr>
              <w:t>Fair Value</w:t>
            </w:r>
          </w:p>
        </w:tc>
        <w:tc>
          <w:tcPr>
            <w:tcW w:w="220" w:type="dxa"/>
            <w:vAlign w:val="bottom"/>
          </w:tcPr>
          <w:p>
            <w:pPr>
              <w:spacing w:after="0"/>
              <w:rPr>
                <w:sz w:val="14"/>
                <w:szCs w:val="14"/>
                <w:color w:val="auto"/>
              </w:rPr>
            </w:pPr>
          </w:p>
        </w:tc>
        <w:tc>
          <w:tcPr>
            <w:tcW w:w="13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4"/>
                <w:szCs w:val="14"/>
                <w:color w:val="auto"/>
              </w:rPr>
            </w:pPr>
          </w:p>
        </w:tc>
        <w:tc>
          <w:tcPr>
            <w:tcW w:w="88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w w:val="96"/>
              </w:rPr>
              <w:t>Level 2</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1"/>
              </w:rPr>
              <w:t>Measurements</w:t>
            </w:r>
          </w:p>
        </w:tc>
        <w:tc>
          <w:tcPr>
            <w:tcW w:w="22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2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660" w:type="dxa"/>
            <w:vAlign w:val="bottom"/>
            <w:tcBorders>
              <w:top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88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March 31, 2020</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Trading account assets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1,224,291</w:t>
            </w:r>
          </w:p>
        </w:tc>
        <w:tc>
          <w:tcPr>
            <w:tcW w:w="38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47,497</w:t>
            </w:r>
          </w:p>
        </w:tc>
        <w:tc>
          <w:tcPr>
            <w:tcW w:w="360" w:type="dxa"/>
            <w:vAlign w:val="bottom"/>
          </w:tcPr>
          <w:p>
            <w:pPr>
              <w:spacing w:after="0"/>
              <w:rPr>
                <w:sz w:val="19"/>
                <w:szCs w:val="19"/>
                <w:color w:val="auto"/>
              </w:rPr>
            </w:pP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1,176,794</w:t>
            </w:r>
          </w:p>
        </w:tc>
        <w:tc>
          <w:tcPr>
            <w:tcW w:w="60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Investment securities available for sale:</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20" w:type="dxa"/>
            <w:vAlign w:val="bottom"/>
          </w:tcPr>
          <w:p>
            <w:pPr>
              <w:ind w:left="240"/>
              <w:spacing w:after="0"/>
              <w:rPr>
                <w:sz w:val="20"/>
                <w:szCs w:val="20"/>
                <w:color w:val="auto"/>
              </w:rPr>
            </w:pPr>
            <w:r>
              <w:rPr>
                <w:rFonts w:ascii="Arial" w:cs="Arial" w:eastAsia="Arial" w:hAnsi="Arial"/>
                <w:sz w:val="18"/>
                <w:szCs w:val="18"/>
                <w:color w:val="auto"/>
              </w:rPr>
              <w:t>U.S. Treasury and federal agencies</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10,573</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10,573</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Obligations of states and political subdivisions</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682</w:t>
            </w:r>
          </w:p>
        </w:tc>
        <w:tc>
          <w:tcPr>
            <w:tcW w:w="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682</w:t>
            </w:r>
          </w:p>
        </w:tc>
        <w:tc>
          <w:tcPr>
            <w:tcW w:w="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20" w:type="dxa"/>
            <w:vAlign w:val="bottom"/>
          </w:tcPr>
          <w:p>
            <w:pPr>
              <w:ind w:left="240"/>
              <w:spacing w:after="0"/>
              <w:rPr>
                <w:sz w:val="20"/>
                <w:szCs w:val="20"/>
                <w:color w:val="auto"/>
              </w:rPr>
            </w:pPr>
            <w:r>
              <w:rPr>
                <w:rFonts w:ascii="Arial" w:cs="Arial" w:eastAsia="Arial" w:hAnsi="Arial"/>
                <w:sz w:val="18"/>
                <w:szCs w:val="18"/>
                <w:color w:val="auto"/>
              </w:rPr>
              <w:t>Mortgage-backed securities:</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Government issued or guaranteed</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6,011,064</w:t>
            </w:r>
          </w:p>
        </w:tc>
        <w:tc>
          <w:tcPr>
            <w:tcW w:w="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6,011,064</w:t>
            </w:r>
          </w:p>
        </w:tc>
        <w:tc>
          <w:tcPr>
            <w:tcW w:w="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20" w:type="dxa"/>
            <w:vAlign w:val="bottom"/>
          </w:tcPr>
          <w:p>
            <w:pPr>
              <w:ind w:left="480"/>
              <w:spacing w:after="0"/>
              <w:rPr>
                <w:sz w:val="20"/>
                <w:szCs w:val="20"/>
                <w:color w:val="auto"/>
              </w:rPr>
            </w:pPr>
            <w:r>
              <w:rPr>
                <w:rFonts w:ascii="Arial" w:cs="Arial" w:eastAsia="Arial" w:hAnsi="Arial"/>
                <w:sz w:val="18"/>
                <w:szCs w:val="18"/>
                <w:color w:val="auto"/>
              </w:rPr>
              <w:t>Privately issued</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debt securities</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117,644</w:t>
            </w:r>
          </w:p>
        </w:tc>
        <w:tc>
          <w:tcPr>
            <w:tcW w:w="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117,644</w:t>
            </w:r>
          </w:p>
        </w:tc>
        <w:tc>
          <w:tcPr>
            <w:tcW w:w="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6,139,979</w:t>
            </w:r>
          </w:p>
        </w:tc>
        <w:tc>
          <w:tcPr>
            <w:tcW w:w="3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6,139,963</w:t>
            </w:r>
          </w:p>
        </w:tc>
        <w:tc>
          <w:tcPr>
            <w:tcW w:w="36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Equity securities</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134,160</w:t>
            </w:r>
          </w:p>
        </w:tc>
        <w:tc>
          <w:tcPr>
            <w:tcW w:w="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115,206</w:t>
            </w: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18,954</w:t>
            </w:r>
          </w:p>
        </w:tc>
        <w:tc>
          <w:tcPr>
            <w:tcW w:w="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Real estate loans held for sale</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625,236</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625,236</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Other assets (a)</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44,347</w:t>
            </w:r>
          </w:p>
        </w:tc>
        <w:tc>
          <w:tcPr>
            <w:tcW w:w="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9,284</w:t>
            </w:r>
          </w:p>
        </w:tc>
        <w:tc>
          <w:tcPr>
            <w:tcW w:w="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35,063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2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8,168,013</w:t>
            </w:r>
          </w:p>
        </w:tc>
        <w:tc>
          <w:tcPr>
            <w:tcW w:w="38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162,703</w:t>
            </w:r>
          </w:p>
        </w:tc>
        <w:tc>
          <w:tcPr>
            <w:tcW w:w="360" w:type="dxa"/>
            <w:vAlign w:val="bottom"/>
            <w:tcBorders>
              <w:bottom w:val="single" w:sz="8" w:color="CFF0FC"/>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7,970,231</w:t>
            </w:r>
          </w:p>
        </w:tc>
        <w:tc>
          <w:tcPr>
            <w:tcW w:w="36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35,079</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Trading account liabilities</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125,746</w:t>
            </w: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125,746</w:t>
            </w: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Other liabilities (a)</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38,975</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38,939</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liabilities</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164,721</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164,685</w:t>
            </w:r>
          </w:p>
        </w:tc>
        <w:tc>
          <w:tcPr>
            <w:tcW w:w="3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restart"/>
          </w:tcPr>
          <w:p>
            <w:pPr>
              <w:spacing w:after="0"/>
              <w:rPr>
                <w:sz w:val="19"/>
                <w:szCs w:val="19"/>
                <w:color w:val="auto"/>
              </w:rPr>
            </w:pPr>
          </w:p>
        </w:tc>
        <w:tc>
          <w:tcPr>
            <w:tcW w:w="5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December 31, 2019</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Trading account assets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470,129</w:t>
            </w:r>
          </w:p>
        </w:tc>
        <w:tc>
          <w:tcPr>
            <w:tcW w:w="38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49,040</w:t>
            </w:r>
          </w:p>
        </w:tc>
        <w:tc>
          <w:tcPr>
            <w:tcW w:w="360" w:type="dxa"/>
            <w:vAlign w:val="bottom"/>
          </w:tcPr>
          <w:p>
            <w:pPr>
              <w:spacing w:after="0"/>
              <w:rPr>
                <w:sz w:val="19"/>
                <w:szCs w:val="19"/>
                <w:color w:val="auto"/>
              </w:rPr>
            </w:pP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421,089</w:t>
            </w:r>
          </w:p>
        </w:tc>
        <w:tc>
          <w:tcPr>
            <w:tcW w:w="60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Investment securities available for sale:</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20" w:type="dxa"/>
            <w:vAlign w:val="bottom"/>
          </w:tcPr>
          <w:p>
            <w:pPr>
              <w:ind w:left="240"/>
              <w:spacing w:after="0"/>
              <w:rPr>
                <w:sz w:val="20"/>
                <w:szCs w:val="20"/>
                <w:color w:val="auto"/>
              </w:rPr>
            </w:pPr>
            <w:r>
              <w:rPr>
                <w:rFonts w:ascii="Arial" w:cs="Arial" w:eastAsia="Arial" w:hAnsi="Arial"/>
                <w:sz w:val="18"/>
                <w:szCs w:val="18"/>
                <w:color w:val="auto"/>
              </w:rPr>
              <w:t>U.S. Treasury and federal agencies</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9,767</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9,767</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Obligations of states and political subdivisions</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775</w:t>
            </w:r>
          </w:p>
        </w:tc>
        <w:tc>
          <w:tcPr>
            <w:tcW w:w="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775</w:t>
            </w:r>
          </w:p>
        </w:tc>
        <w:tc>
          <w:tcPr>
            <w:tcW w:w="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20" w:type="dxa"/>
            <w:vAlign w:val="bottom"/>
          </w:tcPr>
          <w:p>
            <w:pPr>
              <w:ind w:left="240"/>
              <w:spacing w:after="0"/>
              <w:rPr>
                <w:sz w:val="20"/>
                <w:szCs w:val="20"/>
                <w:color w:val="auto"/>
              </w:rPr>
            </w:pPr>
            <w:r>
              <w:rPr>
                <w:rFonts w:ascii="Arial" w:cs="Arial" w:eastAsia="Arial" w:hAnsi="Arial"/>
                <w:sz w:val="18"/>
                <w:szCs w:val="18"/>
                <w:color w:val="auto"/>
              </w:rPr>
              <w:t>Mortgage-backed securities:</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Government issued or guaranteed</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6,180,940</w:t>
            </w:r>
          </w:p>
        </w:tc>
        <w:tc>
          <w:tcPr>
            <w:tcW w:w="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6,180,940</w:t>
            </w:r>
          </w:p>
        </w:tc>
        <w:tc>
          <w:tcPr>
            <w:tcW w:w="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20" w:type="dxa"/>
            <w:vAlign w:val="bottom"/>
          </w:tcPr>
          <w:p>
            <w:pPr>
              <w:ind w:left="480"/>
              <w:spacing w:after="0"/>
              <w:rPr>
                <w:sz w:val="20"/>
                <w:szCs w:val="20"/>
                <w:color w:val="auto"/>
              </w:rPr>
            </w:pPr>
            <w:r>
              <w:rPr>
                <w:rFonts w:ascii="Arial" w:cs="Arial" w:eastAsia="Arial" w:hAnsi="Arial"/>
                <w:sz w:val="18"/>
                <w:szCs w:val="18"/>
                <w:color w:val="auto"/>
              </w:rPr>
              <w:t>Privately issued</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debt securities</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127,278</w:t>
            </w:r>
          </w:p>
        </w:tc>
        <w:tc>
          <w:tcPr>
            <w:tcW w:w="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127,278</w:t>
            </w:r>
          </w:p>
        </w:tc>
        <w:tc>
          <w:tcPr>
            <w:tcW w:w="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6,318,776</w:t>
            </w:r>
          </w:p>
        </w:tc>
        <w:tc>
          <w:tcPr>
            <w:tcW w:w="3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6,318,760</w:t>
            </w:r>
          </w:p>
        </w:tc>
        <w:tc>
          <w:tcPr>
            <w:tcW w:w="36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Equity securities</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140,041</w:t>
            </w:r>
          </w:p>
        </w:tc>
        <w:tc>
          <w:tcPr>
            <w:tcW w:w="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100,637</w:t>
            </w: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39,404</w:t>
            </w:r>
          </w:p>
        </w:tc>
        <w:tc>
          <w:tcPr>
            <w:tcW w:w="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Real estate loans held for sale</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442,079</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442,079</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Other assets (a)</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16,466</w:t>
            </w:r>
          </w:p>
        </w:tc>
        <w:tc>
          <w:tcPr>
            <w:tcW w:w="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4,501</w:t>
            </w:r>
          </w:p>
        </w:tc>
        <w:tc>
          <w:tcPr>
            <w:tcW w:w="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2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7,387,491</w:t>
            </w:r>
          </w:p>
        </w:tc>
        <w:tc>
          <w:tcPr>
            <w:tcW w:w="38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149,677</w:t>
            </w:r>
          </w:p>
        </w:tc>
        <w:tc>
          <w:tcPr>
            <w:tcW w:w="360" w:type="dxa"/>
            <w:vAlign w:val="bottom"/>
            <w:tcBorders>
              <w:bottom w:val="single" w:sz="8" w:color="CFF0FC"/>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7,225,833</w:t>
            </w:r>
          </w:p>
        </w:tc>
        <w:tc>
          <w:tcPr>
            <w:tcW w:w="36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11,981</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Trading account liabilities</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79,903</w:t>
            </w: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79,903</w:t>
            </w: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Other liabilities (a)</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7,188</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5,963</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liabilities</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87,091</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85,866</w:t>
            </w:r>
          </w:p>
        </w:tc>
        <w:tc>
          <w:tcPr>
            <w:tcW w:w="3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left="500" w:right="220" w:hanging="447"/>
        <w:spacing w:after="0" w:line="277" w:lineRule="auto"/>
        <w:tabs>
          <w:tab w:leader="none" w:pos="50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Comprised predominantly of interest rate swap agreements used for interest rate risk management (Level 2), commitments to sell real estate loans (Level 2) and commitments to originate real estate loans to be held for sale (Level 3).</w:t>
      </w:r>
    </w:p>
    <w:p>
      <w:pPr>
        <w:spacing w:after="0" w:line="169" w:lineRule="exact"/>
        <w:rPr>
          <w:rFonts w:ascii="Arial" w:cs="Arial" w:eastAsia="Arial" w:hAnsi="Arial"/>
          <w:sz w:val="18"/>
          <w:szCs w:val="18"/>
          <w:i w:val="1"/>
          <w:iCs w:val="1"/>
          <w:color w:val="auto"/>
        </w:rPr>
      </w:pPr>
    </w:p>
    <w:p>
      <w:pPr>
        <w:ind w:left="5540" w:hanging="111"/>
        <w:spacing w:after="0"/>
        <w:tabs>
          <w:tab w:leader="none" w:pos="55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NOTES TO FINANCIAL STATEMENTS, CONTINUED</w:t>
      </w:r>
    </w:p>
    <w:p>
      <w:pPr>
        <w:spacing w:after="0" w:line="21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11. Fair value measurements, continued</w:t>
      </w:r>
    </w:p>
    <w:p>
      <w:pPr>
        <w:spacing w:after="0" w:line="11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changes in Level 3 assets and liabilities measured at estimated fair value on a recurring basis during the three months ended</w:t>
      </w:r>
    </w:p>
    <w:p>
      <w:pPr>
        <w:spacing w:after="0" w:line="54" w:lineRule="exact"/>
        <w:rPr>
          <w:sz w:val="20"/>
          <w:szCs w:val="20"/>
          <w:color w:val="auto"/>
        </w:rPr>
      </w:pPr>
    </w:p>
    <w:p>
      <w:pPr>
        <w:spacing w:after="0"/>
        <w:rPr>
          <w:sz w:val="20"/>
          <w:szCs w:val="20"/>
          <w:color w:val="auto"/>
        </w:rPr>
      </w:pPr>
      <w:r>
        <w:rPr>
          <w:rFonts w:ascii="Arial" w:cs="Arial" w:eastAsia="Arial" w:hAnsi="Arial"/>
          <w:sz w:val="21"/>
          <w:szCs w:val="21"/>
          <w:color w:val="auto"/>
        </w:rPr>
        <w:t>March 31, 2020 and 2019 were as follows:</w:t>
      </w:r>
    </w:p>
    <w:p>
      <w:pPr>
        <w:spacing w:after="0" w:line="230" w:lineRule="exact"/>
        <w:rPr>
          <w:sz w:val="20"/>
          <w:szCs w:val="20"/>
          <w:color w:val="auto"/>
        </w:rPr>
      </w:pPr>
    </w:p>
    <w:p>
      <w:pPr>
        <w:jc w:val="center"/>
        <w:ind w:left="680"/>
        <w:spacing w:after="0"/>
        <w:rPr>
          <w:sz w:val="20"/>
          <w:szCs w:val="20"/>
          <w:color w:val="auto"/>
        </w:rPr>
      </w:pPr>
      <w:r>
        <w:rPr>
          <w:rFonts w:ascii="Arial" w:cs="Arial" w:eastAsia="Arial" w:hAnsi="Arial"/>
          <w:sz w:val="14"/>
          <w:szCs w:val="14"/>
          <w:b w:val="1"/>
          <w:bCs w:val="1"/>
          <w:color w:val="auto"/>
        </w:rPr>
        <w:t>Investment</w:t>
      </w:r>
    </w:p>
    <w:p>
      <w:pPr>
        <w:jc w:val="center"/>
        <w:ind w:left="680"/>
        <w:spacing w:after="0" w:line="226" w:lineRule="auto"/>
        <w:rPr>
          <w:sz w:val="20"/>
          <w:szCs w:val="20"/>
          <w:color w:val="auto"/>
        </w:rPr>
      </w:pPr>
      <w:r>
        <w:rPr>
          <w:rFonts w:ascii="Arial" w:cs="Arial" w:eastAsia="Arial" w:hAnsi="Arial"/>
          <w:sz w:val="14"/>
          <w:szCs w:val="14"/>
          <w:b w:val="1"/>
          <w:bCs w:val="1"/>
          <w:color w:val="auto"/>
        </w:rPr>
        <w:t>Securities</w:t>
      </w:r>
    </w:p>
    <w:p>
      <w:pPr>
        <w:jc w:val="center"/>
        <w:ind w:left="680"/>
        <w:spacing w:after="0" w:line="231" w:lineRule="auto"/>
        <w:rPr>
          <w:sz w:val="20"/>
          <w:szCs w:val="20"/>
          <w:color w:val="auto"/>
        </w:rPr>
      </w:pPr>
      <w:r>
        <w:rPr>
          <w:rFonts w:ascii="Arial" w:cs="Arial" w:eastAsia="Arial" w:hAnsi="Arial"/>
          <w:sz w:val="14"/>
          <w:szCs w:val="14"/>
          <w:b w:val="1"/>
          <w:bCs w:val="1"/>
          <w:color w:val="auto"/>
        </w:rPr>
        <w:t>Available for Sale</w:t>
      </w:r>
    </w:p>
    <w:tbl>
      <w:tblPr>
        <w:tblLayout w:type="fixed"/>
        <w:tblInd w:w="0" w:type="dxa"/>
        <w:tblCellMar>
          <w:top w:w="0" w:type="dxa"/>
          <w:left w:w="0" w:type="dxa"/>
          <w:bottom w:w="0" w:type="dxa"/>
          <w:right w:w="0" w:type="dxa"/>
        </w:tblCellMar>
      </w:tblPr>
      <w:tr>
        <w:trPr>
          <w:trHeight w:val="133"/>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20" w:type="dxa"/>
            <w:vAlign w:val="bottom"/>
          </w:tcPr>
          <w:p>
            <w:pPr>
              <w:spacing w:after="0"/>
              <w:rPr>
                <w:sz w:val="11"/>
                <w:szCs w:val="11"/>
                <w:color w:val="auto"/>
              </w:rPr>
            </w:pPr>
          </w:p>
        </w:tc>
        <w:tc>
          <w:tcPr>
            <w:tcW w:w="1380" w:type="dxa"/>
            <w:vAlign w:val="bottom"/>
            <w:tcBorders>
              <w:top w:val="single" w:sz="8" w:color="auto"/>
            </w:tcBorders>
          </w:tcPr>
          <w:p>
            <w:pPr>
              <w:jc w:val="center"/>
              <w:ind w:left="117"/>
              <w:spacing w:after="0" w:line="133" w:lineRule="exact"/>
              <w:rPr>
                <w:sz w:val="20"/>
                <w:szCs w:val="20"/>
                <w:color w:val="auto"/>
              </w:rPr>
            </w:pPr>
            <w:r>
              <w:rPr>
                <w:rFonts w:ascii="Arial" w:cs="Arial" w:eastAsia="Arial" w:hAnsi="Arial"/>
                <w:sz w:val="14"/>
                <w:szCs w:val="14"/>
                <w:b w:val="1"/>
                <w:bCs w:val="1"/>
                <w:color w:val="auto"/>
                <w:w w:val="91"/>
              </w:rPr>
              <w:t>Privately Issued</w:t>
            </w:r>
          </w:p>
        </w:tc>
        <w:tc>
          <w:tcPr>
            <w:tcW w:w="22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58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Other Assets and</w:t>
            </w: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380" w:type="dxa"/>
            <w:vAlign w:val="bottom"/>
          </w:tcPr>
          <w:p>
            <w:pPr>
              <w:jc w:val="center"/>
              <w:ind w:left="137"/>
              <w:spacing w:after="0" w:line="149" w:lineRule="exact"/>
              <w:rPr>
                <w:sz w:val="20"/>
                <w:szCs w:val="20"/>
                <w:color w:val="auto"/>
              </w:rPr>
            </w:pPr>
            <w:r>
              <w:rPr>
                <w:rFonts w:ascii="Arial" w:cs="Arial" w:eastAsia="Arial" w:hAnsi="Arial"/>
                <w:sz w:val="14"/>
                <w:szCs w:val="14"/>
                <w:b w:val="1"/>
                <w:bCs w:val="1"/>
                <w:color w:val="auto"/>
                <w:w w:val="94"/>
              </w:rPr>
              <w:t>Mortgage-</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380" w:type="dxa"/>
            <w:vAlign w:val="bottom"/>
            <w:tcBorders>
              <w:bottom w:val="single" w:sz="8" w:color="auto"/>
            </w:tcBorders>
          </w:tcPr>
          <w:p>
            <w:pPr>
              <w:jc w:val="center"/>
              <w:ind w:left="137"/>
              <w:spacing w:after="0"/>
              <w:rPr>
                <w:sz w:val="20"/>
                <w:szCs w:val="20"/>
                <w:color w:val="auto"/>
              </w:rPr>
            </w:pPr>
            <w:r>
              <w:rPr>
                <w:rFonts w:ascii="Arial" w:cs="Arial" w:eastAsia="Arial" w:hAnsi="Arial"/>
                <w:sz w:val="14"/>
                <w:szCs w:val="14"/>
                <w:b w:val="1"/>
                <w:bCs w:val="1"/>
                <w:color w:val="auto"/>
                <w:w w:val="89"/>
              </w:rPr>
              <w:t>Backed Securities</w:t>
            </w:r>
          </w:p>
        </w:tc>
        <w:tc>
          <w:tcPr>
            <w:tcW w:w="2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Other Liabilities</w:t>
            </w: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40" w:type="dxa"/>
            <w:vAlign w:val="bottom"/>
            <w:tcBorders>
              <w:bottom w:val="single" w:sz="8" w:color="auto"/>
            </w:tcBorders>
          </w:tcPr>
          <w:p>
            <w:pPr>
              <w:spacing w:after="0" w:line="163" w:lineRule="exact"/>
              <w:rPr>
                <w:sz w:val="20"/>
                <w:szCs w:val="20"/>
                <w:color w:val="auto"/>
              </w:rPr>
            </w:pPr>
            <w:r>
              <w:rPr>
                <w:rFonts w:ascii="Arial" w:cs="Arial" w:eastAsia="Arial" w:hAnsi="Arial"/>
                <w:sz w:val="18"/>
                <w:szCs w:val="18"/>
                <w:b w:val="1"/>
                <w:bCs w:val="1"/>
                <w:color w:val="auto"/>
                <w:w w:val="79"/>
              </w:rPr>
              <w:t>2020</w:t>
            </w:r>
          </w:p>
        </w:tc>
        <w:tc>
          <w:tcPr>
            <w:tcW w:w="4820" w:type="dxa"/>
            <w:vAlign w:val="bottom"/>
          </w:tcPr>
          <w:p>
            <w:pPr>
              <w:spacing w:after="0"/>
              <w:rPr>
                <w:sz w:val="15"/>
                <w:szCs w:val="15"/>
                <w:color w:val="auto"/>
              </w:rPr>
            </w:pPr>
          </w:p>
        </w:tc>
        <w:tc>
          <w:tcPr>
            <w:tcW w:w="3440" w:type="dxa"/>
            <w:vAlign w:val="bottom"/>
            <w:gridSpan w:val="4"/>
          </w:tcPr>
          <w:p>
            <w:pPr>
              <w:jc w:val="right"/>
              <w:ind w:right="1193"/>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9"/>
        </w:trPr>
        <w:tc>
          <w:tcPr>
            <w:tcW w:w="5180" w:type="dxa"/>
            <w:vAlign w:val="bottom"/>
            <w:gridSpan w:val="3"/>
          </w:tcPr>
          <w:p>
            <w:pPr>
              <w:spacing w:after="0"/>
              <w:rPr>
                <w:sz w:val="20"/>
                <w:szCs w:val="20"/>
                <w:color w:val="auto"/>
              </w:rPr>
            </w:pPr>
            <w:r>
              <w:rPr>
                <w:rFonts w:ascii="Arial" w:cs="Arial" w:eastAsia="Arial" w:hAnsi="Arial"/>
                <w:sz w:val="18"/>
                <w:szCs w:val="18"/>
                <w:color w:val="auto"/>
              </w:rPr>
              <w:t>Balance — January 1, 2020</w:t>
            </w:r>
          </w:p>
        </w:tc>
        <w:tc>
          <w:tcPr>
            <w:tcW w:w="1380" w:type="dxa"/>
            <w:vAlign w:val="bottom"/>
          </w:tcPr>
          <w:p>
            <w:pPr>
              <w:jc w:val="right"/>
              <w:ind w:right="1197"/>
              <w:spacing w:after="0"/>
              <w:rPr>
                <w:sz w:val="20"/>
                <w:szCs w:val="20"/>
                <w:color w:val="auto"/>
              </w:rPr>
            </w:pPr>
            <w:r>
              <w:rPr>
                <w:rFonts w:ascii="Arial" w:cs="Arial" w:eastAsia="Arial" w:hAnsi="Arial"/>
                <w:sz w:val="18"/>
                <w:szCs w:val="18"/>
                <w:color w:val="auto"/>
                <w:w w:val="79"/>
              </w:rPr>
              <w:t>$</w:t>
            </w:r>
          </w:p>
        </w:tc>
        <w:tc>
          <w:tcPr>
            <w:tcW w:w="220" w:type="dxa"/>
            <w:vAlign w:val="bottom"/>
          </w:tcPr>
          <w:p>
            <w:pPr>
              <w:jc w:val="right"/>
              <w:spacing w:after="0"/>
              <w:rPr>
                <w:sz w:val="20"/>
                <w:szCs w:val="20"/>
                <w:color w:val="auto"/>
              </w:rPr>
            </w:pPr>
            <w:r>
              <w:rPr>
                <w:rFonts w:ascii="Arial" w:cs="Arial" w:eastAsia="Arial" w:hAnsi="Arial"/>
                <w:sz w:val="18"/>
                <w:szCs w:val="18"/>
                <w:color w:val="auto"/>
                <w:w w:val="89"/>
              </w:rPr>
              <w:t>16</w:t>
            </w:r>
          </w:p>
        </w:tc>
        <w:tc>
          <w:tcPr>
            <w:tcW w:w="26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10,740</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gains realized/unrealized:</w:t>
            </w:r>
          </w:p>
        </w:tc>
        <w:tc>
          <w:tcPr>
            <w:tcW w:w="1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60" w:type="dxa"/>
            <w:vAlign w:val="bottom"/>
            <w:gridSpan w:val="2"/>
          </w:tcPr>
          <w:p>
            <w:pPr>
              <w:ind w:left="240"/>
              <w:spacing w:after="0"/>
              <w:rPr>
                <w:sz w:val="20"/>
                <w:szCs w:val="20"/>
                <w:color w:val="auto"/>
              </w:rPr>
            </w:pPr>
            <w:r>
              <w:rPr>
                <w:rFonts w:ascii="Arial" w:cs="Arial" w:eastAsia="Arial" w:hAnsi="Arial"/>
                <w:sz w:val="18"/>
                <w:szCs w:val="18"/>
                <w:color w:val="auto"/>
              </w:rPr>
              <w:t>Included in earnings</w:t>
            </w:r>
          </w:p>
        </w:tc>
        <w:tc>
          <w:tcPr>
            <w:tcW w:w="1380" w:type="dxa"/>
            <w:vAlign w:val="bottom"/>
          </w:tcPr>
          <w:p>
            <w:pPr>
              <w:spacing w:after="0"/>
              <w:rPr>
                <w:sz w:val="19"/>
                <w:szCs w:val="19"/>
                <w:color w:val="auto"/>
              </w:rPr>
            </w:pP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44,081</w:t>
            </w:r>
          </w:p>
        </w:tc>
        <w:tc>
          <w:tcPr>
            <w:tcW w:w="360" w:type="dxa"/>
            <w:vAlign w:val="bottom"/>
          </w:tcPr>
          <w:p>
            <w:pPr>
              <w:ind w:left="8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Settlements</w:t>
            </w:r>
          </w:p>
        </w:tc>
        <w:tc>
          <w:tcPr>
            <w:tcW w:w="138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Transfers out of Level 3</w:t>
            </w:r>
          </w:p>
        </w:tc>
        <w:tc>
          <w:tcPr>
            <w:tcW w:w="1380" w:type="dxa"/>
            <w:vAlign w:val="bottom"/>
          </w:tcPr>
          <w:p>
            <w:pPr>
              <w:spacing w:after="0"/>
              <w:rPr>
                <w:sz w:val="19"/>
                <w:szCs w:val="19"/>
                <w:color w:val="auto"/>
              </w:rPr>
            </w:pP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w:t>
            </w:r>
          </w:p>
        </w:tc>
        <w:tc>
          <w:tcPr>
            <w:tcW w:w="1940" w:type="dxa"/>
            <w:vAlign w:val="bottom"/>
            <w:gridSpan w:val="2"/>
          </w:tcPr>
          <w:p>
            <w:pPr>
              <w:ind w:left="1000"/>
              <w:spacing w:after="0"/>
              <w:rPr>
                <w:sz w:val="20"/>
                <w:szCs w:val="20"/>
                <w:color w:val="auto"/>
              </w:rPr>
            </w:pPr>
            <w:r>
              <w:rPr>
                <w:rFonts w:ascii="Arial" w:cs="Arial" w:eastAsia="Arial" w:hAnsi="Arial"/>
                <w:sz w:val="18"/>
                <w:szCs w:val="18"/>
                <w:color w:val="auto"/>
                <w:w w:val="97"/>
              </w:rPr>
              <w:t>(19,794) (b)</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 March 31, 2020</w:t>
            </w:r>
          </w:p>
        </w:tc>
        <w:tc>
          <w:tcPr>
            <w:tcW w:w="1380" w:type="dxa"/>
            <w:vAlign w:val="bottom"/>
            <w:tcBorders>
              <w:top w:val="single" w:sz="8" w:color="auto"/>
              <w:bottom w:val="single" w:sz="8" w:color="auto"/>
            </w:tcBorders>
            <w:shd w:val="clear" w:color="auto" w:fill="CFF0FC"/>
          </w:tcPr>
          <w:p>
            <w:pPr>
              <w:jc w:val="right"/>
              <w:ind w:right="1197"/>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16</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35,027</w:t>
            </w:r>
          </w:p>
        </w:tc>
        <w:tc>
          <w:tcPr>
            <w:tcW w:w="36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gridSpan w:val="3"/>
            <w:vMerge w:val="restart"/>
          </w:tcPr>
          <w:p>
            <w:pPr>
              <w:spacing w:after="0"/>
              <w:rPr>
                <w:sz w:val="20"/>
                <w:szCs w:val="20"/>
                <w:color w:val="auto"/>
              </w:rPr>
            </w:pPr>
            <w:r>
              <w:rPr>
                <w:rFonts w:ascii="Arial" w:cs="Arial" w:eastAsia="Arial" w:hAnsi="Arial"/>
                <w:sz w:val="18"/>
                <w:szCs w:val="18"/>
                <w:color w:val="auto"/>
              </w:rPr>
              <w:t>Changes in unrealized gains included in earnings</w:t>
            </w: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180" w:type="dxa"/>
            <w:vAlign w:val="bottom"/>
            <w:gridSpan w:val="3"/>
            <w:vMerge w:val="continue"/>
          </w:tcPr>
          <w:p>
            <w:pPr>
              <w:spacing w:after="0"/>
              <w:rPr>
                <w:sz w:val="16"/>
                <w:szCs w:val="16"/>
                <w:color w:val="auto"/>
              </w:rPr>
            </w:pPr>
          </w:p>
        </w:tc>
        <w:tc>
          <w:tcPr>
            <w:tcW w:w="1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60" w:type="dxa"/>
            <w:vAlign w:val="bottom"/>
            <w:gridSpan w:val="2"/>
          </w:tcPr>
          <w:p>
            <w:pPr>
              <w:ind w:left="120"/>
              <w:spacing w:after="0"/>
              <w:rPr>
                <w:sz w:val="20"/>
                <w:szCs w:val="20"/>
                <w:color w:val="auto"/>
              </w:rPr>
            </w:pPr>
            <w:r>
              <w:rPr>
                <w:rFonts w:ascii="Arial" w:cs="Arial" w:eastAsia="Arial" w:hAnsi="Arial"/>
                <w:sz w:val="18"/>
                <w:szCs w:val="18"/>
                <w:color w:val="auto"/>
              </w:rPr>
              <w:t>related to assets still held at March 31, 2020</w:t>
            </w:r>
          </w:p>
        </w:tc>
        <w:tc>
          <w:tcPr>
            <w:tcW w:w="1380" w:type="dxa"/>
            <w:vAlign w:val="bottom"/>
          </w:tcPr>
          <w:p>
            <w:pPr>
              <w:jc w:val="right"/>
              <w:ind w:right="1197"/>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32,584</w:t>
            </w:r>
          </w:p>
        </w:tc>
        <w:tc>
          <w:tcPr>
            <w:tcW w:w="360" w:type="dxa"/>
            <w:vAlign w:val="bottom"/>
          </w:tcPr>
          <w:p>
            <w:pPr>
              <w:ind w:left="8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0"/>
        </w:trPr>
        <w:tc>
          <w:tcPr>
            <w:tcW w:w="51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2019</w:t>
            </w: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180" w:type="dxa"/>
            <w:vAlign w:val="bottom"/>
            <w:gridSpan w:val="3"/>
            <w:vMerge w:val="continue"/>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48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5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Balance — January 1, 2019</w:t>
            </w:r>
          </w:p>
        </w:tc>
        <w:tc>
          <w:tcPr>
            <w:tcW w:w="1380" w:type="dxa"/>
            <w:vAlign w:val="bottom"/>
            <w:shd w:val="clear" w:color="auto" w:fill="CFF0FC"/>
          </w:tcPr>
          <w:p>
            <w:pPr>
              <w:jc w:val="right"/>
              <w:ind w:right="1197"/>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22</w:t>
            </w:r>
          </w:p>
        </w:tc>
        <w:tc>
          <w:tcPr>
            <w:tcW w:w="26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7,712</w:t>
            </w:r>
          </w:p>
        </w:tc>
        <w:tc>
          <w:tcPr>
            <w:tcW w:w="3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Total gains realized/unrealized:</w:t>
            </w:r>
          </w:p>
        </w:tc>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Included in earnings</w:t>
            </w:r>
          </w:p>
        </w:tc>
        <w:tc>
          <w:tcPr>
            <w:tcW w:w="138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16,546</w:t>
            </w:r>
          </w:p>
        </w:tc>
        <w:tc>
          <w:tcPr>
            <w:tcW w:w="360" w:type="dxa"/>
            <w:vAlign w:val="bottom"/>
            <w:shd w:val="clear" w:color="auto" w:fill="CFF0FC"/>
          </w:tcPr>
          <w:p>
            <w:pPr>
              <w:ind w:left="8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Settlements</w:t>
            </w:r>
          </w:p>
        </w:tc>
        <w:tc>
          <w:tcPr>
            <w:tcW w:w="1380" w:type="dxa"/>
            <w:vAlign w:val="bottom"/>
          </w:tcPr>
          <w:p>
            <w:pPr>
              <w:spacing w:after="0"/>
              <w:rPr>
                <w:sz w:val="19"/>
                <w:szCs w:val="19"/>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Transfers out of Level 3</w:t>
            </w:r>
          </w:p>
        </w:tc>
        <w:tc>
          <w:tcPr>
            <w:tcW w:w="138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w w:val="99"/>
              </w:rPr>
              <w:t>—</w:t>
            </w:r>
          </w:p>
        </w:tc>
        <w:tc>
          <w:tcPr>
            <w:tcW w:w="1940" w:type="dxa"/>
            <w:vAlign w:val="bottom"/>
            <w:gridSpan w:val="2"/>
            <w:shd w:val="clear" w:color="auto" w:fill="CFF0FC"/>
          </w:tcPr>
          <w:p>
            <w:pPr>
              <w:ind w:left="1000"/>
              <w:spacing w:after="0"/>
              <w:rPr>
                <w:sz w:val="20"/>
                <w:szCs w:val="20"/>
                <w:color w:val="auto"/>
              </w:rPr>
            </w:pPr>
            <w:r>
              <w:rPr>
                <w:rFonts w:ascii="Arial" w:cs="Arial" w:eastAsia="Arial" w:hAnsi="Arial"/>
                <w:sz w:val="18"/>
                <w:szCs w:val="18"/>
                <w:color w:val="auto"/>
                <w:w w:val="97"/>
              </w:rPr>
              <w:t>(16,825) (b)</w:t>
            </w:r>
          </w:p>
        </w:tc>
        <w:tc>
          <w:tcPr>
            <w:tcW w:w="0" w:type="dxa"/>
            <w:vAlign w:val="bottom"/>
          </w:tcPr>
          <w:p>
            <w:pPr>
              <w:spacing w:after="0"/>
              <w:rPr>
                <w:sz w:val="1"/>
                <w:szCs w:val="1"/>
                <w:color w:val="auto"/>
              </w:rPr>
            </w:pPr>
          </w:p>
        </w:tc>
      </w:tr>
      <w:tr>
        <w:trPr>
          <w:trHeight w:val="263"/>
        </w:trPr>
        <w:tc>
          <w:tcPr>
            <w:tcW w:w="5180" w:type="dxa"/>
            <w:vAlign w:val="bottom"/>
            <w:gridSpan w:val="3"/>
          </w:tcPr>
          <w:p>
            <w:pPr>
              <w:spacing w:after="0"/>
              <w:rPr>
                <w:sz w:val="20"/>
                <w:szCs w:val="20"/>
                <w:color w:val="auto"/>
              </w:rPr>
            </w:pPr>
            <w:r>
              <w:rPr>
                <w:rFonts w:ascii="Arial" w:cs="Arial" w:eastAsia="Arial" w:hAnsi="Arial"/>
                <w:sz w:val="18"/>
                <w:szCs w:val="18"/>
                <w:color w:val="auto"/>
              </w:rPr>
              <w:t>Balance — March 31, 2019</w:t>
            </w:r>
          </w:p>
        </w:tc>
        <w:tc>
          <w:tcPr>
            <w:tcW w:w="1380" w:type="dxa"/>
            <w:vAlign w:val="bottom"/>
            <w:tcBorders>
              <w:top w:val="single" w:sz="8" w:color="auto"/>
              <w:bottom w:val="single" w:sz="8" w:color="auto"/>
            </w:tcBorders>
          </w:tcPr>
          <w:p>
            <w:pPr>
              <w:jc w:val="right"/>
              <w:ind w:right="1197"/>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16</w:t>
            </w:r>
          </w:p>
        </w:tc>
        <w:tc>
          <w:tcPr>
            <w:tcW w:w="260" w:type="dxa"/>
            <w:vAlign w:val="bottom"/>
          </w:tcPr>
          <w:p>
            <w:pPr>
              <w:spacing w:after="0"/>
              <w:rPr>
                <w:sz w:val="22"/>
                <w:szCs w:val="22"/>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7,433</w:t>
            </w: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160" w:type="dxa"/>
            <w:vAlign w:val="bottom"/>
            <w:tcBorders>
              <w:top w:val="single" w:sz="8" w:color="CFF0FC"/>
            </w:tcBorders>
            <w:gridSpan w:val="2"/>
            <w:shd w:val="clear" w:color="auto" w:fill="CFF0FC"/>
          </w:tcPr>
          <w:p>
            <w:pPr>
              <w:spacing w:after="0" w:line="195" w:lineRule="exact"/>
              <w:rPr>
                <w:sz w:val="20"/>
                <w:szCs w:val="20"/>
                <w:color w:val="auto"/>
              </w:rPr>
            </w:pPr>
            <w:r>
              <w:rPr>
                <w:rFonts w:ascii="Arial" w:cs="Arial" w:eastAsia="Arial" w:hAnsi="Arial"/>
                <w:sz w:val="18"/>
                <w:szCs w:val="18"/>
                <w:color w:val="auto"/>
              </w:rPr>
              <w:t>Changes in unrealized gains included in earnings</w:t>
            </w:r>
          </w:p>
        </w:tc>
        <w:tc>
          <w:tcPr>
            <w:tcW w:w="138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260" w:type="dxa"/>
            <w:vAlign w:val="bottom"/>
            <w:tcBorders>
              <w:top w:val="single" w:sz="8" w:color="CFF0FC"/>
            </w:tcBorders>
            <w:shd w:val="clear" w:color="auto" w:fill="CFF0FC"/>
          </w:tcPr>
          <w:p>
            <w:pPr>
              <w:spacing w:after="0"/>
              <w:rPr>
                <w:sz w:val="16"/>
                <w:szCs w:val="16"/>
                <w:color w:val="auto"/>
              </w:rPr>
            </w:pPr>
          </w:p>
        </w:tc>
        <w:tc>
          <w:tcPr>
            <w:tcW w:w="1580" w:type="dxa"/>
            <w:vAlign w:val="bottom"/>
            <w:tcBorders>
              <w:top w:val="single" w:sz="8" w:color="auto"/>
            </w:tcBorders>
            <w:shd w:val="clear" w:color="auto" w:fill="CFF0FC"/>
          </w:tcPr>
          <w:p>
            <w:pPr>
              <w:spacing w:after="0"/>
              <w:rPr>
                <w:sz w:val="16"/>
                <w:szCs w:val="16"/>
                <w:color w:val="auto"/>
              </w:rPr>
            </w:pPr>
          </w:p>
        </w:tc>
        <w:tc>
          <w:tcPr>
            <w:tcW w:w="36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6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related to assets still held at March 31, 2019</w:t>
            </w:r>
          </w:p>
        </w:tc>
        <w:tc>
          <w:tcPr>
            <w:tcW w:w="1380" w:type="dxa"/>
            <w:vAlign w:val="bottom"/>
            <w:shd w:val="clear" w:color="auto" w:fill="CFF0FC"/>
          </w:tcPr>
          <w:p>
            <w:pPr>
              <w:jc w:val="right"/>
              <w:ind w:right="1197"/>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8,525</w:t>
            </w:r>
          </w:p>
        </w:tc>
        <w:tc>
          <w:tcPr>
            <w:tcW w:w="360" w:type="dxa"/>
            <w:vAlign w:val="bottom"/>
            <w:shd w:val="clear" w:color="auto" w:fill="CFF0FC"/>
          </w:tcPr>
          <w:p>
            <w:pPr>
              <w:ind w:left="8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4820" w:type="dxa"/>
            <w:vAlign w:val="bottom"/>
            <w:tcBorders>
              <w:top w:val="single" w:sz="8" w:color="CFF0FC"/>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 w:lineRule="exact"/>
        <w:rPr>
          <w:sz w:val="20"/>
          <w:szCs w:val="20"/>
          <w:color w:val="auto"/>
        </w:rPr>
      </w:pPr>
    </w:p>
    <w:p>
      <w:pPr>
        <w:ind w:left="500" w:hanging="492"/>
        <w:spacing w:after="0" w:line="258" w:lineRule="auto"/>
        <w:tabs>
          <w:tab w:leader="none" w:pos="50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Reported as mortgage banking revenues in the consolidated statement of income and includes the fair value of commitment issuances and expirations.</w:t>
      </w:r>
    </w:p>
    <w:p>
      <w:pPr>
        <w:ind w:left="500" w:hanging="492"/>
        <w:spacing w:after="0"/>
        <w:tabs>
          <w:tab w:leader="none" w:pos="50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Transfers out of Level 3 consist of interest rate locks transferred to closed loans.</w:t>
      </w:r>
    </w:p>
    <w:p>
      <w:pPr>
        <w:spacing w:after="0" w:line="103" w:lineRule="exact"/>
        <w:rPr>
          <w:sz w:val="20"/>
          <w:szCs w:val="20"/>
          <w:color w:val="auto"/>
        </w:rPr>
      </w:pPr>
    </w:p>
    <w:p>
      <w:pPr>
        <w:ind w:right="900" w:firstLine="737"/>
        <w:spacing w:after="0" w:line="316" w:lineRule="auto"/>
        <w:rPr>
          <w:sz w:val="20"/>
          <w:szCs w:val="20"/>
          <w:color w:val="auto"/>
        </w:rPr>
      </w:pPr>
      <w:r>
        <w:rPr>
          <w:rFonts w:ascii="Arial" w:cs="Arial" w:eastAsia="Arial" w:hAnsi="Arial"/>
          <w:sz w:val="19"/>
          <w:szCs w:val="19"/>
          <w:color w:val="auto"/>
        </w:rPr>
        <w:t>The Company is required, on a nonrecurring basis, to adjust the carrying value of certain assets or provide valuation allowances related to certain assets using fair value measurements. The more significant of those assets follow.</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NOTES TO FINANCIAL STATEMENTS, CONTINUED</w:t>
      </w:r>
    </w:p>
    <w:p>
      <w:pPr>
        <w:spacing w:after="0" w:line="327" w:lineRule="exact"/>
        <w:rPr>
          <w:sz w:val="20"/>
          <w:szCs w:val="20"/>
          <w:color w:val="auto"/>
        </w:rPr>
      </w:pPr>
    </w:p>
    <w:p>
      <w:pPr>
        <w:ind w:right="7740" w:firstLine="8"/>
        <w:spacing w:after="0" w:line="368" w:lineRule="auto"/>
        <w:tabs>
          <w:tab w:leader="none" w:pos="299" w:val="left"/>
        </w:tabs>
        <w:numPr>
          <w:ilvl w:val="0"/>
          <w:numId w:val="14"/>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Fair value measurements, continued </w:t>
      </w:r>
      <w:r>
        <w:rPr>
          <w:rFonts w:ascii="Arial" w:cs="Arial" w:eastAsia="Arial" w:hAnsi="Arial"/>
          <w:sz w:val="20"/>
          <w:szCs w:val="20"/>
          <w:b w:val="1"/>
          <w:bCs w:val="1"/>
          <w:i w:val="1"/>
          <w:iCs w:val="1"/>
          <w:color w:val="auto"/>
        </w:rPr>
        <w:t>Loans</w:t>
      </w:r>
    </w:p>
    <w:p>
      <w:pPr>
        <w:spacing w:after="0" w:line="2"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Loans are generally not recorded at fair value on a recurring basis. Periodically, the Company records nonrecurring adjustments to the carrying value of loans based on fair value measurements for partial charge-offs of the uncollectible portions of those loans. Nonrecurring adjustments also include certain impairment amounts for collateral-dependent loans when establishing the allowance for credit losses. Such amounts are generally based on the fair value of the underlying collateral supporting the loan and, as a result, the carrying value of the loan less the calculated valuation amount does not necessarily represent the fair value of the loan. Real estate collateral is typically valued using appraisals or other indications of value based on recent comparable sales of similar properties or assumptions generally observable in the marketplace and the related nonrecurring fair value measurement adjustments have been classified as Level 2, unless significant adjustments have been made to the valuation that are not readily observable by market participants. Non-real estate collateral supporting commercial loans generally consists of business assets such as receivables, inventory and equipment. Fair value estimations are typically determined by discounting recorded values of those assets to reflect estimated net realizable value considering specific borrower facts and circumstances and the experience of credit personnel in their dealings with similar borrower collateral liquidations. Such discounts were in the range of 15% to 90% with a weighted-average of 43% at March 31, 2020. As these discounts are not readily observable and are considered significant, the valuations have been classified as Level 3. Automobile collateral is typically valued by reference to independent pricing sources based on recent sales transactions of similar vehicles, and the related nonrecurring fair value measurement adjustments have been classified as Level 2. Collateral values for other consumer installment loans are generally estimated based on historical recovery rates for similar types of loans, which at March 31, 2020 was 49%. As these recovery rates are not readily observable by market participants, such valuation adjustments have been classified as Level 3. Loans subject to nonrecurring fair value measurement were $196 million at March 31, 2020 ($116 million and $80 million of which were classified as Level 2 and Level 3, respectively), $305 million at December 31, 2019 ($115 million and $190 million of which were classified as Level 2 and Level 3, respectively) and $199 million at March 31, 2019 ($121 million and $78 million of which were classified as Level 2 and Level 3, respectively). Changes in fair value recognized for partial charge-offs of loans and loan impairment reserves on loans held by the Company on March 31, 2020 and 2019 were decreases of $21 million and $20 million for the three-month periods ended March 31, 2020 and 2019,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Assets taken in foreclosure of defaulted loans</w:t>
      </w:r>
    </w:p>
    <w:p>
      <w:pPr>
        <w:spacing w:after="0" w:line="109"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Assets taken in foreclosure of defaulted loans are primarily comprised of commercial and residential real property and are generally measured at the lower of cost or fair value less costs to sell. The fair value of the real property is generally determined using appraisals or other indications of value based on recent comparable sales of similar properties or assumptions generally observable in the marketplace, and the related nonrecurring fair value measurement adjustments have generally been classified as Level 2. Assets taken in foreclosure of defaulted loans subject to nonrecurring fair value measurement were $14 million and $9 million at March 31, 2020 and 2019, respectively. Changes in fair value recognized for those foreclosed assets held by the Company were not material during the three-month periods ended March 31, 2020 and 2019.</w:t>
      </w:r>
    </w:p>
    <w:p>
      <w:pPr>
        <w:spacing w:after="0" w:line="169"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Capitalized servicing rights</w:t>
      </w:r>
    </w:p>
    <w:p>
      <w:pPr>
        <w:spacing w:after="0" w:line="109"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Capitalized servicing rights are initially measured at fair value in the Company’s consolidated balance sheet. The Company utilizes the amortization method to subsequently measure its capitalized servicing assets. In accordance with GAAP, the Company must record impairment charges, on a nonrecurring basis, when the carrying value of certain strata exceed their estimated fair value. To estimate the fair value of servicing rights, the Company considers market prices for similar assets, if available, and the present value of expected future cash flows associated with the servicing rights calculated using assumptions that market participants would use in estimating future servicing income and expense. Such assumptions include estimates of the cost of servicing loans, loan default rates, an appropriate discount rate, and prepayment speeds. For purposes of evaluating and measuring impairment of</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NOTES TO FINANCIAL STATEMENTS, CONTINUED</w:t>
      </w:r>
    </w:p>
    <w:p>
      <w:pPr>
        <w:spacing w:after="0" w:line="32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11. Fair value measurements, continued</w:t>
      </w:r>
    </w:p>
    <w:p>
      <w:pPr>
        <w:spacing w:after="0" w:line="115"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capitalized servicing rights, the Company stratifies such assets based on the predominant risk characteristics of the underlying financial instruments that are expected to have the most impact on projected prepayments, cost of servicing and other factors affecting future cash flows associated with the servicing rights. Such factors may include financial asset or loan type, note rate and term. The amount of impairment recognized is the amount by which the carrying value of the capitalized servicing rights for a stratum exceed estimated fair value. Impairment is recognized through a valuation allowance. The determination of fair value of capitalized servicing rights is considered a Level 3 valuation. Capitalized servicing rights related to residential mortgage loans of $182 million and $188 million at March 31, 2020 and December 31, 2019, respectively, required a valuation allowance of $17 million and $7 million, respectively. No valuation allowance on capitalized servicing rights was required at March 31, 2019. Significant unobservable inputs used in this Level 3 valuation included weighted-average prepayment speeds of 18.65% and 18.50% at March 31, 2020 and December 31, 2019, respectively, and a weighted-average option-adjusted spread of 900 basis points at each date. Changes in fair value recognized for impairment of capitalized servicing rights were $10 million during the three months ended March 31, 2020. No impairment was recognized during the three months ended March 31, 2019.</w:t>
      </w:r>
    </w:p>
    <w:p>
      <w:pPr>
        <w:spacing w:after="0" w:line="154" w:lineRule="exact"/>
        <w:rPr>
          <w:sz w:val="20"/>
          <w:szCs w:val="20"/>
          <w:color w:val="auto"/>
        </w:rPr>
      </w:pPr>
    </w:p>
    <w:p>
      <w:pPr>
        <w:ind w:left="40"/>
        <w:spacing w:after="0"/>
        <w:rPr>
          <w:sz w:val="20"/>
          <w:szCs w:val="20"/>
          <w:color w:val="auto"/>
        </w:rPr>
      </w:pPr>
      <w:r>
        <w:rPr>
          <w:rFonts w:ascii="Arial" w:cs="Arial" w:eastAsia="Arial" w:hAnsi="Arial"/>
          <w:sz w:val="21"/>
          <w:szCs w:val="21"/>
          <w:b w:val="1"/>
          <w:bCs w:val="1"/>
          <w:i w:val="1"/>
          <w:iCs w:val="1"/>
          <w:color w:val="auto"/>
        </w:rPr>
        <w:t>Significant unobservable inputs to Level 3 measurements</w:t>
      </w:r>
    </w:p>
    <w:p>
      <w:pPr>
        <w:spacing w:after="0" w:line="244" w:lineRule="exact"/>
        <w:rPr>
          <w:sz w:val="20"/>
          <w:szCs w:val="20"/>
          <w:color w:val="auto"/>
        </w:rPr>
      </w:pPr>
    </w:p>
    <w:p>
      <w:pPr>
        <w:ind w:left="40" w:right="1840"/>
        <w:spacing w:after="0" w:line="288" w:lineRule="auto"/>
        <w:rPr>
          <w:sz w:val="20"/>
          <w:szCs w:val="20"/>
          <w:color w:val="auto"/>
        </w:rPr>
      </w:pPr>
      <w:r>
        <w:rPr>
          <w:rFonts w:ascii="Arial" w:cs="Arial" w:eastAsia="Arial" w:hAnsi="Arial"/>
          <w:sz w:val="20"/>
          <w:szCs w:val="20"/>
          <w:color w:val="auto"/>
        </w:rPr>
        <w:t>The following tables present quantitative information about significant unobservable inputs used in the fair value measurements for certain Level 3 assets and liabilities at March 31, 2020 and December 31, 2019:</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60" w:type="dxa"/>
            <w:vAlign w:val="bottom"/>
            <w:gridSpan w:val="2"/>
            <w:vMerge w:val="restart"/>
          </w:tcPr>
          <w:p>
            <w:pPr>
              <w:ind w:left="580"/>
              <w:spacing w:after="0"/>
              <w:rPr>
                <w:sz w:val="20"/>
                <w:szCs w:val="20"/>
                <w:color w:val="auto"/>
              </w:rPr>
            </w:pPr>
            <w:r>
              <w:rPr>
                <w:rFonts w:ascii="Arial" w:cs="Arial" w:eastAsia="Arial" w:hAnsi="Arial"/>
                <w:sz w:val="14"/>
                <w:szCs w:val="14"/>
                <w:b w:val="1"/>
                <w:bCs w:val="1"/>
                <w:color w:val="auto"/>
              </w:rPr>
              <w:t>Valuation</w:t>
            </w:r>
          </w:p>
        </w:tc>
        <w:tc>
          <w:tcPr>
            <w:tcW w:w="184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Unobservable</w:t>
            </w:r>
          </w:p>
        </w:tc>
        <w:tc>
          <w:tcPr>
            <w:tcW w:w="20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Range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restart"/>
          </w:tcPr>
          <w:p>
            <w:pPr>
              <w:jc w:val="right"/>
              <w:ind w:right="236"/>
              <w:spacing w:after="0"/>
              <w:rPr>
                <w:sz w:val="20"/>
                <w:szCs w:val="20"/>
                <w:color w:val="auto"/>
              </w:rPr>
            </w:pPr>
            <w:r>
              <w:rPr>
                <w:rFonts w:ascii="Arial" w:cs="Arial" w:eastAsia="Arial" w:hAnsi="Arial"/>
                <w:sz w:val="14"/>
                <w:szCs w:val="14"/>
                <w:b w:val="1"/>
                <w:bCs w:val="1"/>
                <w:color w:val="auto"/>
              </w:rPr>
              <w:t>Fair Value</w:t>
            </w:r>
          </w:p>
        </w:tc>
        <w:tc>
          <w:tcPr>
            <w:tcW w:w="420" w:type="dxa"/>
            <w:vAlign w:val="bottom"/>
          </w:tcPr>
          <w:p>
            <w:pPr>
              <w:spacing w:after="0"/>
              <w:rPr>
                <w:sz w:val="12"/>
                <w:szCs w:val="12"/>
                <w:color w:val="auto"/>
              </w:rPr>
            </w:pPr>
          </w:p>
        </w:tc>
        <w:tc>
          <w:tcPr>
            <w:tcW w:w="2060" w:type="dxa"/>
            <w:vAlign w:val="bottom"/>
            <w:gridSpan w:val="2"/>
            <w:vMerge w:val="continue"/>
          </w:tcPr>
          <w:p>
            <w:pPr>
              <w:spacing w:after="0"/>
              <w:rPr>
                <w:sz w:val="12"/>
                <w:szCs w:val="12"/>
                <w:color w:val="auto"/>
              </w:rPr>
            </w:pPr>
          </w:p>
        </w:tc>
        <w:tc>
          <w:tcPr>
            <w:tcW w:w="1840" w:type="dxa"/>
            <w:vAlign w:val="bottom"/>
            <w:gridSpan w:val="2"/>
            <w:vMerge w:val="continue"/>
          </w:tcPr>
          <w:p>
            <w:pPr>
              <w:spacing w:after="0"/>
              <w:rPr>
                <w:sz w:val="12"/>
                <w:szCs w:val="12"/>
                <w:color w:val="auto"/>
              </w:rPr>
            </w:pPr>
          </w:p>
        </w:tc>
        <w:tc>
          <w:tcPr>
            <w:tcW w:w="20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(Weighted-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2060" w:type="dxa"/>
            <w:vAlign w:val="bottom"/>
            <w:gridSpan w:val="2"/>
          </w:tcPr>
          <w:p>
            <w:pPr>
              <w:ind w:left="560"/>
              <w:spacing w:after="0"/>
              <w:rPr>
                <w:sz w:val="20"/>
                <w:szCs w:val="20"/>
                <w:color w:val="auto"/>
              </w:rPr>
            </w:pPr>
            <w:r>
              <w:rPr>
                <w:rFonts w:ascii="Arial" w:cs="Arial" w:eastAsia="Arial" w:hAnsi="Arial"/>
                <w:sz w:val="14"/>
                <w:szCs w:val="14"/>
                <w:b w:val="1"/>
                <w:bCs w:val="1"/>
                <w:color w:val="auto"/>
              </w:rPr>
              <w:t>Technique</w:t>
            </w:r>
          </w:p>
        </w:tc>
        <w:tc>
          <w:tcPr>
            <w:tcW w:w="1840" w:type="dxa"/>
            <w:vAlign w:val="bottom"/>
            <w:gridSpan w:val="2"/>
          </w:tcPr>
          <w:p>
            <w:pPr>
              <w:ind w:left="100"/>
              <w:spacing w:after="0"/>
              <w:rPr>
                <w:sz w:val="20"/>
                <w:szCs w:val="20"/>
                <w:color w:val="auto"/>
              </w:rPr>
            </w:pPr>
            <w:r>
              <w:rPr>
                <w:rFonts w:ascii="Arial" w:cs="Arial" w:eastAsia="Arial" w:hAnsi="Arial"/>
                <w:sz w:val="14"/>
                <w:szCs w:val="14"/>
                <w:b w:val="1"/>
                <w:bCs w:val="1"/>
                <w:color w:val="auto"/>
              </w:rPr>
              <w:t>Inputs/Assumptions</w:t>
            </w:r>
          </w:p>
        </w:tc>
        <w:tc>
          <w:tcPr>
            <w:tcW w:w="20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95"/>
              </w:rPr>
              <w:t>(In thousands)</w:t>
            </w:r>
          </w:p>
        </w:tc>
        <w:tc>
          <w:tcPr>
            <w:tcW w:w="420" w:type="dxa"/>
            <w:vAlign w:val="bottom"/>
          </w:tcPr>
          <w:p>
            <w:pPr>
              <w:spacing w:after="0"/>
              <w:rPr>
                <w:sz w:val="19"/>
                <w:szCs w:val="19"/>
                <w:color w:val="auto"/>
              </w:rPr>
            </w:pPr>
          </w:p>
        </w:tc>
        <w:tc>
          <w:tcPr>
            <w:tcW w:w="17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8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March 31, 2020</w:t>
            </w:r>
          </w:p>
        </w:tc>
        <w:tc>
          <w:tcPr>
            <w:tcW w:w="5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60" w:type="dxa"/>
            <w:vAlign w:val="bottom"/>
            <w:gridSpan w:val="2"/>
          </w:tcPr>
          <w:p>
            <w:pPr>
              <w:spacing w:after="0" w:line="189" w:lineRule="exact"/>
              <w:rPr>
                <w:sz w:val="20"/>
                <w:szCs w:val="20"/>
                <w:color w:val="auto"/>
              </w:rPr>
            </w:pPr>
            <w:r>
              <w:rPr>
                <w:rFonts w:ascii="Arial" w:cs="Arial" w:eastAsia="Arial" w:hAnsi="Arial"/>
                <w:sz w:val="18"/>
                <w:szCs w:val="18"/>
                <w:color w:val="auto"/>
              </w:rPr>
              <w:t>Recurring fair value measurements</w:t>
            </w: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50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vMerge w:val="continue"/>
          </w:tcPr>
          <w:p>
            <w:pPr>
              <w:spacing w:after="0"/>
              <w:rPr>
                <w:sz w:val="18"/>
                <w:szCs w:val="18"/>
                <w:color w:val="auto"/>
              </w:rPr>
            </w:pPr>
          </w:p>
        </w:tc>
        <w:tc>
          <w:tcPr>
            <w:tcW w:w="30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Privately issued mortgage-</w:t>
            </w:r>
          </w:p>
        </w:tc>
        <w:tc>
          <w:tcPr>
            <w:tcW w:w="5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80" w:type="dxa"/>
            <w:vAlign w:val="bottom"/>
            <w:gridSpan w:val="3"/>
            <w:shd w:val="clear" w:color="auto" w:fill="CFF0FC"/>
          </w:tcPr>
          <w:p>
            <w:pPr>
              <w:ind w:left="420"/>
              <w:spacing w:after="0"/>
              <w:rPr>
                <w:sz w:val="20"/>
                <w:szCs w:val="20"/>
                <w:color w:val="auto"/>
              </w:rPr>
            </w:pPr>
            <w:r>
              <w:rPr>
                <w:rFonts w:ascii="Arial" w:cs="Arial" w:eastAsia="Arial" w:hAnsi="Arial"/>
                <w:sz w:val="18"/>
                <w:szCs w:val="18"/>
                <w:color w:val="auto"/>
              </w:rPr>
              <w:t>Two independent</w:t>
            </w:r>
          </w:p>
        </w:tc>
        <w:tc>
          <w:tcPr>
            <w:tcW w:w="14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6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backed securities</w:t>
            </w: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480" w:type="dxa"/>
            <w:vAlign w:val="bottom"/>
            <w:gridSpan w:val="3"/>
            <w:shd w:val="clear" w:color="auto" w:fill="CFF0FC"/>
          </w:tcPr>
          <w:p>
            <w:pPr>
              <w:ind w:left="420"/>
              <w:spacing w:after="0"/>
              <w:rPr>
                <w:sz w:val="20"/>
                <w:szCs w:val="20"/>
                <w:color w:val="auto"/>
              </w:rPr>
            </w:pPr>
            <w:r>
              <w:rPr>
                <w:rFonts w:ascii="Arial" w:cs="Arial" w:eastAsia="Arial" w:hAnsi="Arial"/>
                <w:sz w:val="18"/>
                <w:szCs w:val="18"/>
                <w:color w:val="auto"/>
              </w:rPr>
              <w:t>pricing quotes</w:t>
            </w:r>
          </w:p>
        </w:tc>
        <w:tc>
          <w:tcPr>
            <w:tcW w:w="1840" w:type="dxa"/>
            <w:vAlign w:val="bottom"/>
            <w:gridSpan w:val="2"/>
            <w:shd w:val="clear" w:color="auto" w:fill="CFF0FC"/>
          </w:tcPr>
          <w:p>
            <w:pPr>
              <w:ind w:left="660"/>
              <w:spacing w:after="0"/>
              <w:rPr>
                <w:sz w:val="20"/>
                <w:szCs w:val="20"/>
                <w:color w:val="auto"/>
              </w:rPr>
            </w:pPr>
            <w:r>
              <w:rPr>
                <w:rFonts w:ascii="Arial" w:cs="Arial" w:eastAsia="Arial" w:hAnsi="Arial"/>
                <w:sz w:val="18"/>
                <w:szCs w:val="18"/>
                <w:color w:val="auto"/>
              </w:rPr>
              <w:t>—</w:t>
            </w:r>
          </w:p>
        </w:tc>
        <w:tc>
          <w:tcPr>
            <w:tcW w:w="2000" w:type="dxa"/>
            <w:vAlign w:val="bottom"/>
            <w:gridSpan w:val="2"/>
            <w:shd w:val="clear" w:color="auto" w:fill="CFF0FC"/>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Arial" w:cs="Arial" w:eastAsia="Arial" w:hAnsi="Arial"/>
                <w:sz w:val="18"/>
                <w:szCs w:val="18"/>
                <w:color w:val="auto"/>
              </w:rPr>
              <w:t>Commitment</w:t>
            </w: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80" w:type="dxa"/>
            <w:vAlign w:val="bottom"/>
            <w:gridSpan w:val="3"/>
          </w:tcPr>
          <w:p>
            <w:pPr>
              <w:spacing w:after="0"/>
              <w:rPr>
                <w:sz w:val="20"/>
                <w:szCs w:val="20"/>
                <w:color w:val="auto"/>
              </w:rPr>
            </w:pPr>
            <w:r>
              <w:rPr>
                <w:rFonts w:ascii="Arial" w:cs="Arial" w:eastAsia="Arial" w:hAnsi="Arial"/>
                <w:sz w:val="18"/>
                <w:szCs w:val="18"/>
                <w:color w:val="auto"/>
              </w:rPr>
              <w:t>Net other assets (liabilities) (a)</w:t>
            </w: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35,027</w:t>
            </w:r>
          </w:p>
        </w:tc>
        <w:tc>
          <w:tcPr>
            <w:tcW w:w="2480" w:type="dxa"/>
            <w:vAlign w:val="bottom"/>
            <w:gridSpan w:val="3"/>
          </w:tcPr>
          <w:p>
            <w:pPr>
              <w:ind w:left="420"/>
              <w:spacing w:after="0"/>
              <w:rPr>
                <w:sz w:val="20"/>
                <w:szCs w:val="20"/>
                <w:color w:val="auto"/>
              </w:rPr>
            </w:pPr>
            <w:r>
              <w:rPr>
                <w:rFonts w:ascii="Arial" w:cs="Arial" w:eastAsia="Arial" w:hAnsi="Arial"/>
                <w:sz w:val="18"/>
                <w:szCs w:val="18"/>
                <w:color w:val="auto"/>
              </w:rPr>
              <w:t>Discounted cash flow</w:t>
            </w:r>
          </w:p>
        </w:tc>
        <w:tc>
          <w:tcPr>
            <w:tcW w:w="1840" w:type="dxa"/>
            <w:vAlign w:val="bottom"/>
            <w:gridSpan w:val="2"/>
          </w:tcPr>
          <w:p>
            <w:pPr>
              <w:spacing w:after="0"/>
              <w:rPr>
                <w:sz w:val="20"/>
                <w:szCs w:val="20"/>
                <w:color w:val="auto"/>
              </w:rPr>
            </w:pPr>
            <w:r>
              <w:rPr>
                <w:rFonts w:ascii="Arial" w:cs="Arial" w:eastAsia="Arial" w:hAnsi="Arial"/>
                <w:sz w:val="18"/>
                <w:szCs w:val="18"/>
                <w:color w:val="auto"/>
              </w:rPr>
              <w:t>expirations</w:t>
            </w:r>
          </w:p>
        </w:tc>
        <w:tc>
          <w:tcPr>
            <w:tcW w:w="1880" w:type="dxa"/>
            <w:vAlign w:val="bottom"/>
          </w:tcPr>
          <w:p>
            <w:pPr>
              <w:jc w:val="right"/>
              <w:ind w:right="258"/>
              <w:spacing w:after="0"/>
              <w:rPr>
                <w:sz w:val="20"/>
                <w:szCs w:val="20"/>
                <w:color w:val="auto"/>
              </w:rPr>
            </w:pPr>
            <w:r>
              <w:rPr>
                <w:rFonts w:ascii="Arial" w:cs="Arial" w:eastAsia="Arial" w:hAnsi="Arial"/>
                <w:sz w:val="18"/>
                <w:szCs w:val="18"/>
                <w:color w:val="auto"/>
              </w:rPr>
              <w:t>0%-100% (16%)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25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December 31, 2019</w:t>
            </w: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60" w:type="dxa"/>
            <w:vAlign w:val="bottom"/>
            <w:gridSpan w:val="2"/>
            <w:shd w:val="clear" w:color="auto" w:fill="CFF0FC"/>
          </w:tcPr>
          <w:p>
            <w:pPr>
              <w:spacing w:after="0" w:line="189" w:lineRule="exact"/>
              <w:rPr>
                <w:sz w:val="20"/>
                <w:szCs w:val="20"/>
                <w:color w:val="auto"/>
              </w:rPr>
            </w:pPr>
            <w:r>
              <w:rPr>
                <w:rFonts w:ascii="Arial" w:cs="Arial" w:eastAsia="Arial" w:hAnsi="Arial"/>
                <w:sz w:val="18"/>
                <w:szCs w:val="18"/>
                <w:color w:val="auto"/>
              </w:rPr>
              <w:t>Recurring fair value measurements</w:t>
            </w:r>
          </w:p>
        </w:tc>
        <w:tc>
          <w:tcPr>
            <w:tcW w:w="5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Privately issued mortgage-</w:t>
            </w:r>
          </w:p>
        </w:tc>
        <w:tc>
          <w:tcPr>
            <w:tcW w:w="560" w:type="dxa"/>
            <w:vAlign w:val="bottom"/>
            <w:tcBorders>
              <w:top w:val="single" w:sz="8" w:color="CFF0FC"/>
            </w:tcBorders>
          </w:tcPr>
          <w:p>
            <w:pPr>
              <w:spacing w:after="0"/>
              <w:rPr>
                <w:sz w:val="18"/>
                <w:szCs w:val="18"/>
                <w:color w:val="auto"/>
              </w:rPr>
            </w:pPr>
          </w:p>
        </w:tc>
        <w:tc>
          <w:tcPr>
            <w:tcW w:w="56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140" w:type="dxa"/>
            <w:vAlign w:val="bottom"/>
            <w:tcBorders>
              <w:top w:val="single" w:sz="8" w:color="CFF0FC"/>
            </w:tcBorders>
          </w:tcPr>
          <w:p>
            <w:pPr>
              <w:spacing w:after="0"/>
              <w:rPr>
                <w:sz w:val="18"/>
                <w:szCs w:val="18"/>
                <w:color w:val="auto"/>
              </w:rPr>
            </w:pPr>
          </w:p>
        </w:tc>
        <w:tc>
          <w:tcPr>
            <w:tcW w:w="2480" w:type="dxa"/>
            <w:vAlign w:val="bottom"/>
            <w:tcBorders>
              <w:top w:val="single" w:sz="8" w:color="CFF0FC"/>
            </w:tcBorders>
            <w:gridSpan w:val="3"/>
          </w:tcPr>
          <w:p>
            <w:pPr>
              <w:ind w:left="420"/>
              <w:spacing w:after="0"/>
              <w:rPr>
                <w:sz w:val="20"/>
                <w:szCs w:val="20"/>
                <w:color w:val="auto"/>
              </w:rPr>
            </w:pPr>
            <w:r>
              <w:rPr>
                <w:rFonts w:ascii="Arial" w:cs="Arial" w:eastAsia="Arial" w:hAnsi="Arial"/>
                <w:sz w:val="18"/>
                <w:szCs w:val="18"/>
                <w:color w:val="auto"/>
              </w:rPr>
              <w:t>Two independent</w:t>
            </w:r>
          </w:p>
        </w:tc>
        <w:tc>
          <w:tcPr>
            <w:tcW w:w="1420" w:type="dxa"/>
            <w:vAlign w:val="bottom"/>
            <w:tcBorders>
              <w:top w:val="single" w:sz="8" w:color="CFF0FC"/>
            </w:tcBorders>
          </w:tcPr>
          <w:p>
            <w:pPr>
              <w:spacing w:after="0"/>
              <w:rPr>
                <w:sz w:val="18"/>
                <w:szCs w:val="18"/>
                <w:color w:val="auto"/>
              </w:rPr>
            </w:pPr>
          </w:p>
        </w:tc>
        <w:tc>
          <w:tcPr>
            <w:tcW w:w="420" w:type="dxa"/>
            <w:vAlign w:val="bottom"/>
            <w:tcBorders>
              <w:top w:val="single" w:sz="8" w:color="CFF0FC"/>
            </w:tcBorders>
          </w:tcPr>
          <w:p>
            <w:pPr>
              <w:spacing w:after="0"/>
              <w:rPr>
                <w:sz w:val="18"/>
                <w:szCs w:val="18"/>
                <w:color w:val="auto"/>
              </w:rPr>
            </w:pPr>
          </w:p>
        </w:tc>
        <w:tc>
          <w:tcPr>
            <w:tcW w:w="188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60" w:type="dxa"/>
            <w:vAlign w:val="bottom"/>
            <w:gridSpan w:val="2"/>
          </w:tcPr>
          <w:p>
            <w:pPr>
              <w:ind w:left="120"/>
              <w:spacing w:after="0"/>
              <w:rPr>
                <w:sz w:val="20"/>
                <w:szCs w:val="20"/>
                <w:color w:val="auto"/>
              </w:rPr>
            </w:pPr>
            <w:r>
              <w:rPr>
                <w:rFonts w:ascii="Arial" w:cs="Arial" w:eastAsia="Arial" w:hAnsi="Arial"/>
                <w:sz w:val="18"/>
                <w:szCs w:val="18"/>
                <w:color w:val="auto"/>
              </w:rPr>
              <w:t>backed securities</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w:t>
            </w:r>
          </w:p>
        </w:tc>
        <w:tc>
          <w:tcPr>
            <w:tcW w:w="2480" w:type="dxa"/>
            <w:vAlign w:val="bottom"/>
            <w:gridSpan w:val="3"/>
          </w:tcPr>
          <w:p>
            <w:pPr>
              <w:ind w:left="420"/>
              <w:spacing w:after="0"/>
              <w:rPr>
                <w:sz w:val="20"/>
                <w:szCs w:val="20"/>
                <w:color w:val="auto"/>
              </w:rPr>
            </w:pPr>
            <w:r>
              <w:rPr>
                <w:rFonts w:ascii="Arial" w:cs="Arial" w:eastAsia="Arial" w:hAnsi="Arial"/>
                <w:sz w:val="18"/>
                <w:szCs w:val="18"/>
                <w:color w:val="auto"/>
              </w:rPr>
              <w:t>pricing quotes</w:t>
            </w:r>
          </w:p>
        </w:tc>
        <w:tc>
          <w:tcPr>
            <w:tcW w:w="18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20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Commitment</w:t>
            </w:r>
          </w:p>
        </w:tc>
        <w:tc>
          <w:tcPr>
            <w:tcW w:w="1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other assets (liabilities) (a)</w:t>
            </w:r>
          </w:p>
        </w:tc>
        <w:tc>
          <w:tcPr>
            <w:tcW w:w="5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10,740</w:t>
            </w:r>
          </w:p>
        </w:tc>
        <w:tc>
          <w:tcPr>
            <w:tcW w:w="2480" w:type="dxa"/>
            <w:vAlign w:val="bottom"/>
            <w:gridSpan w:val="3"/>
            <w:shd w:val="clear" w:color="auto" w:fill="CFF0FC"/>
          </w:tcPr>
          <w:p>
            <w:pPr>
              <w:ind w:left="420"/>
              <w:spacing w:after="0"/>
              <w:rPr>
                <w:sz w:val="20"/>
                <w:szCs w:val="20"/>
                <w:color w:val="auto"/>
              </w:rPr>
            </w:pPr>
            <w:r>
              <w:rPr>
                <w:rFonts w:ascii="Arial" w:cs="Arial" w:eastAsia="Arial" w:hAnsi="Arial"/>
                <w:sz w:val="18"/>
                <w:szCs w:val="18"/>
                <w:color w:val="auto"/>
              </w:rPr>
              <w:t>Discounted cash flow</w:t>
            </w:r>
          </w:p>
        </w:tc>
        <w:tc>
          <w:tcPr>
            <w:tcW w:w="1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expirations</w:t>
            </w:r>
          </w:p>
        </w:tc>
        <w:tc>
          <w:tcPr>
            <w:tcW w:w="1880" w:type="dxa"/>
            <w:vAlign w:val="bottom"/>
            <w:shd w:val="clear" w:color="auto" w:fill="CFF0FC"/>
          </w:tcPr>
          <w:p>
            <w:pPr>
              <w:jc w:val="right"/>
              <w:ind w:right="318"/>
              <w:spacing w:after="0"/>
              <w:rPr>
                <w:sz w:val="20"/>
                <w:szCs w:val="20"/>
                <w:color w:val="auto"/>
              </w:rPr>
            </w:pPr>
            <w:r>
              <w:rPr>
                <w:rFonts w:ascii="Arial" w:cs="Arial" w:eastAsia="Arial" w:hAnsi="Arial"/>
                <w:sz w:val="18"/>
                <w:szCs w:val="18"/>
                <w:color w:val="auto"/>
              </w:rPr>
              <w:t>0%-99% (13%)</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60" w:hanging="552"/>
        <w:spacing w:after="0"/>
        <w:tabs>
          <w:tab w:leader="none" w:pos="56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Other Level 3 assets (liabilities) consist of commitments to originate real estate loans.</w:t>
      </w:r>
    </w:p>
    <w:p>
      <w:pPr>
        <w:spacing w:after="0" w:line="252" w:lineRule="exact"/>
        <w:rPr>
          <w:sz w:val="20"/>
          <w:szCs w:val="20"/>
          <w:color w:val="auto"/>
        </w:rPr>
      </w:pPr>
    </w:p>
    <w:p>
      <w:pPr>
        <w:ind w:left="40"/>
        <w:spacing w:after="0"/>
        <w:rPr>
          <w:sz w:val="20"/>
          <w:szCs w:val="20"/>
          <w:color w:val="auto"/>
        </w:rPr>
      </w:pPr>
      <w:r>
        <w:rPr>
          <w:rFonts w:ascii="Arial" w:cs="Arial" w:eastAsia="Arial" w:hAnsi="Arial"/>
          <w:sz w:val="21"/>
          <w:szCs w:val="21"/>
          <w:b w:val="1"/>
          <w:bCs w:val="1"/>
          <w:i w:val="1"/>
          <w:iCs w:val="1"/>
          <w:color w:val="auto"/>
        </w:rPr>
        <w:t>Sensitivity of fair value measurements to changes in unobservable inputs</w:t>
      </w:r>
    </w:p>
    <w:p>
      <w:pPr>
        <w:spacing w:after="0" w:line="190" w:lineRule="exact"/>
        <w:rPr>
          <w:sz w:val="20"/>
          <w:szCs w:val="20"/>
          <w:color w:val="auto"/>
        </w:rPr>
      </w:pPr>
    </w:p>
    <w:p>
      <w:pPr>
        <w:jc w:val="both"/>
        <w:ind w:left="40"/>
        <w:spacing w:after="0" w:line="234" w:lineRule="auto"/>
        <w:rPr>
          <w:sz w:val="20"/>
          <w:szCs w:val="20"/>
          <w:color w:val="auto"/>
        </w:rPr>
      </w:pPr>
      <w:r>
        <w:rPr>
          <w:rFonts w:ascii="Arial" w:cs="Arial" w:eastAsia="Arial" w:hAnsi="Arial"/>
          <w:sz w:val="21"/>
          <w:szCs w:val="21"/>
          <w:color w:val="auto"/>
        </w:rPr>
        <w:t>An increase (decrease) in the estimate of expirations for commitments to originate real estate loans would generally result in a lower (higher) fair value measurement. Estimated commitment expirations are derived considering loan type, changes in interest rates and remaining length of time until closing.</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NOTES TO FINANCIAL STATEMENTS, CONTINUED</w:t>
      </w:r>
    </w:p>
    <w:p>
      <w:pPr>
        <w:spacing w:after="0" w:line="219" w:lineRule="exact"/>
        <w:rPr>
          <w:sz w:val="20"/>
          <w:szCs w:val="20"/>
          <w:color w:val="auto"/>
        </w:rPr>
      </w:pPr>
    </w:p>
    <w:p>
      <w:pPr>
        <w:ind w:right="7040" w:firstLine="8"/>
        <w:spacing w:after="0" w:line="409" w:lineRule="auto"/>
        <w:tabs>
          <w:tab w:leader="none" w:pos="299"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Fair value measurements, continued </w:t>
      </w:r>
      <w:r>
        <w:rPr>
          <w:rFonts w:ascii="Arial" w:cs="Arial" w:eastAsia="Arial" w:hAnsi="Arial"/>
          <w:sz w:val="18"/>
          <w:szCs w:val="18"/>
          <w:b w:val="1"/>
          <w:bCs w:val="1"/>
          <w:i w:val="1"/>
          <w:iCs w:val="1"/>
          <w:color w:val="auto"/>
        </w:rPr>
        <w:t>Disclosures of fair value of financial instruments</w:t>
      </w:r>
    </w:p>
    <w:p>
      <w:pPr>
        <w:spacing w:after="0" w:line="1"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20"/>
          <w:szCs w:val="20"/>
          <w:color w:val="auto"/>
        </w:rPr>
        <w:t>The carrying amounts and estimated fair value for financial instrument assets (liabilities) are presented in the following table:</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w w:val="94"/>
              </w:rPr>
              <w:t>March 31, 2020</w:t>
            </w:r>
          </w:p>
        </w:tc>
        <w:tc>
          <w:tcPr>
            <w:tcW w:w="10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0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right"/>
              <w:ind w:right="540"/>
              <w:spacing w:after="0" w:line="133" w:lineRule="exact"/>
              <w:rPr>
                <w:sz w:val="20"/>
                <w:szCs w:val="20"/>
                <w:color w:val="auto"/>
              </w:rPr>
            </w:pPr>
            <w:r>
              <w:rPr>
                <w:rFonts w:ascii="Arial" w:cs="Arial" w:eastAsia="Arial" w:hAnsi="Arial"/>
                <w:sz w:val="14"/>
                <w:szCs w:val="14"/>
                <w:b w:val="1"/>
                <w:bCs w:val="1"/>
                <w:color w:val="auto"/>
              </w:rPr>
              <w:t>Carrying</w:t>
            </w:r>
          </w:p>
        </w:tc>
        <w:tc>
          <w:tcPr>
            <w:tcW w:w="1140" w:type="dxa"/>
            <w:vAlign w:val="bottom"/>
            <w:gridSpan w:val="2"/>
          </w:tcPr>
          <w:p>
            <w:pPr>
              <w:jc w:val="right"/>
              <w:ind w:right="340"/>
              <w:spacing w:after="0" w:line="133" w:lineRule="exact"/>
              <w:rPr>
                <w:sz w:val="20"/>
                <w:szCs w:val="20"/>
                <w:color w:val="auto"/>
              </w:rPr>
            </w:pPr>
            <w:r>
              <w:rPr>
                <w:rFonts w:ascii="Arial" w:cs="Arial" w:eastAsia="Arial" w:hAnsi="Arial"/>
                <w:sz w:val="14"/>
                <w:szCs w:val="14"/>
                <w:b w:val="1"/>
                <w:bCs w:val="1"/>
                <w:color w:val="auto"/>
              </w:rPr>
              <w:t>Estimated</w:t>
            </w:r>
          </w:p>
        </w:tc>
        <w:tc>
          <w:tcPr>
            <w:tcW w:w="180" w:type="dxa"/>
            <w:vAlign w:val="bottom"/>
          </w:tcPr>
          <w:p>
            <w:pPr>
              <w:spacing w:after="0"/>
              <w:rPr>
                <w:sz w:val="11"/>
                <w:szCs w:val="11"/>
                <w:color w:val="auto"/>
              </w:rPr>
            </w:pPr>
          </w:p>
        </w:tc>
        <w:tc>
          <w:tcPr>
            <w:tcW w:w="11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Level 1</w:t>
            </w:r>
          </w:p>
        </w:tc>
        <w:tc>
          <w:tcPr>
            <w:tcW w:w="132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Level 2</w:t>
            </w:r>
          </w:p>
        </w:tc>
        <w:tc>
          <w:tcPr>
            <w:tcW w:w="10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4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Amount</w:t>
            </w:r>
          </w:p>
        </w:tc>
        <w:tc>
          <w:tcPr>
            <w:tcW w:w="11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0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gridSpan w:val="3"/>
          </w:tcPr>
          <w:p>
            <w:pPr>
              <w:jc w:val="center"/>
              <w:ind w:right="220"/>
              <w:spacing w:after="0" w:line="155" w:lineRule="exact"/>
              <w:rPr>
                <w:sz w:val="20"/>
                <w:szCs w:val="20"/>
                <w:color w:val="auto"/>
              </w:rPr>
            </w:pPr>
            <w:r>
              <w:rPr>
                <w:rFonts w:ascii="Arial" w:cs="Arial" w:eastAsia="Arial" w:hAnsi="Arial"/>
                <w:sz w:val="14"/>
                <w:szCs w:val="14"/>
                <w:b w:val="1"/>
                <w:bCs w:val="1"/>
                <w:color w:val="auto"/>
                <w:w w:val="93"/>
              </w:rPr>
              <w:t>(In thousands)</w:t>
            </w:r>
          </w:p>
        </w:tc>
        <w:tc>
          <w:tcPr>
            <w:tcW w:w="100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Financial assets:</w:t>
            </w: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60" w:type="dxa"/>
            <w:vAlign w:val="bottom"/>
          </w:tcPr>
          <w:p>
            <w:pPr>
              <w:ind w:left="260"/>
              <w:spacing w:after="0"/>
              <w:rPr>
                <w:sz w:val="20"/>
                <w:szCs w:val="20"/>
                <w:color w:val="auto"/>
              </w:rPr>
            </w:pPr>
            <w:r>
              <w:rPr>
                <w:rFonts w:ascii="Arial" w:cs="Arial" w:eastAsia="Arial" w:hAnsi="Arial"/>
                <w:sz w:val="18"/>
                <w:szCs w:val="18"/>
                <w:color w:val="auto"/>
              </w:rPr>
              <w:t>Cash and cash equivalents</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1,298,192</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1,298,192</w:t>
            </w:r>
          </w:p>
        </w:tc>
        <w:tc>
          <w:tcPr>
            <w:tcW w:w="14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1,256,378</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41,814</w:t>
            </w:r>
          </w:p>
        </w:tc>
        <w:tc>
          <w:tcPr>
            <w:tcW w:w="32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Interest-bearing deposits at banks</w:t>
            </w: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8,896,307</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8,896,307</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8,896,307</w:t>
            </w:r>
          </w:p>
        </w:tc>
        <w:tc>
          <w:tcPr>
            <w:tcW w:w="3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60" w:type="dxa"/>
            <w:vAlign w:val="bottom"/>
          </w:tcPr>
          <w:p>
            <w:pPr>
              <w:ind w:left="260"/>
              <w:spacing w:after="0"/>
              <w:rPr>
                <w:sz w:val="20"/>
                <w:szCs w:val="20"/>
                <w:color w:val="auto"/>
              </w:rPr>
            </w:pPr>
            <w:r>
              <w:rPr>
                <w:rFonts w:ascii="Arial" w:cs="Arial" w:eastAsia="Arial" w:hAnsi="Arial"/>
                <w:sz w:val="18"/>
                <w:szCs w:val="18"/>
                <w:color w:val="auto"/>
              </w:rPr>
              <w:t>Trading account assets</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1,224,291</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1,224,291</w:t>
            </w:r>
          </w:p>
        </w:tc>
        <w:tc>
          <w:tcPr>
            <w:tcW w:w="14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47,497</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1,176,794</w:t>
            </w:r>
          </w:p>
        </w:tc>
        <w:tc>
          <w:tcPr>
            <w:tcW w:w="32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Investment securities</w:t>
            </w: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8,956,590</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9,053,797</w:t>
            </w:r>
          </w:p>
        </w:tc>
        <w:tc>
          <w:tcPr>
            <w:tcW w:w="1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115,206</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8,860,172</w:t>
            </w: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78,419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60" w:type="dxa"/>
            <w:vAlign w:val="bottom"/>
          </w:tcPr>
          <w:p>
            <w:pPr>
              <w:ind w:left="260"/>
              <w:spacing w:after="0"/>
              <w:rPr>
                <w:sz w:val="20"/>
                <w:szCs w:val="20"/>
                <w:color w:val="auto"/>
              </w:rPr>
            </w:pPr>
            <w:r>
              <w:rPr>
                <w:rFonts w:ascii="Arial" w:cs="Arial" w:eastAsia="Arial" w:hAnsi="Arial"/>
                <w:sz w:val="18"/>
                <w:szCs w:val="18"/>
                <w:color w:val="auto"/>
              </w:rPr>
              <w:t>Loans and leases:</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Commercial loans and leases</w:t>
            </w: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26,243,648</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25,609,215</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25,609,215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60" w:type="dxa"/>
            <w:vAlign w:val="bottom"/>
          </w:tcPr>
          <w:p>
            <w:pPr>
              <w:ind w:left="500"/>
              <w:spacing w:after="0"/>
              <w:rPr>
                <w:sz w:val="20"/>
                <w:szCs w:val="20"/>
                <w:color w:val="auto"/>
              </w:rPr>
            </w:pPr>
            <w:r>
              <w:rPr>
                <w:rFonts w:ascii="Arial" w:cs="Arial" w:eastAsia="Arial" w:hAnsi="Arial"/>
                <w:sz w:val="18"/>
                <w:szCs w:val="18"/>
                <w:color w:val="auto"/>
              </w:rPr>
              <w:t>Commercial real estate loans</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36,684,106</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35,576,538</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250,414</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35,326,124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Residential real estate loans</w:t>
            </w: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15,643,014</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15,824,640</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3,957,633</w:t>
            </w: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11,867,007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60" w:type="dxa"/>
            <w:vAlign w:val="bottom"/>
          </w:tcPr>
          <w:p>
            <w:pPr>
              <w:ind w:left="500"/>
              <w:spacing w:after="0"/>
              <w:rPr>
                <w:sz w:val="20"/>
                <w:szCs w:val="20"/>
                <w:color w:val="auto"/>
              </w:rPr>
            </w:pPr>
            <w:r>
              <w:rPr>
                <w:rFonts w:ascii="Arial" w:cs="Arial" w:eastAsia="Arial" w:hAnsi="Arial"/>
                <w:sz w:val="18"/>
                <w:szCs w:val="18"/>
                <w:color w:val="auto"/>
              </w:rPr>
              <w:t>Consumer loans</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15,571,507</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15,100,531</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9"/>
              </w:rPr>
              <w:t>15,100,531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Allowance for credit losses</w:t>
            </w: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(1,384,366)</w:t>
            </w: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060" w:type="dxa"/>
            <w:vAlign w:val="bottom"/>
          </w:tcPr>
          <w:p>
            <w:pPr>
              <w:ind w:left="740"/>
              <w:spacing w:after="0"/>
              <w:rPr>
                <w:sz w:val="20"/>
                <w:szCs w:val="20"/>
                <w:color w:val="auto"/>
              </w:rPr>
            </w:pPr>
            <w:r>
              <w:rPr>
                <w:rFonts w:ascii="Arial" w:cs="Arial" w:eastAsia="Arial" w:hAnsi="Arial"/>
                <w:sz w:val="18"/>
                <w:szCs w:val="18"/>
                <w:color w:val="auto"/>
              </w:rPr>
              <w:t>Loans and leases, net</w:t>
            </w:r>
          </w:p>
        </w:tc>
        <w:tc>
          <w:tcPr>
            <w:tcW w:w="10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92,757,909</w:t>
            </w:r>
          </w:p>
        </w:tc>
        <w:tc>
          <w:tcPr>
            <w:tcW w:w="32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92,110,924</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4,208,047</w:t>
            </w:r>
          </w:p>
        </w:tc>
        <w:tc>
          <w:tcPr>
            <w:tcW w:w="320" w:type="dxa"/>
            <w:vAlign w:val="bottom"/>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87,902,877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interest receivable</w:t>
            </w: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329,898</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329,898</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329,898</w:t>
            </w:r>
          </w:p>
        </w:tc>
        <w:tc>
          <w:tcPr>
            <w:tcW w:w="3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60" w:type="dxa"/>
            <w:vAlign w:val="bottom"/>
          </w:tcPr>
          <w:p>
            <w:pPr>
              <w:spacing w:after="0"/>
              <w:rPr>
                <w:sz w:val="20"/>
                <w:szCs w:val="20"/>
                <w:color w:val="auto"/>
              </w:rPr>
            </w:pPr>
            <w:r>
              <w:rPr>
                <w:rFonts w:ascii="Arial" w:cs="Arial" w:eastAsia="Arial" w:hAnsi="Arial"/>
                <w:sz w:val="18"/>
                <w:szCs w:val="18"/>
                <w:color w:val="auto"/>
              </w:rPr>
              <w:t>Financial liabilities:</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Noninterest-bearing deposits</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w w:val="92"/>
              </w:rPr>
              <w:t>(35,554,715)</w:t>
            </w: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(35,554,715)</w:t>
            </w:r>
          </w:p>
        </w:tc>
        <w:tc>
          <w:tcPr>
            <w:tcW w:w="1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(35,554,715)</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60" w:type="dxa"/>
            <w:vAlign w:val="bottom"/>
          </w:tcPr>
          <w:p>
            <w:pPr>
              <w:ind w:left="260"/>
              <w:spacing w:after="0"/>
              <w:rPr>
                <w:sz w:val="20"/>
                <w:szCs w:val="20"/>
                <w:color w:val="auto"/>
              </w:rPr>
            </w:pPr>
            <w:r>
              <w:rPr>
                <w:rFonts w:ascii="Arial" w:cs="Arial" w:eastAsia="Arial" w:hAnsi="Arial"/>
                <w:sz w:val="18"/>
                <w:szCs w:val="18"/>
                <w:color w:val="auto"/>
              </w:rPr>
              <w:t>Savings and interest-checking deposits</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(57,956,331)</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(57,956,331)</w:t>
            </w:r>
          </w:p>
        </w:tc>
        <w:tc>
          <w:tcPr>
            <w:tcW w:w="18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(57,956,331)</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Time deposits</w:t>
            </w: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(5,454,341)</w:t>
            </w: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(5,512,518)</w:t>
            </w:r>
          </w:p>
        </w:tc>
        <w:tc>
          <w:tcPr>
            <w:tcW w:w="1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(5,512,518)</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60" w:type="dxa"/>
            <w:vAlign w:val="bottom"/>
          </w:tcPr>
          <w:p>
            <w:pPr>
              <w:ind w:left="260"/>
              <w:spacing w:after="0"/>
              <w:rPr>
                <w:sz w:val="20"/>
                <w:szCs w:val="20"/>
                <w:color w:val="auto"/>
              </w:rPr>
            </w:pPr>
            <w:r>
              <w:rPr>
                <w:rFonts w:ascii="Arial" w:cs="Arial" w:eastAsia="Arial" w:hAnsi="Arial"/>
                <w:sz w:val="18"/>
                <w:szCs w:val="18"/>
                <w:color w:val="auto"/>
              </w:rPr>
              <w:t>Deposits at Cayman Islands office</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(1,217,921)</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(1,217,921)</w:t>
            </w:r>
          </w:p>
        </w:tc>
        <w:tc>
          <w:tcPr>
            <w:tcW w:w="18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(1,217,921)</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Short-term borrowings</w:t>
            </w: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(59,180)</w:t>
            </w: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(59,180)</w:t>
            </w:r>
          </w:p>
        </w:tc>
        <w:tc>
          <w:tcPr>
            <w:tcW w:w="1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(59,180)</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60" w:type="dxa"/>
            <w:vAlign w:val="bottom"/>
          </w:tcPr>
          <w:p>
            <w:pPr>
              <w:ind w:left="260"/>
              <w:spacing w:after="0"/>
              <w:rPr>
                <w:sz w:val="20"/>
                <w:szCs w:val="20"/>
                <w:color w:val="auto"/>
              </w:rPr>
            </w:pPr>
            <w:r>
              <w:rPr>
                <w:rFonts w:ascii="Arial" w:cs="Arial" w:eastAsia="Arial" w:hAnsi="Arial"/>
                <w:sz w:val="18"/>
                <w:szCs w:val="18"/>
                <w:color w:val="auto"/>
              </w:rPr>
              <w:t>Long-term borrowings</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(6,321,435)</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(6,233,069)</w:t>
            </w:r>
          </w:p>
        </w:tc>
        <w:tc>
          <w:tcPr>
            <w:tcW w:w="18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(6,233,069)</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interest payable</w:t>
            </w: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(88,267)</w:t>
            </w: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(88,267)</w:t>
            </w:r>
          </w:p>
        </w:tc>
        <w:tc>
          <w:tcPr>
            <w:tcW w:w="1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(88,267)</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60" w:type="dxa"/>
            <w:vAlign w:val="bottom"/>
          </w:tcPr>
          <w:p>
            <w:pPr>
              <w:ind w:left="260"/>
              <w:spacing w:after="0"/>
              <w:rPr>
                <w:sz w:val="20"/>
                <w:szCs w:val="20"/>
                <w:color w:val="auto"/>
              </w:rPr>
            </w:pPr>
            <w:r>
              <w:rPr>
                <w:rFonts w:ascii="Arial" w:cs="Arial" w:eastAsia="Arial" w:hAnsi="Arial"/>
                <w:sz w:val="18"/>
                <w:szCs w:val="18"/>
                <w:color w:val="auto"/>
              </w:rPr>
              <w:t>Trading account liabilities</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(125,746)</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(125,746)</w:t>
            </w:r>
          </w:p>
        </w:tc>
        <w:tc>
          <w:tcPr>
            <w:tcW w:w="18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(125,746)</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Other financial instruments:</w:t>
            </w: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060" w:type="dxa"/>
            <w:vAlign w:val="bottom"/>
          </w:tcPr>
          <w:p>
            <w:pPr>
              <w:ind w:left="260"/>
              <w:spacing w:after="0"/>
              <w:rPr>
                <w:sz w:val="20"/>
                <w:szCs w:val="20"/>
                <w:color w:val="auto"/>
              </w:rPr>
            </w:pPr>
            <w:r>
              <w:rPr>
                <w:rFonts w:ascii="Arial" w:cs="Arial" w:eastAsia="Arial" w:hAnsi="Arial"/>
                <w:sz w:val="18"/>
                <w:szCs w:val="18"/>
                <w:color w:val="auto"/>
              </w:rPr>
              <w:t>Commitments to originate real estate</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60" w:type="dxa"/>
            <w:vAlign w:val="bottom"/>
          </w:tcPr>
          <w:p>
            <w:pPr>
              <w:ind w:left="380"/>
              <w:spacing w:after="0"/>
              <w:rPr>
                <w:sz w:val="20"/>
                <w:szCs w:val="20"/>
                <w:color w:val="auto"/>
              </w:rPr>
            </w:pPr>
            <w:r>
              <w:rPr>
                <w:rFonts w:ascii="Arial" w:cs="Arial" w:eastAsia="Arial" w:hAnsi="Arial"/>
                <w:sz w:val="18"/>
                <w:szCs w:val="18"/>
                <w:color w:val="auto"/>
              </w:rPr>
              <w:t>loans for sale</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35,027</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35,027</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35,027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Commitments to sell real estate loans</w:t>
            </w: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(32,638)</w:t>
            </w: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(32,638)</w:t>
            </w:r>
          </w:p>
        </w:tc>
        <w:tc>
          <w:tcPr>
            <w:tcW w:w="1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(32,638)</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60" w:type="dxa"/>
            <w:vAlign w:val="bottom"/>
          </w:tcPr>
          <w:p>
            <w:pPr>
              <w:ind w:left="260"/>
              <w:spacing w:after="0"/>
              <w:rPr>
                <w:sz w:val="20"/>
                <w:szCs w:val="20"/>
                <w:color w:val="auto"/>
              </w:rPr>
            </w:pPr>
            <w:r>
              <w:rPr>
                <w:rFonts w:ascii="Arial" w:cs="Arial" w:eastAsia="Arial" w:hAnsi="Arial"/>
                <w:sz w:val="18"/>
                <w:szCs w:val="18"/>
                <w:color w:val="auto"/>
              </w:rPr>
              <w:t>Other credit-related commitments</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(142,012)</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(142,012)</w:t>
            </w:r>
          </w:p>
        </w:tc>
        <w:tc>
          <w:tcPr>
            <w:tcW w:w="18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(142,012)</w:t>
            </w:r>
          </w:p>
        </w:tc>
        <w:tc>
          <w:tcPr>
            <w:tcW w:w="0" w:type="dxa"/>
            <w:vAlign w:val="bottom"/>
          </w:tcPr>
          <w:p>
            <w:pPr>
              <w:spacing w:after="0"/>
              <w:rPr>
                <w:sz w:val="1"/>
                <w:szCs w:val="1"/>
                <w:color w:val="auto"/>
              </w:rPr>
            </w:pPr>
          </w:p>
        </w:tc>
      </w:tr>
      <w:tr>
        <w:trPr>
          <w:trHeight w:val="215"/>
        </w:trPr>
        <w:tc>
          <w:tcPr>
            <w:tcW w:w="4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rate swap agreements used for</w:t>
            </w: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interest rate risk management</w:t>
            </w: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2,983</w:t>
            </w:r>
          </w:p>
        </w:tc>
        <w:tc>
          <w:tcPr>
            <w:tcW w:w="3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2,983</w:t>
            </w: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2,983</w:t>
            </w:r>
          </w:p>
        </w:tc>
        <w:tc>
          <w:tcPr>
            <w:tcW w:w="32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4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ind w:right="152"/>
              <w:spacing w:after="0"/>
              <w:rPr>
                <w:sz w:val="20"/>
                <w:szCs w:val="20"/>
                <w:color w:val="auto"/>
              </w:rPr>
            </w:pPr>
            <w:r>
              <w:rPr>
                <w:rFonts w:ascii="Arial" w:cs="Arial" w:eastAsia="Arial" w:hAnsi="Arial"/>
                <w:sz w:val="18"/>
                <w:szCs w:val="18"/>
                <w:color w:val="auto"/>
              </w:rPr>
              <w:t>-36-</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6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-7620</wp:posOffset>
            </wp:positionV>
            <wp:extent cx="825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25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NOTES TO FINANCIAL STATEMENTS, CONTINUED</w:t>
      </w:r>
    </w:p>
    <w:p>
      <w:pPr>
        <w:spacing w:after="0" w:line="21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11. Fair value measurements, continued</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December 31, 2019</w:t>
            </w:r>
          </w:p>
        </w:tc>
        <w:tc>
          <w:tcPr>
            <w:tcW w:w="10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0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right"/>
              <w:ind w:right="540"/>
              <w:spacing w:after="0" w:line="133" w:lineRule="exact"/>
              <w:rPr>
                <w:sz w:val="20"/>
                <w:szCs w:val="20"/>
                <w:color w:val="auto"/>
              </w:rPr>
            </w:pPr>
            <w:r>
              <w:rPr>
                <w:rFonts w:ascii="Arial" w:cs="Arial" w:eastAsia="Arial" w:hAnsi="Arial"/>
                <w:sz w:val="14"/>
                <w:szCs w:val="14"/>
                <w:b w:val="1"/>
                <w:bCs w:val="1"/>
                <w:color w:val="auto"/>
              </w:rPr>
              <w:t>Carrying</w:t>
            </w:r>
          </w:p>
        </w:tc>
        <w:tc>
          <w:tcPr>
            <w:tcW w:w="1100" w:type="dxa"/>
            <w:vAlign w:val="bottom"/>
            <w:gridSpan w:val="2"/>
          </w:tcPr>
          <w:p>
            <w:pPr>
              <w:jc w:val="right"/>
              <w:ind w:right="300"/>
              <w:spacing w:after="0" w:line="133" w:lineRule="exact"/>
              <w:rPr>
                <w:sz w:val="20"/>
                <w:szCs w:val="20"/>
                <w:color w:val="auto"/>
              </w:rPr>
            </w:pPr>
            <w:r>
              <w:rPr>
                <w:rFonts w:ascii="Arial" w:cs="Arial" w:eastAsia="Arial" w:hAnsi="Arial"/>
                <w:sz w:val="14"/>
                <w:szCs w:val="14"/>
                <w:b w:val="1"/>
                <w:bCs w:val="1"/>
                <w:color w:val="auto"/>
              </w:rPr>
              <w:t>Estimated</w:t>
            </w:r>
          </w:p>
        </w:tc>
        <w:tc>
          <w:tcPr>
            <w:tcW w:w="220" w:type="dxa"/>
            <w:vAlign w:val="bottom"/>
          </w:tcPr>
          <w:p>
            <w:pPr>
              <w:spacing w:after="0"/>
              <w:rPr>
                <w:sz w:val="11"/>
                <w:szCs w:val="11"/>
                <w:color w:val="auto"/>
              </w:rPr>
            </w:pPr>
          </w:p>
        </w:tc>
        <w:tc>
          <w:tcPr>
            <w:tcW w:w="11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Level 1</w:t>
            </w:r>
          </w:p>
        </w:tc>
        <w:tc>
          <w:tcPr>
            <w:tcW w:w="132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Level 2</w:t>
            </w:r>
          </w:p>
        </w:tc>
        <w:tc>
          <w:tcPr>
            <w:tcW w:w="10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4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Amount</w:t>
            </w:r>
          </w:p>
        </w:tc>
        <w:tc>
          <w:tcPr>
            <w:tcW w:w="11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0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3"/>
          </w:tcPr>
          <w:p>
            <w:pPr>
              <w:jc w:val="center"/>
              <w:ind w:right="100"/>
              <w:spacing w:after="0" w:line="155" w:lineRule="exact"/>
              <w:rPr>
                <w:sz w:val="20"/>
                <w:szCs w:val="20"/>
                <w:color w:val="auto"/>
              </w:rPr>
            </w:pPr>
            <w:r>
              <w:rPr>
                <w:rFonts w:ascii="Arial" w:cs="Arial" w:eastAsia="Arial" w:hAnsi="Arial"/>
                <w:sz w:val="14"/>
                <w:szCs w:val="14"/>
                <w:b w:val="1"/>
                <w:bCs w:val="1"/>
                <w:color w:val="auto"/>
                <w:w w:val="93"/>
              </w:rPr>
              <w:t>(In thousands)</w:t>
            </w:r>
          </w:p>
        </w:tc>
        <w:tc>
          <w:tcPr>
            <w:tcW w:w="100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Financial assets:</w:t>
            </w: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60" w:type="dxa"/>
            <w:vAlign w:val="bottom"/>
          </w:tcPr>
          <w:p>
            <w:pPr>
              <w:ind w:left="260"/>
              <w:spacing w:after="0"/>
              <w:rPr>
                <w:sz w:val="20"/>
                <w:szCs w:val="20"/>
                <w:color w:val="auto"/>
              </w:rPr>
            </w:pPr>
            <w:r>
              <w:rPr>
                <w:rFonts w:ascii="Arial" w:cs="Arial" w:eastAsia="Arial" w:hAnsi="Arial"/>
                <w:sz w:val="18"/>
                <w:szCs w:val="18"/>
                <w:color w:val="auto"/>
              </w:rPr>
              <w:t>Cash and cash equivalents</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1,432,805</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1,432,805</w:t>
            </w:r>
          </w:p>
        </w:tc>
        <w:tc>
          <w:tcPr>
            <w:tcW w:w="10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1,394,984</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37,821</w:t>
            </w:r>
          </w:p>
        </w:tc>
        <w:tc>
          <w:tcPr>
            <w:tcW w:w="32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Interest-bearing deposits at banks</w:t>
            </w: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7,190,154</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7,190,154</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7,190,154</w:t>
            </w:r>
          </w:p>
        </w:tc>
        <w:tc>
          <w:tcPr>
            <w:tcW w:w="3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60" w:type="dxa"/>
            <w:vAlign w:val="bottom"/>
          </w:tcPr>
          <w:p>
            <w:pPr>
              <w:ind w:left="260"/>
              <w:spacing w:after="0"/>
              <w:rPr>
                <w:sz w:val="20"/>
                <w:szCs w:val="20"/>
                <w:color w:val="auto"/>
              </w:rPr>
            </w:pPr>
            <w:r>
              <w:rPr>
                <w:rFonts w:ascii="Arial" w:cs="Arial" w:eastAsia="Arial" w:hAnsi="Arial"/>
                <w:sz w:val="18"/>
                <w:szCs w:val="18"/>
                <w:color w:val="auto"/>
              </w:rPr>
              <w:t>Federal funds sold</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3,500</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3,500</w:t>
            </w:r>
          </w:p>
        </w:tc>
        <w:tc>
          <w:tcPr>
            <w:tcW w:w="32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Trading account assets</w:t>
            </w: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470,129</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470,129</w:t>
            </w: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49,040</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421,089</w:t>
            </w:r>
          </w:p>
        </w:tc>
        <w:tc>
          <w:tcPr>
            <w:tcW w:w="3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60" w:type="dxa"/>
            <w:vAlign w:val="bottom"/>
          </w:tcPr>
          <w:p>
            <w:pPr>
              <w:ind w:left="260"/>
              <w:spacing w:after="0"/>
              <w:rPr>
                <w:sz w:val="20"/>
                <w:szCs w:val="20"/>
                <w:color w:val="auto"/>
              </w:rPr>
            </w:pPr>
            <w:r>
              <w:rPr>
                <w:rFonts w:ascii="Arial" w:cs="Arial" w:eastAsia="Arial" w:hAnsi="Arial"/>
                <w:sz w:val="18"/>
                <w:szCs w:val="18"/>
                <w:color w:val="auto"/>
              </w:rPr>
              <w:t>Investment securities</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9,497,251</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9,539,540</w:t>
            </w:r>
          </w:p>
        </w:tc>
        <w:tc>
          <w:tcPr>
            <w:tcW w:w="10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100,637</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9,351,793</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87,110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Loans and leases:</w:t>
            </w: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60" w:type="dxa"/>
            <w:vAlign w:val="bottom"/>
          </w:tcPr>
          <w:p>
            <w:pPr>
              <w:ind w:left="500"/>
              <w:spacing w:after="0"/>
              <w:rPr>
                <w:sz w:val="20"/>
                <w:szCs w:val="20"/>
                <w:color w:val="auto"/>
              </w:rPr>
            </w:pPr>
            <w:r>
              <w:rPr>
                <w:rFonts w:ascii="Arial" w:cs="Arial" w:eastAsia="Arial" w:hAnsi="Arial"/>
                <w:sz w:val="18"/>
                <w:szCs w:val="18"/>
                <w:color w:val="auto"/>
              </w:rPr>
              <w:t>Commercial loans and leases</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23,838,168</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23,510,908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9"/>
              </w:rPr>
              <w:t>23,510,908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Commercial real estate loans</w:t>
            </w: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35,541,914</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35,517,180</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28,338</w:t>
            </w: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35,488,842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60" w:type="dxa"/>
            <w:vAlign w:val="bottom"/>
          </w:tcPr>
          <w:p>
            <w:pPr>
              <w:ind w:left="500"/>
              <w:spacing w:after="0"/>
              <w:rPr>
                <w:sz w:val="20"/>
                <w:szCs w:val="20"/>
                <w:color w:val="auto"/>
              </w:rPr>
            </w:pPr>
            <w:r>
              <w:rPr>
                <w:rFonts w:ascii="Arial" w:cs="Arial" w:eastAsia="Arial" w:hAnsi="Arial"/>
                <w:sz w:val="18"/>
                <w:szCs w:val="18"/>
                <w:color w:val="auto"/>
              </w:rPr>
              <w:t>Residential real estate loans</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16,156,094</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16,227,274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3,990,848</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12,236,426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Consumer loans</w:t>
            </w: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15,386,693</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15,413,262</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15,413,262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60" w:type="dxa"/>
            <w:vAlign w:val="bottom"/>
          </w:tcPr>
          <w:p>
            <w:pPr>
              <w:ind w:left="500"/>
              <w:spacing w:after="0"/>
              <w:rPr>
                <w:sz w:val="20"/>
                <w:szCs w:val="20"/>
                <w:color w:val="auto"/>
              </w:rPr>
            </w:pPr>
            <w:r>
              <w:rPr>
                <w:rFonts w:ascii="Arial" w:cs="Arial" w:eastAsia="Arial" w:hAnsi="Arial"/>
                <w:sz w:val="18"/>
                <w:szCs w:val="18"/>
                <w:color w:val="auto"/>
              </w:rPr>
              <w:t>Allowance for credit losses</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(1,051,071)</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06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Loans and leases, net</w:t>
            </w:r>
          </w:p>
        </w:tc>
        <w:tc>
          <w:tcPr>
            <w:tcW w:w="10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89,871,798</w:t>
            </w:r>
          </w:p>
        </w:tc>
        <w:tc>
          <w:tcPr>
            <w:tcW w:w="3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90,668,624</w:t>
            </w: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4,019,186</w:t>
            </w:r>
          </w:p>
        </w:tc>
        <w:tc>
          <w:tcPr>
            <w:tcW w:w="3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86,649,438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60" w:type="dxa"/>
            <w:vAlign w:val="bottom"/>
          </w:tcPr>
          <w:p>
            <w:pPr>
              <w:ind w:left="260"/>
              <w:spacing w:after="0"/>
              <w:rPr>
                <w:sz w:val="20"/>
                <w:szCs w:val="20"/>
                <w:color w:val="auto"/>
              </w:rPr>
            </w:pPr>
            <w:r>
              <w:rPr>
                <w:rFonts w:ascii="Arial" w:cs="Arial" w:eastAsia="Arial" w:hAnsi="Arial"/>
                <w:sz w:val="18"/>
                <w:szCs w:val="18"/>
                <w:color w:val="auto"/>
              </w:rPr>
              <w:t>Accrued interest receivable</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333,142</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333,142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333,142</w:t>
            </w:r>
          </w:p>
        </w:tc>
        <w:tc>
          <w:tcPr>
            <w:tcW w:w="32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Financial liabilities:</w:t>
            </w: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60" w:type="dxa"/>
            <w:vAlign w:val="bottom"/>
          </w:tcPr>
          <w:p>
            <w:pPr>
              <w:ind w:left="260"/>
              <w:spacing w:after="0"/>
              <w:rPr>
                <w:sz w:val="20"/>
                <w:szCs w:val="20"/>
                <w:color w:val="auto"/>
              </w:rPr>
            </w:pPr>
            <w:r>
              <w:rPr>
                <w:rFonts w:ascii="Arial" w:cs="Arial" w:eastAsia="Arial" w:hAnsi="Arial"/>
                <w:sz w:val="18"/>
                <w:szCs w:val="18"/>
                <w:color w:val="auto"/>
              </w:rPr>
              <w:t>Noninterest-bearing deposits</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(32,396,407)</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(32,396,407)</w:t>
            </w:r>
          </w:p>
        </w:tc>
        <w:tc>
          <w:tcPr>
            <w:tcW w:w="22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(32,396,407)</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Savings and interest-checking deposits</w:t>
            </w: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w w:val="92"/>
              </w:rPr>
              <w:t>(54,932,162)</w:t>
            </w: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(54,932,162)</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(54,932,162)</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60" w:type="dxa"/>
            <w:vAlign w:val="bottom"/>
          </w:tcPr>
          <w:p>
            <w:pPr>
              <w:ind w:left="260"/>
              <w:spacing w:after="0"/>
              <w:rPr>
                <w:sz w:val="20"/>
                <w:szCs w:val="20"/>
                <w:color w:val="auto"/>
              </w:rPr>
            </w:pPr>
            <w:r>
              <w:rPr>
                <w:rFonts w:ascii="Arial" w:cs="Arial" w:eastAsia="Arial" w:hAnsi="Arial"/>
                <w:sz w:val="18"/>
                <w:szCs w:val="18"/>
                <w:color w:val="auto"/>
              </w:rPr>
              <w:t>Time deposits</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(5,757,456)</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(5,829,347)</w:t>
            </w:r>
          </w:p>
        </w:tc>
        <w:tc>
          <w:tcPr>
            <w:tcW w:w="22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(5,829,347)</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Deposits at Cayman Islands office</w:t>
            </w: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(1,684,044)</w:t>
            </w: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(1,684,044)</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(1,684,044)</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60" w:type="dxa"/>
            <w:vAlign w:val="bottom"/>
          </w:tcPr>
          <w:p>
            <w:pPr>
              <w:ind w:left="260"/>
              <w:spacing w:after="0"/>
              <w:rPr>
                <w:sz w:val="20"/>
                <w:szCs w:val="20"/>
                <w:color w:val="auto"/>
              </w:rPr>
            </w:pPr>
            <w:r>
              <w:rPr>
                <w:rFonts w:ascii="Arial" w:cs="Arial" w:eastAsia="Arial" w:hAnsi="Arial"/>
                <w:sz w:val="18"/>
                <w:szCs w:val="18"/>
                <w:color w:val="auto"/>
              </w:rPr>
              <w:t>Short-term borrowings</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(62,363)</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(62,363)</w:t>
            </w:r>
          </w:p>
        </w:tc>
        <w:tc>
          <w:tcPr>
            <w:tcW w:w="22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(62,363)</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Long-term borrowings</w:t>
            </w: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(6,986,186)</w:t>
            </w: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(7,063,165)</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(7,063,165)</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60" w:type="dxa"/>
            <w:vAlign w:val="bottom"/>
          </w:tcPr>
          <w:p>
            <w:pPr>
              <w:ind w:left="260"/>
              <w:spacing w:after="0"/>
              <w:rPr>
                <w:sz w:val="20"/>
                <w:szCs w:val="20"/>
                <w:color w:val="auto"/>
              </w:rPr>
            </w:pPr>
            <w:r>
              <w:rPr>
                <w:rFonts w:ascii="Arial" w:cs="Arial" w:eastAsia="Arial" w:hAnsi="Arial"/>
                <w:sz w:val="18"/>
                <w:szCs w:val="18"/>
                <w:color w:val="auto"/>
              </w:rPr>
              <w:t>Accrued interest payable</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(105,374)</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(105,374)</w:t>
            </w:r>
          </w:p>
        </w:tc>
        <w:tc>
          <w:tcPr>
            <w:tcW w:w="22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(105,374)</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Trading account liabilities</w:t>
            </w: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(79,903)</w:t>
            </w: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(79,903)</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(79,903)</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60" w:type="dxa"/>
            <w:vAlign w:val="bottom"/>
          </w:tcPr>
          <w:p>
            <w:pPr>
              <w:spacing w:after="0"/>
              <w:rPr>
                <w:sz w:val="20"/>
                <w:szCs w:val="20"/>
                <w:color w:val="auto"/>
              </w:rPr>
            </w:pPr>
            <w:r>
              <w:rPr>
                <w:rFonts w:ascii="Arial" w:cs="Arial" w:eastAsia="Arial" w:hAnsi="Arial"/>
                <w:sz w:val="18"/>
                <w:szCs w:val="18"/>
                <w:color w:val="auto"/>
              </w:rPr>
              <w:t>Other financial instruments:</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Commitments to originate real estate</w:t>
            </w: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loans for sale</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10,740</w:t>
            </w:r>
          </w:p>
        </w:tc>
        <w:tc>
          <w:tcPr>
            <w:tcW w:w="3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10,740</w:t>
            </w: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10,740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60" w:type="dxa"/>
            <w:vAlign w:val="bottom"/>
          </w:tcPr>
          <w:p>
            <w:pPr>
              <w:ind w:left="260"/>
              <w:spacing w:after="0"/>
              <w:rPr>
                <w:sz w:val="20"/>
                <w:szCs w:val="20"/>
                <w:color w:val="auto"/>
              </w:rPr>
            </w:pPr>
            <w:r>
              <w:rPr>
                <w:rFonts w:ascii="Arial" w:cs="Arial" w:eastAsia="Arial" w:hAnsi="Arial"/>
                <w:sz w:val="18"/>
                <w:szCs w:val="18"/>
                <w:color w:val="auto"/>
              </w:rPr>
              <w:t>Commitments to sell real estate loans</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300</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300</w:t>
            </w:r>
          </w:p>
        </w:tc>
        <w:tc>
          <w:tcPr>
            <w:tcW w:w="32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credit-related commitments</w:t>
            </w: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(136,470)</w:t>
            </w: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(136,470)</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(136,470)</w:t>
            </w:r>
          </w:p>
        </w:tc>
        <w:tc>
          <w:tcPr>
            <w:tcW w:w="0" w:type="dxa"/>
            <w:vAlign w:val="bottom"/>
          </w:tcPr>
          <w:p>
            <w:pPr>
              <w:spacing w:after="0"/>
              <w:rPr>
                <w:sz w:val="1"/>
                <w:szCs w:val="1"/>
                <w:color w:val="auto"/>
              </w:rPr>
            </w:pPr>
          </w:p>
        </w:tc>
      </w:tr>
      <w:tr>
        <w:trPr>
          <w:trHeight w:val="215"/>
        </w:trPr>
        <w:tc>
          <w:tcPr>
            <w:tcW w:w="4060" w:type="dxa"/>
            <w:vAlign w:val="bottom"/>
          </w:tcPr>
          <w:p>
            <w:pPr>
              <w:ind w:left="260"/>
              <w:spacing w:after="0"/>
              <w:rPr>
                <w:sz w:val="20"/>
                <w:szCs w:val="20"/>
                <w:color w:val="auto"/>
              </w:rPr>
            </w:pPr>
            <w:r>
              <w:rPr>
                <w:rFonts w:ascii="Arial" w:cs="Arial" w:eastAsia="Arial" w:hAnsi="Arial"/>
                <w:sz w:val="18"/>
                <w:szCs w:val="18"/>
                <w:color w:val="auto"/>
              </w:rPr>
              <w:t>Interest rate swap agreements used for</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60" w:type="dxa"/>
            <w:vAlign w:val="bottom"/>
          </w:tcPr>
          <w:p>
            <w:pPr>
              <w:ind w:left="380"/>
              <w:spacing w:after="0"/>
              <w:rPr>
                <w:sz w:val="20"/>
                <w:szCs w:val="20"/>
                <w:color w:val="auto"/>
              </w:rPr>
            </w:pPr>
            <w:r>
              <w:rPr>
                <w:rFonts w:ascii="Arial" w:cs="Arial" w:eastAsia="Arial" w:hAnsi="Arial"/>
                <w:sz w:val="18"/>
                <w:szCs w:val="18"/>
                <w:color w:val="auto"/>
              </w:rPr>
              <w:t>interest rate risk management</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(1,762)</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(1,762)</w:t>
            </w:r>
          </w:p>
        </w:tc>
        <w:tc>
          <w:tcPr>
            <w:tcW w:w="220" w:type="dxa"/>
            <w:vAlign w:val="bottom"/>
          </w:tcPr>
          <w:p>
            <w:pPr>
              <w:spacing w:after="0"/>
              <w:rPr>
                <w:sz w:val="20"/>
                <w:szCs w:val="20"/>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(1,762)</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firstLine="510"/>
        <w:spacing w:after="0" w:line="245" w:lineRule="auto"/>
        <w:rPr>
          <w:sz w:val="20"/>
          <w:szCs w:val="20"/>
          <w:color w:val="auto"/>
        </w:rPr>
      </w:pPr>
      <w:r>
        <w:rPr>
          <w:rFonts w:ascii="Arial" w:cs="Arial" w:eastAsia="Arial" w:hAnsi="Arial"/>
          <w:sz w:val="21"/>
          <w:szCs w:val="21"/>
          <w:color w:val="auto"/>
        </w:rPr>
        <w:t>With the exception of marketable securities, certain off-balance sheet financial instruments and mortgage loans originated for sale, the Company’s financial instruments are not readily marketable and market prices do not exist. The Company, in attempting to comply with the provisions of GAAP that require disclosures of fair value of financial instruments, has not attempted to market its financial instruments to potential buyers, if any exist. Since negotiated prices in illiquid markets depend greatly upon the then present motivations of the buyer and seller, it is reasonable to assume that actual sales prices could vary widely from any estimate of fair value made without the</w:t>
      </w:r>
    </w:p>
    <w:p>
      <w:pPr>
        <w:spacing w:after="0" w:line="18"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benefit of negotiations. Additionally, changes in market interest rates can dramatically impact the value of financial instruments in a short period of time.</w:t>
      </w:r>
    </w:p>
    <w:p>
      <w:pPr>
        <w:spacing w:after="0" w:line="64"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9"/>
          <w:szCs w:val="19"/>
          <w:color w:val="auto"/>
        </w:rPr>
        <w:t>The Company does not believe that the estimated information presented herein is representative of the earnings power or value of the Company. The preceding analysis, which is inherently limited in depicting fair value, also does not consider any value associated with existing customer relationships nor the ability of the Company to create value through loan origination, deposit gathering or fee generating activities. Many of the estimates presented herein are based upon the use of highly subjective information and assumptions and, accordingly, the results may not be precise. Management believes that fair value estimates may not be comparable between financial institutions due to the wide range of permitted valuation techniques and numerous estimates which must be made. Furthermore, because the disclosed fair value amounts were estimated as of the balance sheet date, the amounts actually realized or paid upon maturity or settlement of the various financial instruments could be significantly different.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NOTES TO FINANCIAL STATEMENTS, CONTINUED</w:t>
      </w:r>
    </w:p>
    <w:p>
      <w:pPr>
        <w:spacing w:after="0" w:line="327"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12. Commitments and contingencies</w:t>
      </w:r>
    </w:p>
    <w:p>
      <w:pPr>
        <w:spacing w:after="0" w:line="115" w:lineRule="exact"/>
        <w:rPr>
          <w:sz w:val="20"/>
          <w:szCs w:val="20"/>
          <w:color w:val="auto"/>
        </w:rPr>
      </w:pPr>
    </w:p>
    <w:p>
      <w:pPr>
        <w:jc w:val="both"/>
        <w:spacing w:after="0" w:line="316" w:lineRule="auto"/>
        <w:rPr>
          <w:sz w:val="20"/>
          <w:szCs w:val="20"/>
          <w:color w:val="auto"/>
        </w:rPr>
      </w:pPr>
      <w:r>
        <w:rPr>
          <w:rFonts w:ascii="Arial" w:cs="Arial" w:eastAsia="Arial" w:hAnsi="Arial"/>
          <w:sz w:val="19"/>
          <w:szCs w:val="19"/>
          <w:color w:val="auto"/>
        </w:rPr>
        <w:t>In the normal course of business, various commitments and contingent liabilities are outstanding. The following table presents the Company's significant commitments. Certain of these commitments are not included in the Company's consolidated balance sheet.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20" w:type="dxa"/>
            <w:vAlign w:val="bottom"/>
          </w:tcPr>
          <w:p>
            <w:pPr>
              <w:jc w:val="right"/>
              <w:ind w:right="248"/>
              <w:spacing w:after="0"/>
              <w:rPr>
                <w:sz w:val="20"/>
                <w:szCs w:val="20"/>
                <w:color w:val="auto"/>
              </w:rPr>
            </w:pPr>
            <w:r>
              <w:rPr>
                <w:rFonts w:ascii="Arial" w:cs="Arial" w:eastAsia="Arial" w:hAnsi="Arial"/>
                <w:sz w:val="14"/>
                <w:szCs w:val="14"/>
                <w:b w:val="1"/>
                <w:bCs w:val="1"/>
                <w:color w:val="auto"/>
              </w:rPr>
              <w:t>March 31,</w:t>
            </w:r>
          </w:p>
        </w:tc>
        <w:tc>
          <w:tcPr>
            <w:tcW w:w="1220" w:type="dxa"/>
            <w:vAlign w:val="bottom"/>
            <w:gridSpan w:val="2"/>
          </w:tcPr>
          <w:p>
            <w:pPr>
              <w:ind w:left="2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160" w:type="dxa"/>
            <w:vAlign w:val="bottom"/>
          </w:tcPr>
          <w:p>
            <w:pPr>
              <w:spacing w:after="0"/>
              <w:rPr>
                <w:sz w:val="14"/>
                <w:szCs w:val="14"/>
                <w:color w:val="auto"/>
              </w:rPr>
            </w:pPr>
          </w:p>
        </w:tc>
        <w:tc>
          <w:tcPr>
            <w:tcW w:w="2600" w:type="dxa"/>
            <w:vAlign w:val="bottom"/>
            <w:gridSpan w:val="2"/>
          </w:tcPr>
          <w:p>
            <w:pPr>
              <w:jc w:val="right"/>
              <w:ind w:right="408"/>
              <w:spacing w:after="0"/>
              <w:rPr>
                <w:sz w:val="20"/>
                <w:szCs w:val="20"/>
                <w:color w:val="auto"/>
              </w:rPr>
            </w:pPr>
            <w:r>
              <w:rPr>
                <w:rFonts w:ascii="Arial" w:cs="Arial" w:eastAsia="Arial" w:hAnsi="Arial"/>
                <w:sz w:val="14"/>
                <w:szCs w:val="14"/>
                <w:b w:val="1"/>
                <w:bCs w:val="1"/>
                <w:color w:val="auto"/>
              </w:rPr>
              <w:t>2020</w:t>
            </w:r>
          </w:p>
        </w:tc>
        <w:tc>
          <w:tcPr>
            <w:tcW w:w="1140" w:type="dxa"/>
            <w:vAlign w:val="bottom"/>
          </w:tcPr>
          <w:p>
            <w:pPr>
              <w:jc w:val="right"/>
              <w:ind w:right="273"/>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r>
      <w:tr>
        <w:trPr>
          <w:trHeight w:val="155"/>
        </w:trPr>
        <w:tc>
          <w:tcPr>
            <w:tcW w:w="51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260" w:type="dxa"/>
            <w:vAlign w:val="bottom"/>
            <w:tcBorders>
              <w:top w:val="single" w:sz="8" w:color="auto"/>
            </w:tcBorders>
            <w:gridSpan w:val="2"/>
          </w:tcPr>
          <w:p>
            <w:pPr>
              <w:jc w:val="right"/>
              <w:ind w:right="613"/>
              <w:spacing w:after="0" w:line="155" w:lineRule="exact"/>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3"/>
                <w:szCs w:val="13"/>
                <w:color w:val="auto"/>
              </w:rPr>
            </w:pPr>
          </w:p>
        </w:tc>
      </w:tr>
      <w:tr>
        <w:trPr>
          <w:trHeight w:val="229"/>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Commitments to extend credit</w:t>
            </w:r>
          </w:p>
        </w:tc>
        <w:tc>
          <w:tcPr>
            <w:tcW w:w="14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5160" w:type="dxa"/>
            <w:vAlign w:val="bottom"/>
          </w:tcPr>
          <w:p>
            <w:pPr>
              <w:ind w:left="260"/>
              <w:spacing w:after="0"/>
              <w:rPr>
                <w:sz w:val="20"/>
                <w:szCs w:val="20"/>
                <w:color w:val="auto"/>
              </w:rPr>
            </w:pPr>
            <w:r>
              <w:rPr>
                <w:rFonts w:ascii="Arial" w:cs="Arial" w:eastAsia="Arial" w:hAnsi="Arial"/>
                <w:sz w:val="18"/>
                <w:szCs w:val="18"/>
                <w:color w:val="auto"/>
              </w:rPr>
              <w:t>Home equity lines of credit</w:t>
            </w:r>
          </w:p>
        </w:tc>
        <w:tc>
          <w:tcPr>
            <w:tcW w:w="2600" w:type="dxa"/>
            <w:vAlign w:val="bottom"/>
            <w:gridSpan w:val="2"/>
          </w:tcPr>
          <w:p>
            <w:pPr>
              <w:jc w:val="right"/>
              <w:ind w:right="68"/>
              <w:spacing w:after="0"/>
              <w:rPr>
                <w:sz w:val="20"/>
                <w:szCs w:val="20"/>
                <w:color w:val="auto"/>
              </w:rPr>
            </w:pPr>
            <w:r>
              <w:rPr>
                <w:rFonts w:ascii="Arial" w:cs="Arial" w:eastAsia="Arial" w:hAnsi="Arial"/>
                <w:sz w:val="18"/>
                <w:szCs w:val="18"/>
                <w:color w:val="auto"/>
              </w:rPr>
              <w:t>$  5,480,697</w:t>
            </w:r>
          </w:p>
        </w:tc>
        <w:tc>
          <w:tcPr>
            <w:tcW w:w="1140" w:type="dxa"/>
            <w:vAlign w:val="bottom"/>
          </w:tcPr>
          <w:p>
            <w:pPr>
              <w:jc w:val="right"/>
              <w:spacing w:after="0"/>
              <w:rPr>
                <w:sz w:val="20"/>
                <w:szCs w:val="20"/>
                <w:color w:val="auto"/>
              </w:rPr>
            </w:pPr>
            <w:r>
              <w:rPr>
                <w:rFonts w:ascii="Arial" w:cs="Arial" w:eastAsia="Arial" w:hAnsi="Arial"/>
                <w:sz w:val="18"/>
                <w:szCs w:val="18"/>
                <w:color w:val="auto"/>
              </w:rPr>
              <w:t>$  5,442,160</w:t>
            </w:r>
          </w:p>
        </w:tc>
        <w:tc>
          <w:tcPr>
            <w:tcW w:w="80" w:type="dxa"/>
            <w:vAlign w:val="bottom"/>
          </w:tcPr>
          <w:p>
            <w:pPr>
              <w:spacing w:after="0"/>
              <w:rPr>
                <w:sz w:val="19"/>
                <w:szCs w:val="19"/>
                <w:color w:val="auto"/>
              </w:rPr>
            </w:pPr>
          </w:p>
        </w:tc>
      </w:tr>
      <w:tr>
        <w:trPr>
          <w:trHeight w:val="229"/>
        </w:trPr>
        <w:tc>
          <w:tcPr>
            <w:tcW w:w="5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real estate loans to be sold</w:t>
            </w:r>
          </w:p>
        </w:tc>
        <w:tc>
          <w:tcPr>
            <w:tcW w:w="260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291,459</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164,076</w:t>
            </w:r>
          </w:p>
        </w:tc>
        <w:tc>
          <w:tcPr>
            <w:tcW w:w="80" w:type="dxa"/>
            <w:vAlign w:val="bottom"/>
            <w:shd w:val="clear" w:color="auto" w:fill="CFF0FC"/>
          </w:tcPr>
          <w:p>
            <w:pPr>
              <w:spacing w:after="0"/>
              <w:rPr>
                <w:sz w:val="19"/>
                <w:szCs w:val="19"/>
                <w:color w:val="auto"/>
              </w:rPr>
            </w:pPr>
          </w:p>
        </w:tc>
      </w:tr>
      <w:tr>
        <w:trPr>
          <w:trHeight w:val="229"/>
        </w:trPr>
        <w:tc>
          <w:tcPr>
            <w:tcW w:w="5160" w:type="dxa"/>
            <w:vAlign w:val="bottom"/>
          </w:tcPr>
          <w:p>
            <w:pPr>
              <w:ind w:left="260"/>
              <w:spacing w:after="0"/>
              <w:rPr>
                <w:sz w:val="20"/>
                <w:szCs w:val="20"/>
                <w:color w:val="auto"/>
              </w:rPr>
            </w:pPr>
            <w:r>
              <w:rPr>
                <w:rFonts w:ascii="Arial" w:cs="Arial" w:eastAsia="Arial" w:hAnsi="Arial"/>
                <w:sz w:val="18"/>
                <w:szCs w:val="18"/>
                <w:color w:val="auto"/>
              </w:rPr>
              <w:t>Other commercial real estate</w:t>
            </w:r>
          </w:p>
        </w:tc>
        <w:tc>
          <w:tcPr>
            <w:tcW w:w="2600" w:type="dxa"/>
            <w:vAlign w:val="bottom"/>
            <w:gridSpan w:val="2"/>
          </w:tcPr>
          <w:p>
            <w:pPr>
              <w:jc w:val="right"/>
              <w:ind w:right="68"/>
              <w:spacing w:after="0"/>
              <w:rPr>
                <w:sz w:val="20"/>
                <w:szCs w:val="20"/>
                <w:color w:val="auto"/>
              </w:rPr>
            </w:pPr>
            <w:r>
              <w:rPr>
                <w:rFonts w:ascii="Arial" w:cs="Arial" w:eastAsia="Arial" w:hAnsi="Arial"/>
                <w:sz w:val="18"/>
                <w:szCs w:val="18"/>
                <w:color w:val="auto"/>
              </w:rPr>
              <w:t>9,021,342</w:t>
            </w:r>
          </w:p>
        </w:tc>
        <w:tc>
          <w:tcPr>
            <w:tcW w:w="1140" w:type="dxa"/>
            <w:vAlign w:val="bottom"/>
          </w:tcPr>
          <w:p>
            <w:pPr>
              <w:jc w:val="right"/>
              <w:spacing w:after="0"/>
              <w:rPr>
                <w:sz w:val="20"/>
                <w:szCs w:val="20"/>
                <w:color w:val="auto"/>
              </w:rPr>
            </w:pPr>
            <w:r>
              <w:rPr>
                <w:rFonts w:ascii="Arial" w:cs="Arial" w:eastAsia="Arial" w:hAnsi="Arial"/>
                <w:sz w:val="18"/>
                <w:szCs w:val="18"/>
                <w:color w:val="auto"/>
              </w:rPr>
              <w:t>9,029,608</w:t>
            </w:r>
          </w:p>
        </w:tc>
        <w:tc>
          <w:tcPr>
            <w:tcW w:w="80" w:type="dxa"/>
            <w:vAlign w:val="bottom"/>
          </w:tcPr>
          <w:p>
            <w:pPr>
              <w:spacing w:after="0"/>
              <w:rPr>
                <w:sz w:val="19"/>
                <w:szCs w:val="19"/>
                <w:color w:val="auto"/>
              </w:rPr>
            </w:pPr>
          </w:p>
        </w:tc>
      </w:tr>
      <w:tr>
        <w:trPr>
          <w:trHeight w:val="229"/>
        </w:trPr>
        <w:tc>
          <w:tcPr>
            <w:tcW w:w="5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Residential real estate loans to be sold</w:t>
            </w:r>
          </w:p>
        </w:tc>
        <w:tc>
          <w:tcPr>
            <w:tcW w:w="260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711,970</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423,056</w:t>
            </w:r>
          </w:p>
        </w:tc>
        <w:tc>
          <w:tcPr>
            <w:tcW w:w="80" w:type="dxa"/>
            <w:vAlign w:val="bottom"/>
            <w:shd w:val="clear" w:color="auto" w:fill="CFF0FC"/>
          </w:tcPr>
          <w:p>
            <w:pPr>
              <w:spacing w:after="0"/>
              <w:rPr>
                <w:sz w:val="19"/>
                <w:szCs w:val="19"/>
                <w:color w:val="auto"/>
              </w:rPr>
            </w:pPr>
          </w:p>
        </w:tc>
      </w:tr>
      <w:tr>
        <w:trPr>
          <w:trHeight w:val="229"/>
        </w:trPr>
        <w:tc>
          <w:tcPr>
            <w:tcW w:w="5160" w:type="dxa"/>
            <w:vAlign w:val="bottom"/>
          </w:tcPr>
          <w:p>
            <w:pPr>
              <w:ind w:left="260"/>
              <w:spacing w:after="0"/>
              <w:rPr>
                <w:sz w:val="20"/>
                <w:szCs w:val="20"/>
                <w:color w:val="auto"/>
              </w:rPr>
            </w:pPr>
            <w:r>
              <w:rPr>
                <w:rFonts w:ascii="Arial" w:cs="Arial" w:eastAsia="Arial" w:hAnsi="Arial"/>
                <w:sz w:val="18"/>
                <w:szCs w:val="18"/>
                <w:color w:val="auto"/>
              </w:rPr>
              <w:t>Other residential real estate</w:t>
            </w:r>
          </w:p>
        </w:tc>
        <w:tc>
          <w:tcPr>
            <w:tcW w:w="2600" w:type="dxa"/>
            <w:vAlign w:val="bottom"/>
            <w:gridSpan w:val="2"/>
          </w:tcPr>
          <w:p>
            <w:pPr>
              <w:jc w:val="right"/>
              <w:ind w:right="68"/>
              <w:spacing w:after="0"/>
              <w:rPr>
                <w:sz w:val="20"/>
                <w:szCs w:val="20"/>
                <w:color w:val="auto"/>
              </w:rPr>
            </w:pPr>
            <w:r>
              <w:rPr>
                <w:rFonts w:ascii="Arial" w:cs="Arial" w:eastAsia="Arial" w:hAnsi="Arial"/>
                <w:sz w:val="18"/>
                <w:szCs w:val="18"/>
                <w:color w:val="auto"/>
              </w:rPr>
              <w:t>810,145</w:t>
            </w:r>
          </w:p>
        </w:tc>
        <w:tc>
          <w:tcPr>
            <w:tcW w:w="1140" w:type="dxa"/>
            <w:vAlign w:val="bottom"/>
          </w:tcPr>
          <w:p>
            <w:pPr>
              <w:jc w:val="right"/>
              <w:spacing w:after="0"/>
              <w:rPr>
                <w:sz w:val="20"/>
                <w:szCs w:val="20"/>
                <w:color w:val="auto"/>
              </w:rPr>
            </w:pPr>
            <w:r>
              <w:rPr>
                <w:rFonts w:ascii="Arial" w:cs="Arial" w:eastAsia="Arial" w:hAnsi="Arial"/>
                <w:sz w:val="18"/>
                <w:szCs w:val="18"/>
                <w:color w:val="auto"/>
              </w:rPr>
              <w:t>448,375</w:t>
            </w:r>
          </w:p>
        </w:tc>
        <w:tc>
          <w:tcPr>
            <w:tcW w:w="80" w:type="dxa"/>
            <w:vAlign w:val="bottom"/>
          </w:tcPr>
          <w:p>
            <w:pPr>
              <w:spacing w:after="0"/>
              <w:rPr>
                <w:sz w:val="19"/>
                <w:szCs w:val="19"/>
                <w:color w:val="auto"/>
              </w:rPr>
            </w:pPr>
          </w:p>
        </w:tc>
      </w:tr>
      <w:tr>
        <w:trPr>
          <w:trHeight w:val="229"/>
        </w:trPr>
        <w:tc>
          <w:tcPr>
            <w:tcW w:w="5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and other</w:t>
            </w:r>
          </w:p>
        </w:tc>
        <w:tc>
          <w:tcPr>
            <w:tcW w:w="260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15,220,152</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16,170,731</w:t>
            </w:r>
          </w:p>
        </w:tc>
        <w:tc>
          <w:tcPr>
            <w:tcW w:w="80" w:type="dxa"/>
            <w:vAlign w:val="bottom"/>
            <w:shd w:val="clear" w:color="auto" w:fill="CFF0FC"/>
          </w:tcPr>
          <w:p>
            <w:pPr>
              <w:spacing w:after="0"/>
              <w:rPr>
                <w:sz w:val="19"/>
                <w:szCs w:val="19"/>
                <w:color w:val="auto"/>
              </w:rPr>
            </w:pPr>
          </w:p>
        </w:tc>
      </w:tr>
      <w:tr>
        <w:trPr>
          <w:trHeight w:val="229"/>
        </w:trPr>
        <w:tc>
          <w:tcPr>
            <w:tcW w:w="5160" w:type="dxa"/>
            <w:vAlign w:val="bottom"/>
          </w:tcPr>
          <w:p>
            <w:pPr>
              <w:spacing w:after="0"/>
              <w:rPr>
                <w:sz w:val="20"/>
                <w:szCs w:val="20"/>
                <w:color w:val="auto"/>
              </w:rPr>
            </w:pPr>
            <w:r>
              <w:rPr>
                <w:rFonts w:ascii="Arial" w:cs="Arial" w:eastAsia="Arial" w:hAnsi="Arial"/>
                <w:sz w:val="18"/>
                <w:szCs w:val="18"/>
                <w:color w:val="auto"/>
              </w:rPr>
              <w:t>Standby letters of credit</w:t>
            </w:r>
          </w:p>
        </w:tc>
        <w:tc>
          <w:tcPr>
            <w:tcW w:w="2600" w:type="dxa"/>
            <w:vAlign w:val="bottom"/>
            <w:gridSpan w:val="2"/>
          </w:tcPr>
          <w:p>
            <w:pPr>
              <w:jc w:val="right"/>
              <w:ind w:right="68"/>
              <w:spacing w:after="0"/>
              <w:rPr>
                <w:sz w:val="20"/>
                <w:szCs w:val="20"/>
                <w:color w:val="auto"/>
              </w:rPr>
            </w:pPr>
            <w:r>
              <w:rPr>
                <w:rFonts w:ascii="Arial" w:cs="Arial" w:eastAsia="Arial" w:hAnsi="Arial"/>
                <w:sz w:val="18"/>
                <w:szCs w:val="18"/>
                <w:color w:val="auto"/>
              </w:rPr>
              <w:t>2,440,312</w:t>
            </w:r>
          </w:p>
        </w:tc>
        <w:tc>
          <w:tcPr>
            <w:tcW w:w="1140" w:type="dxa"/>
            <w:vAlign w:val="bottom"/>
          </w:tcPr>
          <w:p>
            <w:pPr>
              <w:jc w:val="right"/>
              <w:spacing w:after="0"/>
              <w:rPr>
                <w:sz w:val="20"/>
                <w:szCs w:val="20"/>
                <w:color w:val="auto"/>
              </w:rPr>
            </w:pPr>
            <w:r>
              <w:rPr>
                <w:rFonts w:ascii="Arial" w:cs="Arial" w:eastAsia="Arial" w:hAnsi="Arial"/>
                <w:sz w:val="18"/>
                <w:szCs w:val="18"/>
                <w:color w:val="auto"/>
              </w:rPr>
              <w:t>2,441,432</w:t>
            </w:r>
          </w:p>
        </w:tc>
        <w:tc>
          <w:tcPr>
            <w:tcW w:w="80" w:type="dxa"/>
            <w:vAlign w:val="bottom"/>
          </w:tcPr>
          <w:p>
            <w:pPr>
              <w:spacing w:after="0"/>
              <w:rPr>
                <w:sz w:val="19"/>
                <w:szCs w:val="19"/>
                <w:color w:val="auto"/>
              </w:rPr>
            </w:pPr>
          </w:p>
        </w:tc>
      </w:tr>
      <w:tr>
        <w:trPr>
          <w:trHeight w:val="229"/>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Commercial letters of credit</w:t>
            </w:r>
          </w:p>
        </w:tc>
        <w:tc>
          <w:tcPr>
            <w:tcW w:w="260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34,841</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41,059</w:t>
            </w:r>
          </w:p>
        </w:tc>
        <w:tc>
          <w:tcPr>
            <w:tcW w:w="80" w:type="dxa"/>
            <w:vAlign w:val="bottom"/>
            <w:shd w:val="clear" w:color="auto" w:fill="CFF0FC"/>
          </w:tcPr>
          <w:p>
            <w:pPr>
              <w:spacing w:after="0"/>
              <w:rPr>
                <w:sz w:val="19"/>
                <w:szCs w:val="19"/>
                <w:color w:val="auto"/>
              </w:rPr>
            </w:pPr>
          </w:p>
        </w:tc>
      </w:tr>
      <w:tr>
        <w:trPr>
          <w:trHeight w:val="229"/>
        </w:trPr>
        <w:tc>
          <w:tcPr>
            <w:tcW w:w="5160" w:type="dxa"/>
            <w:vAlign w:val="bottom"/>
          </w:tcPr>
          <w:p>
            <w:pPr>
              <w:spacing w:after="0"/>
              <w:rPr>
                <w:sz w:val="20"/>
                <w:szCs w:val="20"/>
                <w:color w:val="auto"/>
              </w:rPr>
            </w:pPr>
            <w:r>
              <w:rPr>
                <w:rFonts w:ascii="Arial" w:cs="Arial" w:eastAsia="Arial" w:hAnsi="Arial"/>
                <w:sz w:val="18"/>
                <w:szCs w:val="18"/>
                <w:color w:val="auto"/>
              </w:rPr>
              <w:t>Financial guarantees and indemnification contracts</w:t>
            </w:r>
          </w:p>
        </w:tc>
        <w:tc>
          <w:tcPr>
            <w:tcW w:w="2600" w:type="dxa"/>
            <w:vAlign w:val="bottom"/>
            <w:gridSpan w:val="2"/>
          </w:tcPr>
          <w:p>
            <w:pPr>
              <w:jc w:val="right"/>
              <w:ind w:right="68"/>
              <w:spacing w:after="0"/>
              <w:rPr>
                <w:sz w:val="20"/>
                <w:szCs w:val="20"/>
                <w:color w:val="auto"/>
              </w:rPr>
            </w:pPr>
            <w:r>
              <w:rPr>
                <w:rFonts w:ascii="Arial" w:cs="Arial" w:eastAsia="Arial" w:hAnsi="Arial"/>
                <w:sz w:val="18"/>
                <w:szCs w:val="18"/>
                <w:color w:val="auto"/>
              </w:rPr>
              <w:t>4,072,127</w:t>
            </w:r>
          </w:p>
        </w:tc>
        <w:tc>
          <w:tcPr>
            <w:tcW w:w="1140" w:type="dxa"/>
            <w:vAlign w:val="bottom"/>
          </w:tcPr>
          <w:p>
            <w:pPr>
              <w:jc w:val="right"/>
              <w:spacing w:after="0"/>
              <w:rPr>
                <w:sz w:val="20"/>
                <w:szCs w:val="20"/>
                <w:color w:val="auto"/>
              </w:rPr>
            </w:pPr>
            <w:r>
              <w:rPr>
                <w:rFonts w:ascii="Arial" w:cs="Arial" w:eastAsia="Arial" w:hAnsi="Arial"/>
                <w:sz w:val="18"/>
                <w:szCs w:val="18"/>
                <w:color w:val="auto"/>
              </w:rPr>
              <w:t>4,108,572</w:t>
            </w:r>
          </w:p>
        </w:tc>
        <w:tc>
          <w:tcPr>
            <w:tcW w:w="80" w:type="dxa"/>
            <w:vAlign w:val="bottom"/>
          </w:tcPr>
          <w:p>
            <w:pPr>
              <w:spacing w:after="0"/>
              <w:rPr>
                <w:sz w:val="19"/>
                <w:szCs w:val="19"/>
                <w:color w:val="auto"/>
              </w:rPr>
            </w:pPr>
          </w:p>
        </w:tc>
      </w:tr>
      <w:tr>
        <w:trPr>
          <w:trHeight w:val="229"/>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Commitments to sell real estate loans</w:t>
            </w:r>
          </w:p>
        </w:tc>
        <w:tc>
          <w:tcPr>
            <w:tcW w:w="260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1,323,837</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906,037</w:t>
            </w:r>
          </w:p>
        </w:tc>
        <w:tc>
          <w:tcPr>
            <w:tcW w:w="80" w:type="dxa"/>
            <w:vAlign w:val="bottom"/>
            <w:shd w:val="clear" w:color="auto" w:fill="CFF0FC"/>
          </w:tcPr>
          <w:p>
            <w:pPr>
              <w:spacing w:after="0"/>
              <w:rPr>
                <w:sz w:val="19"/>
                <w:szCs w:val="19"/>
                <w:color w:val="auto"/>
              </w:rPr>
            </w:pPr>
          </w:p>
        </w:tc>
      </w:tr>
    </w:tbl>
    <w:p>
      <w:pPr>
        <w:spacing w:after="0" w:line="243" w:lineRule="exact"/>
        <w:rPr>
          <w:sz w:val="20"/>
          <w:szCs w:val="20"/>
          <w:color w:val="auto"/>
        </w:rPr>
      </w:pPr>
    </w:p>
    <w:p>
      <w:pPr>
        <w:jc w:val="both"/>
        <w:ind w:firstLine="510"/>
        <w:spacing w:after="0" w:line="272" w:lineRule="auto"/>
        <w:rPr>
          <w:sz w:val="20"/>
          <w:szCs w:val="20"/>
          <w:color w:val="auto"/>
        </w:rPr>
      </w:pPr>
      <w:r>
        <w:rPr>
          <w:rFonts w:ascii="Arial" w:cs="Arial" w:eastAsia="Arial" w:hAnsi="Arial"/>
          <w:sz w:val="19"/>
          <w:szCs w:val="19"/>
          <w:color w:val="auto"/>
        </w:rPr>
        <w:t>Commitments to extend credit are agreements to lend to customers, generally having fixed expiration dates or other termination clauses that may require payment of a fee. In addition to the amounts in the preceding table, the Company had discretionary funding commitments to commercial customers of $8.9 billion and $9.1 billion at March 31, 2020 and December 31, 2019, respectively, that the Company had the unconditional right to cancel prior to funding. Standby and commercial letters of credit are conditional commitments issued to guarantee the performance of a customer to a third party. Standby letters of credit generally are contingent upon the failure of the customer to perform according to the terms of the underlying contract with the third party, whereas commercial letters of credit are issued to facilitate commerce and typically result in the commitment being funded when the underlying transaction is consummated between the customer and a third party. The credit risk associated with commitments to extend credit and standby and commercial letters of credit is essentially the same as that involved with extending loans to customers and is subject to normal credit policies. Collateral may be obtained based on management's assessment of the customer's creditworthiness.</w:t>
      </w:r>
    </w:p>
    <w:p>
      <w:pPr>
        <w:spacing w:after="0" w:line="59" w:lineRule="exact"/>
        <w:rPr>
          <w:sz w:val="20"/>
          <w:szCs w:val="20"/>
          <w:color w:val="auto"/>
        </w:rPr>
      </w:pPr>
    </w:p>
    <w:p>
      <w:pPr>
        <w:jc w:val="both"/>
        <w:ind w:firstLine="510"/>
        <w:spacing w:after="0" w:line="276" w:lineRule="auto"/>
        <w:rPr>
          <w:sz w:val="20"/>
          <w:szCs w:val="20"/>
          <w:color w:val="auto"/>
        </w:rPr>
      </w:pPr>
      <w:r>
        <w:rPr>
          <w:rFonts w:ascii="Arial" w:cs="Arial" w:eastAsia="Arial" w:hAnsi="Arial"/>
          <w:sz w:val="19"/>
          <w:szCs w:val="19"/>
          <w:color w:val="auto"/>
        </w:rPr>
        <w:t>Financial guarantees and indemnification contracts are oftentimes similar to standby letters of credit and include mandatory purchase agreements issued to ensure that customer obligations are fulfilled, recourse obligations associated with sold loans, and other guarantees of customer performance or compliance with designated rules and regulations. Included in financial guarantees and indemnification contracts are loan principal amounts sold with recourse in conjunction with the Company's involvement in the Fannie Mae Delegated Underwriting and Servicing program. The Company's maximum credit risk for recourse associated with loans sold under this program totaled approximately $3.8 billion and $3.9 billion at March 31, 2020 and December 31, 2019, respectively.</w:t>
      </w:r>
    </w:p>
    <w:p>
      <w:pPr>
        <w:spacing w:after="0" w:line="57" w:lineRule="exact"/>
        <w:rPr>
          <w:sz w:val="20"/>
          <w:szCs w:val="20"/>
          <w:color w:val="auto"/>
        </w:rPr>
      </w:pPr>
    </w:p>
    <w:p>
      <w:pPr>
        <w:jc w:val="both"/>
        <w:ind w:right="20" w:firstLine="510"/>
        <w:spacing w:after="0" w:line="263" w:lineRule="auto"/>
        <w:rPr>
          <w:sz w:val="20"/>
          <w:szCs w:val="20"/>
          <w:color w:val="auto"/>
        </w:rPr>
      </w:pPr>
      <w:r>
        <w:rPr>
          <w:rFonts w:ascii="Arial" w:cs="Arial" w:eastAsia="Arial" w:hAnsi="Arial"/>
          <w:sz w:val="21"/>
          <w:szCs w:val="21"/>
          <w:color w:val="auto"/>
        </w:rPr>
        <w:t>Since many loan commitments, standby letters of credit, and guarantees and indemnification contracts expire without being funded in whole or in part, the contract amounts are not necessarily indicative of future cash flows.</w:t>
      </w:r>
    </w:p>
    <w:p>
      <w:pPr>
        <w:spacing w:after="0" w:line="64" w:lineRule="exact"/>
        <w:rPr>
          <w:sz w:val="20"/>
          <w:szCs w:val="20"/>
          <w:color w:val="auto"/>
        </w:rPr>
      </w:pPr>
    </w:p>
    <w:p>
      <w:pPr>
        <w:jc w:val="both"/>
        <w:ind w:firstLine="510"/>
        <w:spacing w:after="0" w:line="252" w:lineRule="auto"/>
        <w:rPr>
          <w:sz w:val="20"/>
          <w:szCs w:val="20"/>
          <w:color w:val="auto"/>
        </w:rPr>
      </w:pPr>
      <w:r>
        <w:rPr>
          <w:rFonts w:ascii="Arial" w:cs="Arial" w:eastAsia="Arial" w:hAnsi="Arial"/>
          <w:sz w:val="21"/>
          <w:szCs w:val="21"/>
          <w:color w:val="auto"/>
        </w:rPr>
        <w:t>The Company utilizes commitments to sell real estate loans to hedge exposure to changes in the fair value of real estate loans held for sale. Such commitments are considered derivatives and along with commitments to originate real estate loans to be held for sale are generally recorded in the consolidated balance sheet at estimated fair market value.</w:t>
      </w:r>
    </w:p>
    <w:p>
      <w:pPr>
        <w:spacing w:after="0" w:line="75" w:lineRule="exact"/>
        <w:rPr>
          <w:sz w:val="20"/>
          <w:szCs w:val="20"/>
          <w:color w:val="auto"/>
        </w:rPr>
      </w:pPr>
    </w:p>
    <w:p>
      <w:pPr>
        <w:jc w:val="both"/>
        <w:ind w:firstLine="510"/>
        <w:spacing w:after="0" w:line="248" w:lineRule="auto"/>
        <w:rPr>
          <w:sz w:val="20"/>
          <w:szCs w:val="20"/>
          <w:color w:val="auto"/>
        </w:rPr>
      </w:pPr>
      <w:r>
        <w:rPr>
          <w:rFonts w:ascii="Arial" w:cs="Arial" w:eastAsia="Arial" w:hAnsi="Arial"/>
          <w:sz w:val="21"/>
          <w:szCs w:val="21"/>
          <w:color w:val="auto"/>
        </w:rPr>
        <w:t>The Company is contractually obligated to repurchase previously sold residential real estate loans that do not ultimately meet investor sale criteria related to underwriting procedures or loan documentation. When required to do so, the Company may reimburse loan purchasers for losses incurred or may repurchase certain loans. The Company reduces residential mortgage banking revenues by an estimate for losses related to its obligations to loan purchasers.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NOTES TO FINANCIAL STATEMENTS, CONTINUED</w:t>
      </w:r>
    </w:p>
    <w:p>
      <w:pPr>
        <w:spacing w:after="0" w:line="32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12. Commitments and contingencies, continued</w:t>
      </w:r>
    </w:p>
    <w:p>
      <w:pPr>
        <w:spacing w:after="0" w:line="115"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The amount of those charges is based on the volume of loans sold, the level of reimbursement requests received from loan purchasers and estimates of losses that may be associated with previously sold loans. At March 31, 2020, the Company believes that its obligation to loan purchasers was not material to the Company’s consolidated financial position.</w:t>
      </w:r>
    </w:p>
    <w:p>
      <w:pPr>
        <w:spacing w:after="0" w:line="57" w:lineRule="exact"/>
        <w:rPr>
          <w:sz w:val="20"/>
          <w:szCs w:val="20"/>
          <w:color w:val="auto"/>
        </w:rPr>
      </w:pPr>
    </w:p>
    <w:p>
      <w:pPr>
        <w:jc w:val="both"/>
        <w:ind w:firstLine="510"/>
        <w:spacing w:after="0" w:line="270" w:lineRule="auto"/>
        <w:rPr>
          <w:sz w:val="20"/>
          <w:szCs w:val="20"/>
          <w:color w:val="auto"/>
        </w:rPr>
      </w:pPr>
      <w:r>
        <w:rPr>
          <w:rFonts w:ascii="Arial" w:cs="Arial" w:eastAsia="Arial" w:hAnsi="Arial"/>
          <w:sz w:val="19"/>
          <w:szCs w:val="19"/>
          <w:color w:val="auto"/>
        </w:rPr>
        <w:t>Wilmington Trust, N.A., a wholly owned subsidiary of M&amp;T, provides retirement services, including serving in certain trustee roles relating to Employee Stock Ownership Plans (“ESOPs”). Beginning in 2010, the U.S. Department of Labor (“DOL”) announced that it would increase its focus on ESOP transactions, particularly with regard to valuation issues relating to ESOP transactions. Beginning in late 2013, Wilmington Trust, N.A. began receiving requests for information and subpoenas relating to certain ESOP transactions for which it acted as trustee. In June 2016, Wilmington Trust, N.A. received a DOL subpoena seeking information on its global ESOP trustee business. In addition to these investigations, the DOL has commenced three lawsuits against Wilmington Trust, N.A. relating to its role as trustee of three ESOP transactions. In July 2019, Wilmington Trust, N.A. reached a settlement in principle with the DOL to resolve certain pending DOL ESOP matters. On April 28, 2020, Wilmington Trust N.A. and the DOL executed a formal settlement agreement. The total amount of the settlement was $88 million, which included $80 million in payments to 21 ESOPs. The settlement amount is within the Company’s reserve for litigation matters as of March 31, 2020. Wilmington Trust, N.A. has also been named as a defendant in five private party lawsuits relating to its role as trustee for five ESOP transactions. Two of the five private party lawsuits relating to ESOP transactions have been resolved through settlements, which have been preliminarily approved by Courts, and are in the process of administration. Neither of the two settlements is material. Under applicable transaction documents, Wilmington Trust, N.A. may be entitled to indemnification by the ESOP plan sponsors. These matters could result in damages, settlements, penalties, restitution, reputational damage or additional costs and expenses.</w:t>
      </w:r>
    </w:p>
    <w:p>
      <w:pPr>
        <w:spacing w:after="0" w:line="62"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9"/>
          <w:szCs w:val="19"/>
          <w:color w:val="auto"/>
        </w:rPr>
        <w:t>M&amp;T and its subsidiaries are subject in the normal course of business to various other pending and threatened legal proceedings and matters in which claims for monetary damages are asserted. On an on-going basis management, after consultation with legal counsel, assesses the Company’s liabilities and contingencies in connection with such proceedings. For those matters where it is probable that the Company will incur losses and the amounts of the losses can be reasonably estimated, the Company records an expense and corresponding liability in its consolidated financial statements. The Company increased its recorded liability for legal-related matters by $50 million during the three months ended March 31, 2019. To the extent pending or threatened litigation could result in exposure in excess of the recorded liability, the amount of such excess is not currently estimable. Although not considered probable, the range of reasonably possible losses for such matters in the aggregate, beyond the existing recorded liability, was estimated to be between $0 and $50 million as of March 31, 2020. Although the Company does not believe that the outcome of pending legal matters will be material to the Company’s consolidated financial position, it cannot rule out the possibility that such outcomes will be material to the consolidated results of operations for a particular reporting period in the future.</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13. Segment information</w:t>
      </w:r>
    </w:p>
    <w:p>
      <w:pPr>
        <w:spacing w:after="0" w:line="115"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Reportable segments have been determined based upon the Company's internal profitability reporting system, which is organized by strategic business unit. Certain strategic business units have been combined for segment information reporting purposes where the nature of the products and services, the type of customer and the distribution of those products and services are similar. The reportable segments are Business Banking, Commercial Banking, Commercial Real Estate, Discretionary Portfolio, Residential Mortgage Banking and Retail Banking.</w:t>
      </w:r>
    </w:p>
    <w:p>
      <w:pPr>
        <w:spacing w:after="0" w:line="84" w:lineRule="exact"/>
        <w:rPr>
          <w:sz w:val="20"/>
          <w:szCs w:val="20"/>
          <w:color w:val="auto"/>
        </w:rPr>
      </w:pPr>
    </w:p>
    <w:p>
      <w:pPr>
        <w:jc w:val="both"/>
        <w:ind w:firstLine="510"/>
        <w:spacing w:after="0" w:line="246" w:lineRule="auto"/>
        <w:rPr>
          <w:sz w:val="20"/>
          <w:szCs w:val="20"/>
          <w:color w:val="auto"/>
        </w:rPr>
      </w:pPr>
      <w:r>
        <w:rPr>
          <w:rFonts w:ascii="Arial" w:cs="Arial" w:eastAsia="Arial" w:hAnsi="Arial"/>
          <w:sz w:val="21"/>
          <w:szCs w:val="21"/>
          <w:color w:val="auto"/>
        </w:rPr>
        <w:t>The financial information of the Company's segments was compiled utilizing the accounting policies described in note 22 of Notes to Financial Statements in the 2019 Annual Report. The management accounting policies and processes utilized in compiling segment financial information are highly subjective and, unlike financial accounting, are not based on authoritative guidance similar to GAAP. As a result, the financial information of the reported segments is not necessarily comparable with similar information reported by other financial institutions.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t>NOTES TO FINANCIAL STATEMENTS, CONTINUED</w:t>
      </w:r>
    </w:p>
    <w:p>
      <w:pPr>
        <w:spacing w:after="0" w:line="219"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13. Segment information, continued</w:t>
      </w:r>
    </w:p>
    <w:p>
      <w:pPr>
        <w:spacing w:after="0" w:line="115" w:lineRule="exact"/>
        <w:rPr>
          <w:sz w:val="20"/>
          <w:szCs w:val="20"/>
          <w:color w:val="auto"/>
        </w:rPr>
      </w:pPr>
    </w:p>
    <w:p>
      <w:pPr>
        <w:spacing w:after="0" w:line="263" w:lineRule="auto"/>
        <w:rPr>
          <w:sz w:val="20"/>
          <w:szCs w:val="20"/>
          <w:color w:val="auto"/>
        </w:rPr>
      </w:pPr>
      <w:r>
        <w:rPr>
          <w:rFonts w:ascii="Arial" w:cs="Arial" w:eastAsia="Arial" w:hAnsi="Arial"/>
          <w:sz w:val="21"/>
          <w:szCs w:val="21"/>
          <w:color w:val="auto"/>
        </w:rPr>
        <w:t>Furthermore, changes in management structure or allocation methodologies and procedures may result in changes in reported segment financial data.</w:t>
      </w:r>
    </w:p>
    <w:p>
      <w:pPr>
        <w:spacing w:after="0" w:line="64" w:lineRule="exact"/>
        <w:rPr>
          <w:sz w:val="20"/>
          <w:szCs w:val="20"/>
          <w:color w:val="auto"/>
        </w:rPr>
      </w:pPr>
    </w:p>
    <w:p>
      <w:pPr>
        <w:ind w:left="520"/>
        <w:spacing w:after="0"/>
        <w:rPr>
          <w:sz w:val="20"/>
          <w:szCs w:val="20"/>
          <w:color w:val="auto"/>
        </w:rPr>
      </w:pPr>
      <w:r>
        <w:rPr>
          <w:rFonts w:ascii="Arial" w:cs="Arial" w:eastAsia="Arial" w:hAnsi="Arial"/>
          <w:sz w:val="21"/>
          <w:szCs w:val="21"/>
          <w:color w:val="auto"/>
        </w:rPr>
        <w:t>Information about the Company's segments is presented in the following table: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vMerge w:val="restart"/>
          </w:tcPr>
          <w:p>
            <w:pPr>
              <w:jc w:val="right"/>
              <w:ind w:right="156"/>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6"/>
                <w:szCs w:val="16"/>
                <w:color w:val="auto"/>
              </w:rPr>
            </w:pPr>
          </w:p>
        </w:tc>
        <w:tc>
          <w:tcPr>
            <w:tcW w:w="2200" w:type="dxa"/>
            <w:vAlign w:val="bottom"/>
            <w:gridSpan w:val="7"/>
          </w:tcPr>
          <w:p>
            <w:pPr>
              <w:jc w:val="right"/>
              <w:ind w:right="260"/>
              <w:spacing w:after="0"/>
              <w:rPr>
                <w:sz w:val="20"/>
                <w:szCs w:val="20"/>
                <w:color w:val="auto"/>
              </w:rPr>
            </w:pPr>
            <w:r>
              <w:rPr>
                <w:rFonts w:ascii="Arial" w:cs="Arial" w:eastAsia="Arial" w:hAnsi="Arial"/>
                <w:sz w:val="14"/>
                <w:szCs w:val="14"/>
                <w:b w:val="1"/>
                <w:bCs w:val="1"/>
                <w:color w:val="auto"/>
                <w:w w:val="94"/>
              </w:rPr>
              <w:t>Three Months Ended March 31</w:t>
            </w:r>
          </w:p>
        </w:tc>
        <w:tc>
          <w:tcPr>
            <w:tcW w:w="640" w:type="dxa"/>
            <w:vAlign w:val="bottom"/>
            <w:vMerge w:val="restart"/>
          </w:tcPr>
          <w:p>
            <w:pPr>
              <w:jc w:val="right"/>
              <w:ind w:right="156"/>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38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38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9"/>
              </w:rPr>
              <w:t>Total</w:t>
            </w:r>
          </w:p>
        </w:tc>
        <w:tc>
          <w:tcPr>
            <w:tcW w:w="740" w:type="dxa"/>
            <w:vAlign w:val="bottom"/>
            <w:gridSpan w:val="2"/>
          </w:tcPr>
          <w:p>
            <w:pPr>
              <w:jc w:val="center"/>
              <w:ind w:right="80"/>
              <w:spacing w:after="0" w:line="133" w:lineRule="exact"/>
              <w:rPr>
                <w:sz w:val="20"/>
                <w:szCs w:val="20"/>
                <w:color w:val="auto"/>
              </w:rPr>
            </w:pPr>
            <w:r>
              <w:rPr>
                <w:rFonts w:ascii="Arial" w:cs="Arial" w:eastAsia="Arial" w:hAnsi="Arial"/>
                <w:sz w:val="14"/>
                <w:szCs w:val="14"/>
                <w:b w:val="1"/>
                <w:bCs w:val="1"/>
                <w:color w:val="auto"/>
                <w:w w:val="97"/>
              </w:rPr>
              <w:t>Inter-</w:t>
            </w:r>
          </w:p>
        </w:tc>
        <w:tc>
          <w:tcPr>
            <w:tcW w:w="160" w:type="dxa"/>
            <w:vAlign w:val="bottom"/>
          </w:tcPr>
          <w:p>
            <w:pPr>
              <w:spacing w:after="0"/>
              <w:rPr>
                <w:sz w:val="11"/>
                <w:szCs w:val="11"/>
                <w:color w:val="auto"/>
              </w:rPr>
            </w:pPr>
          </w:p>
        </w:tc>
        <w:tc>
          <w:tcPr>
            <w:tcW w:w="7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7"/>
              </w:rPr>
              <w:t>Net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86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rPr>
              <w:t>Inter-</w:t>
            </w:r>
          </w:p>
        </w:tc>
        <w:tc>
          <w:tcPr>
            <w:tcW w:w="7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7"/>
              </w:rPr>
              <w:t>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8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7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segment</w:t>
            </w:r>
          </w:p>
        </w:tc>
        <w:tc>
          <w:tcPr>
            <w:tcW w:w="160" w:type="dxa"/>
            <w:vAlign w:val="bottom"/>
          </w:tcPr>
          <w:p>
            <w:pPr>
              <w:spacing w:after="0"/>
              <w:rPr>
                <w:sz w:val="12"/>
                <w:szCs w:val="12"/>
                <w:color w:val="auto"/>
              </w:rPr>
            </w:pPr>
          </w:p>
        </w:tc>
        <w:tc>
          <w:tcPr>
            <w:tcW w:w="9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Income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segment</w:t>
            </w: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Income</w:t>
            </w:r>
          </w:p>
        </w:tc>
        <w:tc>
          <w:tcPr>
            <w:tcW w:w="0" w:type="dxa"/>
            <w:vAlign w:val="bottom"/>
          </w:tcPr>
          <w:p>
            <w:pPr>
              <w:spacing w:after="0"/>
              <w:rPr>
                <w:sz w:val="1"/>
                <w:szCs w:val="1"/>
                <w:color w:val="auto"/>
              </w:rPr>
            </w:pPr>
          </w:p>
        </w:tc>
      </w:tr>
      <w:tr>
        <w:trPr>
          <w:trHeight w:val="171"/>
        </w:trPr>
        <w:tc>
          <w:tcPr>
            <w:tcW w:w="38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8"/>
              </w:rPr>
              <w:t>Revenues(a)</w:t>
            </w:r>
          </w:p>
        </w:tc>
        <w:tc>
          <w:tcPr>
            <w:tcW w:w="7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Revenues</w:t>
            </w:r>
          </w:p>
        </w:tc>
        <w:tc>
          <w:tcPr>
            <w:tcW w:w="160" w:type="dxa"/>
            <w:vAlign w:val="bottom"/>
          </w:tcPr>
          <w:p>
            <w:pPr>
              <w:spacing w:after="0"/>
              <w:rPr>
                <w:sz w:val="14"/>
                <w:szCs w:val="14"/>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(Loss)</w:t>
            </w:r>
          </w:p>
        </w:tc>
        <w:tc>
          <w:tcPr>
            <w:tcW w:w="80" w:type="dxa"/>
            <w:vAlign w:val="bottom"/>
          </w:tcPr>
          <w:p>
            <w:pPr>
              <w:spacing w:after="0"/>
              <w:rPr>
                <w:sz w:val="14"/>
                <w:szCs w:val="14"/>
                <w:color w:val="auto"/>
              </w:rPr>
            </w:pPr>
          </w:p>
        </w:tc>
        <w:tc>
          <w:tcPr>
            <w:tcW w:w="10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3"/>
              </w:rPr>
              <w:t>Revenues(a)</w:t>
            </w: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Revenues</w:t>
            </w: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(Loss)</w:t>
            </w:r>
          </w:p>
        </w:tc>
        <w:tc>
          <w:tcPr>
            <w:tcW w:w="0" w:type="dxa"/>
            <w:vAlign w:val="bottom"/>
          </w:tcPr>
          <w:p>
            <w:pPr>
              <w:spacing w:after="0"/>
              <w:rPr>
                <w:sz w:val="1"/>
                <w:szCs w:val="1"/>
                <w:color w:val="auto"/>
              </w:rPr>
            </w:pPr>
          </w:p>
        </w:tc>
      </w:tr>
      <w:tr>
        <w:trPr>
          <w:trHeight w:val="180"/>
        </w:trPr>
        <w:tc>
          <w:tcPr>
            <w:tcW w:w="38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040" w:type="dxa"/>
            <w:vAlign w:val="bottom"/>
            <w:tcBorders>
              <w:top w:val="single" w:sz="8" w:color="auto"/>
            </w:tcBorders>
            <w:gridSpan w:val="6"/>
          </w:tcPr>
          <w:p>
            <w:pPr>
              <w:ind w:left="360"/>
              <w:spacing w:after="0"/>
              <w:rPr>
                <w:sz w:val="20"/>
                <w:szCs w:val="20"/>
                <w:color w:val="auto"/>
              </w:rPr>
            </w:pPr>
            <w:r>
              <w:rPr>
                <w:rFonts w:ascii="Arial" w:cs="Arial" w:eastAsia="Arial" w:hAnsi="Arial"/>
                <w:sz w:val="14"/>
                <w:szCs w:val="14"/>
                <w:b w:val="1"/>
                <w:bCs w:val="1"/>
                <w:color w:val="auto"/>
              </w:rPr>
              <w:t>(In thousands)</w:t>
            </w:r>
          </w:p>
        </w:tc>
        <w:tc>
          <w:tcPr>
            <w:tcW w:w="64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4"/>
        </w:trPr>
        <w:tc>
          <w:tcPr>
            <w:tcW w:w="3880" w:type="dxa"/>
            <w:vAlign w:val="bottom"/>
          </w:tcPr>
          <w:p>
            <w:pPr>
              <w:spacing w:after="0"/>
              <w:rPr>
                <w:sz w:val="20"/>
                <w:szCs w:val="20"/>
                <w:color w:val="auto"/>
              </w:rPr>
            </w:pPr>
            <w:r>
              <w:rPr>
                <w:rFonts w:ascii="Arial" w:cs="Arial" w:eastAsia="Arial" w:hAnsi="Arial"/>
                <w:sz w:val="18"/>
                <w:szCs w:val="18"/>
                <w:color w:val="auto"/>
              </w:rPr>
              <w:t>Business Banking</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137,833</w:t>
            </w: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885</w:t>
            </w:r>
          </w:p>
        </w:tc>
        <w:tc>
          <w:tcPr>
            <w:tcW w:w="6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32,926</w:t>
            </w:r>
          </w:p>
        </w:tc>
        <w:tc>
          <w:tcPr>
            <w:tcW w:w="14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139,322</w:t>
            </w: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856</w:t>
            </w: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43,271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Commercial Banking</w:t>
            </w:r>
          </w:p>
        </w:tc>
        <w:tc>
          <w:tcPr>
            <w:tcW w:w="1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291,776</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1,053</w:t>
            </w:r>
          </w:p>
        </w:tc>
        <w:tc>
          <w:tcPr>
            <w:tcW w:w="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143,732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267,490</w:t>
            </w:r>
          </w:p>
        </w:tc>
        <w:tc>
          <w:tcPr>
            <w:tcW w:w="2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840</w:t>
            </w: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132,218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8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223,305</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409</w:t>
            </w:r>
          </w:p>
        </w:tc>
        <w:tc>
          <w:tcPr>
            <w:tcW w:w="6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117,408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219,173</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354</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117,498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Discretionary Portfolio</w:t>
            </w:r>
          </w:p>
        </w:tc>
        <w:tc>
          <w:tcPr>
            <w:tcW w:w="1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49,219</w:t>
            </w:r>
          </w:p>
        </w:tc>
        <w:tc>
          <w:tcPr>
            <w:tcW w:w="2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(13,037)</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25,668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63,917</w:t>
            </w:r>
          </w:p>
        </w:tc>
        <w:tc>
          <w:tcPr>
            <w:tcW w:w="2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(9,299)</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39,172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80" w:type="dxa"/>
            <w:vAlign w:val="bottom"/>
          </w:tcPr>
          <w:p>
            <w:pPr>
              <w:spacing w:after="0"/>
              <w:rPr>
                <w:sz w:val="20"/>
                <w:szCs w:val="20"/>
                <w:color w:val="auto"/>
              </w:rPr>
            </w:pPr>
            <w:r>
              <w:rPr>
                <w:rFonts w:ascii="Arial" w:cs="Arial" w:eastAsia="Arial" w:hAnsi="Arial"/>
                <w:sz w:val="18"/>
                <w:szCs w:val="18"/>
                <w:color w:val="auto"/>
              </w:rPr>
              <w:t>Residential Mortgage Banking</w:t>
            </w: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125,561</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21,417</w:t>
            </w:r>
          </w:p>
        </w:tc>
        <w:tc>
          <w:tcPr>
            <w:tcW w:w="6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24,616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83,761</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14,514</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12,941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Retail Banking</w:t>
            </w:r>
          </w:p>
        </w:tc>
        <w:tc>
          <w:tcPr>
            <w:tcW w:w="1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402,683</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w:t>
            </w:r>
          </w:p>
        </w:tc>
        <w:tc>
          <w:tcPr>
            <w:tcW w:w="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110,246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430,891</w:t>
            </w:r>
          </w:p>
        </w:tc>
        <w:tc>
          <w:tcPr>
            <w:tcW w:w="2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2,511</w:t>
            </w: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145,066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80" w:type="dxa"/>
            <w:vAlign w:val="bottom"/>
          </w:tcPr>
          <w:p>
            <w:pPr>
              <w:spacing w:after="0"/>
              <w:rPr>
                <w:sz w:val="20"/>
                <w:szCs w:val="20"/>
                <w:color w:val="auto"/>
              </w:rPr>
            </w:pPr>
            <w:r>
              <w:rPr>
                <w:rFonts w:ascii="Arial" w:cs="Arial" w:eastAsia="Arial" w:hAnsi="Arial"/>
                <w:sz w:val="18"/>
                <w:szCs w:val="18"/>
                <w:color w:val="auto"/>
              </w:rPr>
              <w:t>All Other</w:t>
            </w: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275,788</w:t>
            </w:r>
          </w:p>
        </w:tc>
        <w:tc>
          <w:tcPr>
            <w:tcW w:w="2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(10,994)</w:t>
            </w: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(185,774)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346,271</w:t>
            </w:r>
          </w:p>
        </w:tc>
        <w:tc>
          <w:tcPr>
            <w:tcW w:w="20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(9,776)</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(7,424)</w:t>
            </w:r>
          </w:p>
        </w:tc>
        <w:tc>
          <w:tcPr>
            <w:tcW w:w="0" w:type="dxa"/>
            <w:vAlign w:val="bottom"/>
          </w:tcPr>
          <w:p>
            <w:pPr>
              <w:spacing w:after="0"/>
              <w:rPr>
                <w:sz w:val="1"/>
                <w:szCs w:val="1"/>
                <w:color w:val="auto"/>
              </w:rPr>
            </w:pPr>
          </w:p>
        </w:tc>
      </w:tr>
      <w:tr>
        <w:trPr>
          <w:trHeight w:val="223"/>
        </w:trPr>
        <w:tc>
          <w:tcPr>
            <w:tcW w:w="38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6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1,506,165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268,822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1,550,825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482,742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2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88"/>
              </w:rPr>
              <w:t>Average Total Assets</w:t>
            </w:r>
          </w:p>
        </w:tc>
      </w:tr>
      <w:tr>
        <w:trPr>
          <w:trHeight w:val="133"/>
        </w:trPr>
        <w:tc>
          <w:tcPr>
            <w:tcW w:w="402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760" w:type="dxa"/>
            <w:vAlign w:val="bottom"/>
            <w:tcBorders>
              <w:top w:val="single" w:sz="8" w:color="auto"/>
            </w:tcBorders>
            <w:gridSpan w:val="4"/>
          </w:tcPr>
          <w:p>
            <w:pPr>
              <w:jc w:val="center"/>
              <w:ind w:right="340"/>
              <w:spacing w:after="0" w:line="133" w:lineRule="exact"/>
              <w:rPr>
                <w:sz w:val="20"/>
                <w:szCs w:val="20"/>
                <w:color w:val="auto"/>
              </w:rPr>
            </w:pPr>
            <w:r>
              <w:rPr>
                <w:rFonts w:ascii="Arial" w:cs="Arial" w:eastAsia="Arial" w:hAnsi="Arial"/>
                <w:sz w:val="14"/>
                <w:szCs w:val="14"/>
                <w:b w:val="1"/>
                <w:bCs w:val="1"/>
                <w:color w:val="auto"/>
                <w:w w:val="93"/>
              </w:rPr>
              <w:t>Three Months Ended</w:t>
            </w:r>
          </w:p>
        </w:tc>
        <w:tc>
          <w:tcPr>
            <w:tcW w:w="86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3"/>
              </w:rPr>
              <w:t>Year Ended</w:t>
            </w:r>
          </w:p>
        </w:tc>
        <w:tc>
          <w:tcPr>
            <w:tcW w:w="100" w:type="dxa"/>
            <w:vAlign w:val="bottom"/>
          </w:tcPr>
          <w:p>
            <w:pPr>
              <w:spacing w:after="0"/>
              <w:rPr>
                <w:sz w:val="11"/>
                <w:szCs w:val="11"/>
                <w:color w:val="auto"/>
              </w:rPr>
            </w:pPr>
          </w:p>
        </w:tc>
      </w:tr>
      <w:tr>
        <w:trPr>
          <w:trHeight w:val="162"/>
        </w:trPr>
        <w:tc>
          <w:tcPr>
            <w:tcW w:w="40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8"/>
              </w:rPr>
              <w:t>March 31</w:t>
            </w:r>
          </w:p>
        </w:tc>
        <w:tc>
          <w:tcPr>
            <w:tcW w:w="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December 31</w:t>
            </w:r>
          </w:p>
        </w:tc>
      </w:tr>
      <w:tr>
        <w:trPr>
          <w:trHeight w:val="171"/>
        </w:trPr>
        <w:tc>
          <w:tcPr>
            <w:tcW w:w="40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4"/>
                <w:szCs w:val="14"/>
                <w:color w:val="auto"/>
              </w:rPr>
            </w:pPr>
          </w:p>
        </w:tc>
      </w:tr>
      <w:tr>
        <w:trPr>
          <w:trHeight w:val="180"/>
        </w:trPr>
        <w:tc>
          <w:tcPr>
            <w:tcW w:w="40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(In millions)</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434"/>
        </w:trPr>
        <w:tc>
          <w:tcPr>
            <w:tcW w:w="4020" w:type="dxa"/>
            <w:vAlign w:val="bottom"/>
          </w:tcPr>
          <w:p>
            <w:pPr>
              <w:spacing w:after="0"/>
              <w:rPr>
                <w:sz w:val="20"/>
                <w:szCs w:val="20"/>
                <w:color w:val="auto"/>
              </w:rPr>
            </w:pPr>
            <w:r>
              <w:rPr>
                <w:rFonts w:ascii="Arial" w:cs="Arial" w:eastAsia="Arial" w:hAnsi="Arial"/>
                <w:sz w:val="18"/>
                <w:szCs w:val="18"/>
                <w:color w:val="auto"/>
              </w:rPr>
              <w:t>Business Banking</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6,006</w:t>
            </w: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5,702</w:t>
            </w: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5,793</w:t>
            </w:r>
          </w:p>
        </w:tc>
        <w:tc>
          <w:tcPr>
            <w:tcW w:w="100" w:type="dxa"/>
            <w:vAlign w:val="bottom"/>
          </w:tcPr>
          <w:p>
            <w:pPr>
              <w:spacing w:after="0"/>
              <w:rPr>
                <w:sz w:val="24"/>
                <w:szCs w:val="24"/>
                <w:color w:val="auto"/>
              </w:rPr>
            </w:pPr>
          </w:p>
        </w:tc>
      </w:tr>
      <w:tr>
        <w:trPr>
          <w:trHeight w:val="229"/>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Commercial Banking</w:t>
            </w:r>
          </w:p>
        </w:tc>
        <w:tc>
          <w:tcPr>
            <w:tcW w:w="1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29,172</w:t>
            </w: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27,858</w:t>
            </w: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28,142</w:t>
            </w:r>
          </w:p>
        </w:tc>
        <w:tc>
          <w:tcPr>
            <w:tcW w:w="100" w:type="dxa"/>
            <w:vAlign w:val="bottom"/>
            <w:shd w:val="clear" w:color="auto" w:fill="CFF0FC"/>
          </w:tcPr>
          <w:p>
            <w:pPr>
              <w:spacing w:after="0"/>
              <w:rPr>
                <w:sz w:val="19"/>
                <w:szCs w:val="19"/>
                <w:color w:val="auto"/>
              </w:rPr>
            </w:pPr>
          </w:p>
        </w:tc>
      </w:tr>
      <w:tr>
        <w:trPr>
          <w:trHeight w:val="229"/>
        </w:trPr>
        <w:tc>
          <w:tcPr>
            <w:tcW w:w="402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24,849</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23,572</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23,921</w:t>
            </w:r>
          </w:p>
        </w:tc>
        <w:tc>
          <w:tcPr>
            <w:tcW w:w="100" w:type="dxa"/>
            <w:vAlign w:val="bottom"/>
          </w:tcPr>
          <w:p>
            <w:pPr>
              <w:spacing w:after="0"/>
              <w:rPr>
                <w:sz w:val="19"/>
                <w:szCs w:val="19"/>
                <w:color w:val="auto"/>
              </w:rPr>
            </w:pPr>
          </w:p>
        </w:tc>
      </w:tr>
      <w:tr>
        <w:trPr>
          <w:trHeight w:val="229"/>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Discretionary Portfolio</w:t>
            </w:r>
          </w:p>
        </w:tc>
        <w:tc>
          <w:tcPr>
            <w:tcW w:w="1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27,143</w:t>
            </w: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30,341</w:t>
            </w: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29,081</w:t>
            </w:r>
          </w:p>
        </w:tc>
        <w:tc>
          <w:tcPr>
            <w:tcW w:w="100" w:type="dxa"/>
            <w:vAlign w:val="bottom"/>
            <w:shd w:val="clear" w:color="auto" w:fill="CFF0FC"/>
          </w:tcPr>
          <w:p>
            <w:pPr>
              <w:spacing w:after="0"/>
              <w:rPr>
                <w:sz w:val="19"/>
                <w:szCs w:val="19"/>
                <w:color w:val="auto"/>
              </w:rPr>
            </w:pPr>
          </w:p>
        </w:tc>
      </w:tr>
      <w:tr>
        <w:trPr>
          <w:trHeight w:val="229"/>
        </w:trPr>
        <w:tc>
          <w:tcPr>
            <w:tcW w:w="4020" w:type="dxa"/>
            <w:vAlign w:val="bottom"/>
          </w:tcPr>
          <w:p>
            <w:pPr>
              <w:spacing w:after="0"/>
              <w:rPr>
                <w:sz w:val="20"/>
                <w:szCs w:val="20"/>
                <w:color w:val="auto"/>
              </w:rPr>
            </w:pPr>
            <w:r>
              <w:rPr>
                <w:rFonts w:ascii="Arial" w:cs="Arial" w:eastAsia="Arial" w:hAnsi="Arial"/>
                <w:sz w:val="18"/>
                <w:szCs w:val="18"/>
                <w:color w:val="auto"/>
              </w:rPr>
              <w:t>Residential Mortgage Banking</w:t>
            </w:r>
          </w:p>
        </w:tc>
        <w:tc>
          <w:tcPr>
            <w:tcW w:w="1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3,218</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2,071</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2,611</w:t>
            </w:r>
          </w:p>
        </w:tc>
        <w:tc>
          <w:tcPr>
            <w:tcW w:w="100" w:type="dxa"/>
            <w:vAlign w:val="bottom"/>
          </w:tcPr>
          <w:p>
            <w:pPr>
              <w:spacing w:after="0"/>
              <w:rPr>
                <w:sz w:val="19"/>
                <w:szCs w:val="19"/>
                <w:color w:val="auto"/>
              </w:rPr>
            </w:pPr>
          </w:p>
        </w:tc>
      </w:tr>
      <w:tr>
        <w:trPr>
          <w:trHeight w:val="229"/>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Retail Banking</w:t>
            </w:r>
          </w:p>
        </w:tc>
        <w:tc>
          <w:tcPr>
            <w:tcW w:w="1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16,002</w:t>
            </w: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14,403</w:t>
            </w: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15,083</w:t>
            </w:r>
          </w:p>
        </w:tc>
        <w:tc>
          <w:tcPr>
            <w:tcW w:w="100" w:type="dxa"/>
            <w:vAlign w:val="bottom"/>
            <w:shd w:val="clear" w:color="auto" w:fill="CFF0FC"/>
          </w:tcPr>
          <w:p>
            <w:pPr>
              <w:spacing w:after="0"/>
              <w:rPr>
                <w:sz w:val="19"/>
                <w:szCs w:val="19"/>
                <w:color w:val="auto"/>
              </w:rPr>
            </w:pPr>
          </w:p>
        </w:tc>
      </w:tr>
      <w:tr>
        <w:trPr>
          <w:trHeight w:val="229"/>
        </w:trPr>
        <w:tc>
          <w:tcPr>
            <w:tcW w:w="4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All Other</w:t>
            </w:r>
          </w:p>
        </w:tc>
        <w:tc>
          <w:tcPr>
            <w:tcW w:w="17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14,195</w:t>
            </w:r>
          </w:p>
        </w:tc>
        <w:tc>
          <w:tcPr>
            <w:tcW w:w="18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12,892</w:t>
            </w:r>
          </w:p>
        </w:tc>
        <w:tc>
          <w:tcPr>
            <w:tcW w:w="18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14,953</w:t>
            </w:r>
          </w:p>
        </w:tc>
        <w:tc>
          <w:tcPr>
            <w:tcW w:w="100" w:type="dxa"/>
            <w:vAlign w:val="bottom"/>
            <w:tcBorders>
              <w:bottom w:val="single" w:sz="8" w:color="CFF0FC"/>
            </w:tcBorders>
          </w:tcPr>
          <w:p>
            <w:pPr>
              <w:spacing w:after="0"/>
              <w:rPr>
                <w:sz w:val="19"/>
                <w:szCs w:val="19"/>
                <w:color w:val="auto"/>
              </w:rPr>
            </w:pPr>
          </w:p>
        </w:tc>
      </w:tr>
      <w:tr>
        <w:trPr>
          <w:trHeight w:val="223"/>
        </w:trPr>
        <w:tc>
          <w:tcPr>
            <w:tcW w:w="4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7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120,585</w:t>
            </w:r>
          </w:p>
        </w:tc>
        <w:tc>
          <w:tcPr>
            <w:tcW w:w="18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116,839</w:t>
            </w:r>
          </w:p>
        </w:tc>
        <w:tc>
          <w:tcPr>
            <w:tcW w:w="18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119,584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0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jc w:val="both"/>
        <w:ind w:left="500" w:hanging="492"/>
        <w:spacing w:after="0" w:line="267" w:lineRule="auto"/>
        <w:tabs>
          <w:tab w:leader="none" w:pos="500" w:val="left"/>
        </w:tabs>
        <w:numPr>
          <w:ilvl w:val="0"/>
          <w:numId w:val="17"/>
        </w:numPr>
        <w:rPr>
          <w:rFonts w:ascii="Arial" w:cs="Arial" w:eastAsia="Arial" w:hAnsi="Arial"/>
          <w:sz w:val="16"/>
          <w:szCs w:val="16"/>
          <w:i w:val="1"/>
          <w:iCs w:val="1"/>
          <w:color w:val="auto"/>
        </w:rPr>
      </w:pPr>
      <w:r>
        <w:rPr>
          <w:rFonts w:ascii="Arial" w:cs="Arial" w:eastAsia="Arial" w:hAnsi="Arial"/>
          <w:sz w:val="16"/>
          <w:szCs w:val="16"/>
          <w:i w:val="1"/>
          <w:iCs w:val="1"/>
          <w:color w:val="auto"/>
        </w:rPr>
        <w:t>Total revenues are comprised of net interest income and other income. Net interest income is the difference between taxable-equivalent interest earned on assets and interest paid on liabilities owed by a segment and a funding charge (credit) based on the Company's internal funds transfer and allocation methodology. Segments are charged a cost to fund any assets (e.g. loans) and are paid a funding credit for any funds provided (e.g. deposits). The taxable-equivalent adjustment aggregated $5,063,000 and $5,967,000 for the three-month periods ended March 31, 2020 and 2019, respectively, and is eliminated in "All Other" total revenues. Intersegment revenues are included in total revenues of the reportable segments. The elimination of intersegment revenues is included in the determination of "All Other" total revenues</w:t>
      </w:r>
      <w:r>
        <w:rPr>
          <w:rFonts w:ascii="Arial" w:cs="Arial" w:eastAsia="Arial" w:hAnsi="Arial"/>
          <w:sz w:val="14"/>
          <w:szCs w:val="14"/>
          <w:i w:val="1"/>
          <w:iCs w:val="1"/>
          <w:color w:val="auto"/>
        </w:rPr>
        <w:t>.</w:t>
      </w:r>
    </w:p>
    <w:p>
      <w:pPr>
        <w:spacing w:after="0" w:line="7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14. Relationship with Bayview Lending Group LLC and Bayview Financial Holdings, L.P.</w:t>
      </w:r>
    </w:p>
    <w:p>
      <w:pPr>
        <w:spacing w:after="0" w:line="115"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M&amp;T holds a minority interest in Bayview Lending Group LLC ("BLG"), a privately-held commercial mortgage company. That investment had no remaining carrying value at March 31, 2020 as a result of cumulative losses recognized and cash distributions received in prior years. Income recognized by M&amp;T is included in other revenues from operations and totaled $23 million and $37 million for the three-month periods ended March 31, 2020 and 2019, respectively.</w:t>
      </w:r>
    </w:p>
    <w:p>
      <w:pPr>
        <w:spacing w:after="0" w:line="81" w:lineRule="exact"/>
        <w:rPr>
          <w:sz w:val="20"/>
          <w:szCs w:val="20"/>
          <w:color w:val="auto"/>
        </w:rPr>
      </w:pPr>
    </w:p>
    <w:p>
      <w:pPr>
        <w:jc w:val="both"/>
        <w:ind w:firstLine="510"/>
        <w:spacing w:after="0" w:line="246" w:lineRule="auto"/>
        <w:rPr>
          <w:sz w:val="20"/>
          <w:szCs w:val="20"/>
          <w:color w:val="auto"/>
        </w:rPr>
      </w:pPr>
      <w:r>
        <w:rPr>
          <w:rFonts w:ascii="Arial" w:cs="Arial" w:eastAsia="Arial" w:hAnsi="Arial"/>
          <w:sz w:val="21"/>
          <w:szCs w:val="21"/>
          <w:color w:val="auto"/>
        </w:rPr>
        <w:t>Bayview Financial Holdings, L.P. (together with its affiliates, "Bayview Financial"), a privately-held specialty finance company, is BLG's majority investor. In addition to their common investment in BLG, the Company and Bayview Financial conduct other business activities with each other. The Company has obtained loan servicing rights for mortgage loans from BLG and Bayview Financial having outstanding principal balances of $2.1 billion and $2.2 billion at March 31, 2020 and December 31, 2019, respectively. Revenues from those servicing rights were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NOTES TO FINANCIAL STATEMENTS, CONTINUED</w:t>
      </w:r>
    </w:p>
    <w:p>
      <w:pPr>
        <w:spacing w:after="0" w:line="32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14. Relationship with Bayview Lending Group LLC and Bayview Financial Holdings, L.P., continued</w:t>
      </w:r>
    </w:p>
    <w:p>
      <w:pPr>
        <w:spacing w:after="0" w:line="115" w:lineRule="exact"/>
        <w:rPr>
          <w:sz w:val="20"/>
          <w:szCs w:val="20"/>
          <w:color w:val="auto"/>
        </w:rPr>
      </w:pPr>
    </w:p>
    <w:p>
      <w:pPr>
        <w:jc w:val="both"/>
        <w:ind w:right="100"/>
        <w:spacing w:after="0" w:line="276" w:lineRule="auto"/>
        <w:rPr>
          <w:sz w:val="20"/>
          <w:szCs w:val="20"/>
          <w:color w:val="auto"/>
        </w:rPr>
      </w:pPr>
      <w:r>
        <w:rPr>
          <w:rFonts w:ascii="Arial" w:cs="Arial" w:eastAsia="Arial" w:hAnsi="Arial"/>
          <w:sz w:val="19"/>
          <w:szCs w:val="19"/>
          <w:color w:val="auto"/>
        </w:rPr>
        <w:t>$3 million for each of the three-month periods ended March 31, 2020 and 2019. The Company sub-services residential mortgage loans for Bayview Financial having outstanding principal balances of $61.9 billion and $62.8 billion at March 31, 2020 and December 31, 2019, respectively. Revenues earned for sub-servicing loans for Bayview Financial were $37 million and $28 million for the three-month periods ended March 31, 2020 and 2019, respectively. In addition, the Company held $90 million and $93 million of mortgage-backed securities in its held-to-maturity portfolio at March 31, 2020 and December 31, 2019, respectively, that were securitized by Bayview Financial. At March 31, 2020, the Company held $85 million of Bayview Financial’s $690 million syndicated loan facility.</w:t>
      </w:r>
    </w:p>
    <w:p>
      <w:pPr>
        <w:spacing w:after="0" w:line="15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15. Recent accounting developments</w:t>
      </w:r>
    </w:p>
    <w:p>
      <w:pPr>
        <w:spacing w:after="0" w:line="223" w:lineRule="exact"/>
        <w:rPr>
          <w:sz w:val="20"/>
          <w:szCs w:val="20"/>
          <w:color w:val="auto"/>
        </w:rPr>
      </w:pPr>
    </w:p>
    <w:p>
      <w:pPr>
        <w:jc w:val="both"/>
        <w:ind w:right="100"/>
        <w:spacing w:after="0" w:line="263" w:lineRule="auto"/>
        <w:rPr>
          <w:sz w:val="20"/>
          <w:szCs w:val="20"/>
          <w:color w:val="auto"/>
        </w:rPr>
      </w:pPr>
      <w:r>
        <w:rPr>
          <w:rFonts w:ascii="Arial" w:cs="Arial" w:eastAsia="Arial" w:hAnsi="Arial"/>
          <w:sz w:val="21"/>
          <w:szCs w:val="21"/>
          <w:color w:val="auto"/>
        </w:rPr>
        <w:t>The following table provides a description of accounting standards that were adopted by the Company in 2020 as well as standards that are not effective that could have an impact to M&amp;T’s consolidated financial statements upon adoption.</w:t>
      </w:r>
    </w:p>
    <w:p>
      <w:pPr>
        <w:spacing w:after="0" w:line="57" w:lineRule="exact"/>
        <w:rPr>
          <w:sz w:val="20"/>
          <w:szCs w:val="20"/>
          <w:color w:val="auto"/>
        </w:rPr>
      </w:pPr>
    </w:p>
    <w:tbl>
      <w:tblPr>
        <w:tblLayout w:type="fixed"/>
        <w:tblInd w:w="10" w:type="dxa"/>
        <w:tblCellMar>
          <w:top w:w="0" w:type="dxa"/>
          <w:left w:w="0" w:type="dxa"/>
          <w:bottom w:w="0" w:type="dxa"/>
          <w:right w:w="0" w:type="dxa"/>
        </w:tblCellMar>
      </w:tblPr>
      <w:tr>
        <w:trPr>
          <w:trHeight w:val="139"/>
        </w:trPr>
        <w:tc>
          <w:tcPr>
            <w:tcW w:w="1680" w:type="dxa"/>
            <w:vAlign w:val="bottom"/>
            <w:tcBorders>
              <w:top w:val="single" w:sz="8" w:color="auto"/>
              <w:left w:val="single" w:sz="8" w:color="auto"/>
              <w:right w:val="single" w:sz="8" w:color="auto"/>
            </w:tcBorders>
            <w:vMerge w:val="restart"/>
          </w:tcPr>
          <w:p>
            <w:pPr>
              <w:ind w:left="540"/>
              <w:spacing w:after="0"/>
              <w:rPr>
                <w:sz w:val="20"/>
                <w:szCs w:val="20"/>
                <w:color w:val="auto"/>
              </w:rPr>
            </w:pPr>
            <w:r>
              <w:rPr>
                <w:rFonts w:ascii="Arial" w:cs="Arial" w:eastAsia="Arial" w:hAnsi="Arial"/>
                <w:sz w:val="14"/>
                <w:szCs w:val="14"/>
                <w:b w:val="1"/>
                <w:bCs w:val="1"/>
                <w:color w:val="auto"/>
              </w:rPr>
              <w:t>Standard</w:t>
            </w:r>
          </w:p>
        </w:tc>
        <w:tc>
          <w:tcPr>
            <w:tcW w:w="3860" w:type="dxa"/>
            <w:vAlign w:val="bottom"/>
            <w:tcBorders>
              <w:top w:val="single" w:sz="8" w:color="auto"/>
              <w:right w:val="single" w:sz="8" w:color="auto"/>
            </w:tcBorders>
            <w:vMerge w:val="restart"/>
          </w:tcPr>
          <w:p>
            <w:pPr>
              <w:ind w:left="1560"/>
              <w:spacing w:after="0"/>
              <w:rPr>
                <w:sz w:val="20"/>
                <w:szCs w:val="20"/>
                <w:color w:val="auto"/>
              </w:rPr>
            </w:pPr>
            <w:r>
              <w:rPr>
                <w:rFonts w:ascii="Arial" w:cs="Arial" w:eastAsia="Arial" w:hAnsi="Arial"/>
                <w:sz w:val="14"/>
                <w:szCs w:val="14"/>
                <w:b w:val="1"/>
                <w:bCs w:val="1"/>
                <w:color w:val="auto"/>
              </w:rPr>
              <w:t>Description</w:t>
            </w:r>
          </w:p>
        </w:tc>
        <w:tc>
          <w:tcPr>
            <w:tcW w:w="1500" w:type="dxa"/>
            <w:vAlign w:val="bottom"/>
            <w:tcBorders>
              <w:top w:val="single" w:sz="8" w:color="auto"/>
              <w:right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92"/>
              </w:rPr>
              <w:t>Required date</w:t>
            </w:r>
          </w:p>
        </w:tc>
        <w:tc>
          <w:tcPr>
            <w:tcW w:w="4300" w:type="dxa"/>
            <w:vAlign w:val="bottom"/>
            <w:tcBorders>
              <w:top w:val="single" w:sz="8" w:color="auto"/>
            </w:tcBorders>
            <w:vMerge w:val="restart"/>
          </w:tcPr>
          <w:p>
            <w:pPr>
              <w:ind w:left="760"/>
              <w:spacing w:after="0"/>
              <w:rPr>
                <w:sz w:val="20"/>
                <w:szCs w:val="20"/>
                <w:color w:val="auto"/>
              </w:rPr>
            </w:pPr>
            <w:r>
              <w:rPr>
                <w:rFonts w:ascii="Arial" w:cs="Arial" w:eastAsia="Arial" w:hAnsi="Arial"/>
                <w:sz w:val="14"/>
                <w:szCs w:val="14"/>
                <w:b w:val="1"/>
                <w:bCs w:val="1"/>
                <w:color w:val="auto"/>
              </w:rPr>
              <w:t>Effect on consolidated financial statements</w:t>
            </w:r>
          </w:p>
        </w:tc>
        <w:tc>
          <w:tcPr>
            <w:tcW w:w="0" w:type="dxa"/>
            <w:vAlign w:val="bottom"/>
          </w:tcPr>
          <w:p>
            <w:pPr>
              <w:spacing w:after="0"/>
              <w:rPr>
                <w:sz w:val="1"/>
                <w:szCs w:val="1"/>
                <w:color w:val="auto"/>
              </w:rPr>
            </w:pPr>
          </w:p>
        </w:tc>
      </w:tr>
      <w:tr>
        <w:trPr>
          <w:trHeight w:val="171"/>
        </w:trPr>
        <w:tc>
          <w:tcPr>
            <w:tcW w:w="168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3860" w:type="dxa"/>
            <w:vAlign w:val="bottom"/>
            <w:tcBorders>
              <w:bottom w:val="single" w:sz="8" w:color="auto"/>
              <w:right w:val="single" w:sz="8" w:color="auto"/>
            </w:tcBorders>
            <w:vMerge w:val="continue"/>
          </w:tcPr>
          <w:p>
            <w:pPr>
              <w:spacing w:after="0"/>
              <w:rPr>
                <w:sz w:val="14"/>
                <w:szCs w:val="14"/>
                <w:color w:val="auto"/>
              </w:rPr>
            </w:pP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of adoption</w:t>
            </w:r>
          </w:p>
        </w:tc>
        <w:tc>
          <w:tcPr>
            <w:tcW w:w="43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540" w:type="dxa"/>
            <w:vAlign w:val="bottom"/>
            <w:tcBorders>
              <w:left w:val="single" w:sz="8" w:color="auto"/>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Standards Adopted in 2020</w:t>
            </w:r>
          </w:p>
        </w:tc>
        <w:tc>
          <w:tcPr>
            <w:tcW w:w="1500" w:type="dxa"/>
            <w:vAlign w:val="bottom"/>
            <w:tcBorders>
              <w:bottom w:val="single" w:sz="8" w:color="auto"/>
            </w:tcBorders>
          </w:tcPr>
          <w:p>
            <w:pPr>
              <w:spacing w:after="0"/>
              <w:rPr>
                <w:sz w:val="19"/>
                <w:szCs w:val="19"/>
                <w:color w:val="auto"/>
              </w:rPr>
            </w:pPr>
          </w:p>
        </w:tc>
        <w:tc>
          <w:tcPr>
            <w:tcW w:w="43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1680" w:type="dxa"/>
            <w:vAlign w:val="bottom"/>
            <w:tcBorders>
              <w:left w:val="single" w:sz="8" w:color="auto"/>
              <w:right w:val="single" w:sz="8" w:color="auto"/>
            </w:tcBorders>
            <w:shd w:val="clear" w:color="auto" w:fill="CFF0FC"/>
          </w:tcPr>
          <w:p>
            <w:pPr>
              <w:ind w:left="160"/>
              <w:spacing w:after="0"/>
              <w:rPr>
                <w:sz w:val="20"/>
                <w:szCs w:val="20"/>
                <w:color w:val="auto"/>
              </w:rPr>
            </w:pPr>
            <w:r>
              <w:rPr>
                <w:rFonts w:ascii="Arial" w:cs="Arial" w:eastAsia="Arial" w:hAnsi="Arial"/>
                <w:sz w:val="14"/>
                <w:szCs w:val="14"/>
                <w:color w:val="auto"/>
              </w:rPr>
              <w:t>Measurement of Credit</w:t>
            </w:r>
          </w:p>
        </w:tc>
        <w:tc>
          <w:tcPr>
            <w:tcW w:w="3860" w:type="dxa"/>
            <w:vAlign w:val="bottom"/>
            <w:tcBorders>
              <w:right w:val="single" w:sz="8" w:color="auto"/>
            </w:tcBorders>
            <w:shd w:val="clear" w:color="auto" w:fill="CFF0FC"/>
          </w:tcPr>
          <w:p>
            <w:pPr>
              <w:ind w:left="100"/>
              <w:spacing w:after="0"/>
              <w:rPr>
                <w:sz w:val="20"/>
                <w:szCs w:val="20"/>
                <w:color w:val="auto"/>
              </w:rPr>
            </w:pPr>
            <w:r>
              <w:rPr>
                <w:rFonts w:ascii="Arial" w:cs="Arial" w:eastAsia="Arial" w:hAnsi="Arial"/>
                <w:sz w:val="14"/>
                <w:szCs w:val="14"/>
                <w:color w:val="auto"/>
                <w:w w:val="99"/>
              </w:rPr>
              <w:t>The amended guidance replaces the incurred loss model for</w:t>
            </w:r>
          </w:p>
        </w:tc>
        <w:tc>
          <w:tcPr>
            <w:tcW w:w="1500" w:type="dxa"/>
            <w:vAlign w:val="bottom"/>
            <w:tcBorders>
              <w:right w:val="single" w:sz="8" w:color="auto"/>
            </w:tcBorders>
            <w:shd w:val="clear" w:color="auto" w:fill="CFF0FC"/>
          </w:tcPr>
          <w:p>
            <w:pPr>
              <w:jc w:val="center"/>
              <w:spacing w:after="0"/>
              <w:rPr>
                <w:sz w:val="20"/>
                <w:szCs w:val="20"/>
                <w:color w:val="auto"/>
              </w:rPr>
            </w:pPr>
            <w:r>
              <w:rPr>
                <w:rFonts w:ascii="Arial" w:cs="Arial" w:eastAsia="Arial" w:hAnsi="Arial"/>
                <w:sz w:val="14"/>
                <w:szCs w:val="14"/>
                <w:color w:val="auto"/>
                <w:w w:val="89"/>
              </w:rPr>
              <w:t>January 1, 2020</w:t>
            </w:r>
          </w:p>
        </w:tc>
        <w:tc>
          <w:tcPr>
            <w:tcW w:w="4300" w:type="dxa"/>
            <w:vAlign w:val="bottom"/>
            <w:shd w:val="clear" w:color="auto" w:fill="CFF0FC"/>
          </w:tcPr>
          <w:p>
            <w:pPr>
              <w:ind w:left="80"/>
              <w:spacing w:after="0"/>
              <w:rPr>
                <w:sz w:val="20"/>
                <w:szCs w:val="20"/>
                <w:color w:val="auto"/>
              </w:rPr>
            </w:pPr>
            <w:r>
              <w:rPr>
                <w:rFonts w:ascii="Arial" w:cs="Arial" w:eastAsia="Arial" w:hAnsi="Arial"/>
                <w:sz w:val="14"/>
                <w:szCs w:val="14"/>
                <w:color w:val="auto"/>
              </w:rPr>
              <w:t>The Company adopted the guidance on January 1, 2020. The</w:t>
            </w: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shd w:val="clear" w:color="auto" w:fill="CFF0FC"/>
          </w:tcPr>
          <w:p>
            <w:pPr>
              <w:ind w:left="160"/>
              <w:spacing w:after="0" w:line="149" w:lineRule="exact"/>
              <w:rPr>
                <w:sz w:val="20"/>
                <w:szCs w:val="20"/>
                <w:color w:val="auto"/>
              </w:rPr>
            </w:pPr>
            <w:r>
              <w:rPr>
                <w:rFonts w:ascii="Arial" w:cs="Arial" w:eastAsia="Arial" w:hAnsi="Arial"/>
                <w:sz w:val="14"/>
                <w:szCs w:val="14"/>
                <w:color w:val="auto"/>
              </w:rPr>
              <w:t>Losses on Financial</w:t>
            </w:r>
          </w:p>
        </w:tc>
        <w:tc>
          <w:tcPr>
            <w:tcW w:w="386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rPr>
              <w:t>determining the allowance for credit losses. The guidance</w:t>
            </w:r>
          </w:p>
        </w:tc>
        <w:tc>
          <w:tcPr>
            <w:tcW w:w="1500" w:type="dxa"/>
            <w:vAlign w:val="bottom"/>
            <w:tcBorders>
              <w:right w:val="single" w:sz="8" w:color="auto"/>
            </w:tcBorders>
            <w:shd w:val="clear" w:color="auto" w:fill="CFF0FC"/>
          </w:tcPr>
          <w:p>
            <w:pPr>
              <w:spacing w:after="0"/>
              <w:rPr>
                <w:sz w:val="12"/>
                <w:szCs w:val="12"/>
                <w:color w:val="auto"/>
              </w:rPr>
            </w:pPr>
          </w:p>
        </w:tc>
        <w:tc>
          <w:tcPr>
            <w:tcW w:w="4300" w:type="dxa"/>
            <w:vAlign w:val="bottom"/>
            <w:shd w:val="clear" w:color="auto" w:fill="CFF0FC"/>
          </w:tcPr>
          <w:p>
            <w:pPr>
              <w:ind w:left="80"/>
              <w:spacing w:after="0" w:line="149" w:lineRule="exact"/>
              <w:rPr>
                <w:sz w:val="20"/>
                <w:szCs w:val="20"/>
                <w:color w:val="auto"/>
              </w:rPr>
            </w:pPr>
            <w:r>
              <w:rPr>
                <w:rFonts w:ascii="Arial" w:cs="Arial" w:eastAsia="Arial" w:hAnsi="Arial"/>
                <w:sz w:val="14"/>
                <w:szCs w:val="14"/>
                <w:color w:val="auto"/>
              </w:rPr>
              <w:t>Company’s approach for estimating current expected credit losses</w:t>
            </w: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shd w:val="clear" w:color="auto" w:fill="CFF0FC"/>
          </w:tcPr>
          <w:p>
            <w:pPr>
              <w:ind w:left="160"/>
              <w:spacing w:after="0" w:line="149" w:lineRule="exact"/>
              <w:rPr>
                <w:sz w:val="20"/>
                <w:szCs w:val="20"/>
                <w:color w:val="auto"/>
              </w:rPr>
            </w:pPr>
            <w:r>
              <w:rPr>
                <w:rFonts w:ascii="Arial" w:cs="Arial" w:eastAsia="Arial" w:hAnsi="Arial"/>
                <w:sz w:val="14"/>
                <w:szCs w:val="14"/>
                <w:color w:val="auto"/>
              </w:rPr>
              <w:t>Instruments</w:t>
            </w:r>
          </w:p>
        </w:tc>
        <w:tc>
          <w:tcPr>
            <w:tcW w:w="386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rPr>
              <w:t>requires financial assets measured at amortized cost to be</w:t>
            </w:r>
          </w:p>
        </w:tc>
        <w:tc>
          <w:tcPr>
            <w:tcW w:w="1500" w:type="dxa"/>
            <w:vAlign w:val="bottom"/>
            <w:tcBorders>
              <w:right w:val="single" w:sz="8" w:color="auto"/>
            </w:tcBorders>
            <w:shd w:val="clear" w:color="auto" w:fill="CFF0FC"/>
          </w:tcPr>
          <w:p>
            <w:pPr>
              <w:spacing w:after="0"/>
              <w:rPr>
                <w:sz w:val="12"/>
                <w:szCs w:val="12"/>
                <w:color w:val="auto"/>
              </w:rPr>
            </w:pPr>
          </w:p>
        </w:tc>
        <w:tc>
          <w:tcPr>
            <w:tcW w:w="4300" w:type="dxa"/>
            <w:vAlign w:val="bottom"/>
            <w:shd w:val="clear" w:color="auto" w:fill="CFF0FC"/>
          </w:tcPr>
          <w:p>
            <w:pPr>
              <w:ind w:left="80"/>
              <w:spacing w:after="0" w:line="149" w:lineRule="exact"/>
              <w:rPr>
                <w:sz w:val="20"/>
                <w:szCs w:val="20"/>
                <w:color w:val="auto"/>
              </w:rPr>
            </w:pPr>
            <w:r>
              <w:rPr>
                <w:rFonts w:ascii="Arial" w:cs="Arial" w:eastAsia="Arial" w:hAnsi="Arial"/>
                <w:sz w:val="14"/>
                <w:szCs w:val="14"/>
                <w:color w:val="auto"/>
              </w:rPr>
              <w:t>for loans includes utilizing macro-economic assumptions to project</w:t>
            </w: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86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rPr>
              <w:t>presented at the net amount expected to be collected. The</w:t>
            </w:r>
          </w:p>
        </w:tc>
        <w:tc>
          <w:tcPr>
            <w:tcW w:w="1500" w:type="dxa"/>
            <w:vAlign w:val="bottom"/>
            <w:tcBorders>
              <w:right w:val="single" w:sz="8" w:color="auto"/>
            </w:tcBorders>
            <w:shd w:val="clear" w:color="auto" w:fill="CFF0FC"/>
          </w:tcPr>
          <w:p>
            <w:pPr>
              <w:spacing w:after="0"/>
              <w:rPr>
                <w:sz w:val="12"/>
                <w:szCs w:val="12"/>
                <w:color w:val="auto"/>
              </w:rPr>
            </w:pPr>
          </w:p>
        </w:tc>
        <w:tc>
          <w:tcPr>
            <w:tcW w:w="4300" w:type="dxa"/>
            <w:vAlign w:val="bottom"/>
            <w:shd w:val="clear" w:color="auto" w:fill="CFF0FC"/>
          </w:tcPr>
          <w:p>
            <w:pPr>
              <w:ind w:left="80"/>
              <w:spacing w:after="0" w:line="149" w:lineRule="exact"/>
              <w:rPr>
                <w:sz w:val="20"/>
                <w:szCs w:val="20"/>
                <w:color w:val="auto"/>
              </w:rPr>
            </w:pPr>
            <w:r>
              <w:rPr>
                <w:rFonts w:ascii="Arial" w:cs="Arial" w:eastAsia="Arial" w:hAnsi="Arial"/>
                <w:sz w:val="14"/>
                <w:szCs w:val="14"/>
                <w:color w:val="auto"/>
              </w:rPr>
              <w:t>losses over a two-year reasonable and supportable forecast</w:t>
            </w: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86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w w:val="99"/>
              </w:rPr>
              <w:t>allowance for credit losses will represent a valuation account</w:t>
            </w:r>
          </w:p>
        </w:tc>
        <w:tc>
          <w:tcPr>
            <w:tcW w:w="1500" w:type="dxa"/>
            <w:vAlign w:val="bottom"/>
            <w:tcBorders>
              <w:right w:val="single" w:sz="8" w:color="auto"/>
            </w:tcBorders>
            <w:shd w:val="clear" w:color="auto" w:fill="CFF0FC"/>
          </w:tcPr>
          <w:p>
            <w:pPr>
              <w:spacing w:after="0"/>
              <w:rPr>
                <w:sz w:val="12"/>
                <w:szCs w:val="12"/>
                <w:color w:val="auto"/>
              </w:rPr>
            </w:pPr>
          </w:p>
        </w:tc>
        <w:tc>
          <w:tcPr>
            <w:tcW w:w="4300" w:type="dxa"/>
            <w:vAlign w:val="bottom"/>
            <w:shd w:val="clear" w:color="auto" w:fill="CFF0FC"/>
          </w:tcPr>
          <w:p>
            <w:pPr>
              <w:ind w:left="80"/>
              <w:spacing w:after="0" w:line="149" w:lineRule="exact"/>
              <w:rPr>
                <w:sz w:val="20"/>
                <w:szCs w:val="20"/>
                <w:color w:val="auto"/>
              </w:rPr>
            </w:pPr>
            <w:r>
              <w:rPr>
                <w:rFonts w:ascii="Arial" w:cs="Arial" w:eastAsia="Arial" w:hAnsi="Arial"/>
                <w:sz w:val="14"/>
                <w:szCs w:val="14"/>
                <w:color w:val="auto"/>
              </w:rPr>
              <w:t>period. Subsequent to the forecast period, the Company reverts to</w:t>
            </w: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86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w w:val="97"/>
              </w:rPr>
              <w:t>that is deducted from the amortized cost basis of the financial</w:t>
            </w:r>
          </w:p>
        </w:tc>
        <w:tc>
          <w:tcPr>
            <w:tcW w:w="1500" w:type="dxa"/>
            <w:vAlign w:val="bottom"/>
            <w:tcBorders>
              <w:right w:val="single" w:sz="8" w:color="auto"/>
            </w:tcBorders>
            <w:shd w:val="clear" w:color="auto" w:fill="CFF0FC"/>
          </w:tcPr>
          <w:p>
            <w:pPr>
              <w:spacing w:after="0"/>
              <w:rPr>
                <w:sz w:val="12"/>
                <w:szCs w:val="12"/>
                <w:color w:val="auto"/>
              </w:rPr>
            </w:pPr>
          </w:p>
        </w:tc>
        <w:tc>
          <w:tcPr>
            <w:tcW w:w="4300" w:type="dxa"/>
            <w:vAlign w:val="bottom"/>
            <w:shd w:val="clear" w:color="auto" w:fill="CFF0FC"/>
          </w:tcPr>
          <w:p>
            <w:pPr>
              <w:ind w:left="80"/>
              <w:spacing w:after="0" w:line="149" w:lineRule="exact"/>
              <w:rPr>
                <w:sz w:val="20"/>
                <w:szCs w:val="20"/>
                <w:color w:val="auto"/>
              </w:rPr>
            </w:pPr>
            <w:r>
              <w:rPr>
                <w:rFonts w:ascii="Arial" w:cs="Arial" w:eastAsia="Arial" w:hAnsi="Arial"/>
                <w:sz w:val="14"/>
                <w:szCs w:val="14"/>
                <w:color w:val="auto"/>
              </w:rPr>
              <w:t>longer term historical loss experience to estimate expected credit</w:t>
            </w: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86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rPr>
              <w:t>assets to present their net carrying value at the amount</w:t>
            </w:r>
          </w:p>
        </w:tc>
        <w:tc>
          <w:tcPr>
            <w:tcW w:w="1500" w:type="dxa"/>
            <w:vAlign w:val="bottom"/>
            <w:tcBorders>
              <w:right w:val="single" w:sz="8" w:color="auto"/>
            </w:tcBorders>
            <w:shd w:val="clear" w:color="auto" w:fill="CFF0FC"/>
          </w:tcPr>
          <w:p>
            <w:pPr>
              <w:spacing w:after="0"/>
              <w:rPr>
                <w:sz w:val="12"/>
                <w:szCs w:val="12"/>
                <w:color w:val="auto"/>
              </w:rPr>
            </w:pPr>
          </w:p>
        </w:tc>
        <w:tc>
          <w:tcPr>
            <w:tcW w:w="4300" w:type="dxa"/>
            <w:vAlign w:val="bottom"/>
            <w:shd w:val="clear" w:color="auto" w:fill="CFF0FC"/>
          </w:tcPr>
          <w:p>
            <w:pPr>
              <w:ind w:left="80"/>
              <w:spacing w:after="0" w:line="149" w:lineRule="exact"/>
              <w:rPr>
                <w:sz w:val="20"/>
                <w:szCs w:val="20"/>
                <w:color w:val="auto"/>
              </w:rPr>
            </w:pPr>
            <w:r>
              <w:rPr>
                <w:rFonts w:ascii="Arial" w:cs="Arial" w:eastAsia="Arial" w:hAnsi="Arial"/>
                <w:sz w:val="14"/>
                <w:szCs w:val="14"/>
                <w:color w:val="auto"/>
              </w:rPr>
              <w:t>losses over the remaining contractual life.</w:t>
            </w: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86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w w:val="96"/>
              </w:rPr>
              <w:t>expected to be collected. The income statement will reflect the</w:t>
            </w:r>
          </w:p>
        </w:tc>
        <w:tc>
          <w:tcPr>
            <w:tcW w:w="1500" w:type="dxa"/>
            <w:vAlign w:val="bottom"/>
            <w:tcBorders>
              <w:right w:val="single" w:sz="8" w:color="auto"/>
            </w:tcBorders>
            <w:shd w:val="clear" w:color="auto" w:fill="CFF0FC"/>
          </w:tcPr>
          <w:p>
            <w:pPr>
              <w:spacing w:after="0"/>
              <w:rPr>
                <w:sz w:val="12"/>
                <w:szCs w:val="12"/>
                <w:color w:val="auto"/>
              </w:rPr>
            </w:pPr>
          </w:p>
        </w:tc>
        <w:tc>
          <w:tcPr>
            <w:tcW w:w="43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86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rPr>
              <w:t>measurement of credit losses for newly recognized financial</w:t>
            </w:r>
          </w:p>
        </w:tc>
        <w:tc>
          <w:tcPr>
            <w:tcW w:w="1500" w:type="dxa"/>
            <w:vAlign w:val="bottom"/>
            <w:tcBorders>
              <w:right w:val="single" w:sz="8" w:color="auto"/>
            </w:tcBorders>
            <w:shd w:val="clear" w:color="auto" w:fill="CFF0FC"/>
          </w:tcPr>
          <w:p>
            <w:pPr>
              <w:spacing w:after="0"/>
              <w:rPr>
                <w:sz w:val="12"/>
                <w:szCs w:val="12"/>
                <w:color w:val="auto"/>
              </w:rPr>
            </w:pPr>
          </w:p>
        </w:tc>
        <w:tc>
          <w:tcPr>
            <w:tcW w:w="4300" w:type="dxa"/>
            <w:vAlign w:val="bottom"/>
            <w:shd w:val="clear" w:color="auto" w:fill="CFF0FC"/>
          </w:tcPr>
          <w:p>
            <w:pPr>
              <w:ind w:left="80"/>
              <w:spacing w:after="0" w:line="149" w:lineRule="exact"/>
              <w:rPr>
                <w:sz w:val="20"/>
                <w:szCs w:val="20"/>
                <w:color w:val="auto"/>
              </w:rPr>
            </w:pPr>
            <w:r>
              <w:rPr>
                <w:rFonts w:ascii="Arial" w:cs="Arial" w:eastAsia="Arial" w:hAnsi="Arial"/>
                <w:sz w:val="14"/>
                <w:szCs w:val="14"/>
                <w:color w:val="auto"/>
              </w:rPr>
              <w:t>Based on portfolio composition, current economic conditions, and</w:t>
            </w: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86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w w:val="95"/>
              </w:rPr>
              <w:t>assets as well as expected increases or decreases of expected</w:t>
            </w:r>
          </w:p>
        </w:tc>
        <w:tc>
          <w:tcPr>
            <w:tcW w:w="1500" w:type="dxa"/>
            <w:vAlign w:val="bottom"/>
            <w:tcBorders>
              <w:right w:val="single" w:sz="8" w:color="auto"/>
            </w:tcBorders>
            <w:shd w:val="clear" w:color="auto" w:fill="CFF0FC"/>
          </w:tcPr>
          <w:p>
            <w:pPr>
              <w:spacing w:after="0"/>
              <w:rPr>
                <w:sz w:val="12"/>
                <w:szCs w:val="12"/>
                <w:color w:val="auto"/>
              </w:rPr>
            </w:pPr>
          </w:p>
        </w:tc>
        <w:tc>
          <w:tcPr>
            <w:tcW w:w="4300" w:type="dxa"/>
            <w:vAlign w:val="bottom"/>
            <w:shd w:val="clear" w:color="auto" w:fill="CFF0FC"/>
          </w:tcPr>
          <w:p>
            <w:pPr>
              <w:ind w:left="80"/>
              <w:spacing w:after="0" w:line="149" w:lineRule="exact"/>
              <w:rPr>
                <w:sz w:val="20"/>
                <w:szCs w:val="20"/>
                <w:color w:val="auto"/>
              </w:rPr>
            </w:pPr>
            <w:r>
              <w:rPr>
                <w:rFonts w:ascii="Arial" w:cs="Arial" w:eastAsia="Arial" w:hAnsi="Arial"/>
                <w:sz w:val="14"/>
                <w:szCs w:val="14"/>
                <w:color w:val="auto"/>
              </w:rPr>
              <w:t>reasonable and supportable forecasts of future conditions, the</w:t>
            </w: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86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rPr>
              <w:t>credit losses that have taken place during the period. When</w:t>
            </w:r>
          </w:p>
        </w:tc>
        <w:tc>
          <w:tcPr>
            <w:tcW w:w="1500" w:type="dxa"/>
            <w:vAlign w:val="bottom"/>
            <w:tcBorders>
              <w:right w:val="single" w:sz="8" w:color="auto"/>
            </w:tcBorders>
            <w:shd w:val="clear" w:color="auto" w:fill="CFF0FC"/>
          </w:tcPr>
          <w:p>
            <w:pPr>
              <w:spacing w:after="0"/>
              <w:rPr>
                <w:sz w:val="12"/>
                <w:szCs w:val="12"/>
                <w:color w:val="auto"/>
              </w:rPr>
            </w:pPr>
          </w:p>
        </w:tc>
        <w:tc>
          <w:tcPr>
            <w:tcW w:w="4300" w:type="dxa"/>
            <w:vAlign w:val="bottom"/>
            <w:shd w:val="clear" w:color="auto" w:fill="CFF0FC"/>
          </w:tcPr>
          <w:p>
            <w:pPr>
              <w:ind w:left="80"/>
              <w:spacing w:after="0" w:line="149" w:lineRule="exact"/>
              <w:rPr>
                <w:sz w:val="20"/>
                <w:szCs w:val="20"/>
                <w:color w:val="auto"/>
              </w:rPr>
            </w:pPr>
            <w:r>
              <w:rPr>
                <w:rFonts w:ascii="Arial" w:cs="Arial" w:eastAsia="Arial" w:hAnsi="Arial"/>
                <w:sz w:val="14"/>
                <w:szCs w:val="14"/>
                <w:color w:val="auto"/>
              </w:rPr>
              <w:t>Company recognized an increase to the allowance for credit losses</w:t>
            </w: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86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rPr>
              <w:t>determining the allowance, expected credit losses over the</w:t>
            </w:r>
          </w:p>
        </w:tc>
        <w:tc>
          <w:tcPr>
            <w:tcW w:w="1500" w:type="dxa"/>
            <w:vAlign w:val="bottom"/>
            <w:tcBorders>
              <w:right w:val="single" w:sz="8" w:color="auto"/>
            </w:tcBorders>
            <w:shd w:val="clear" w:color="auto" w:fill="CFF0FC"/>
          </w:tcPr>
          <w:p>
            <w:pPr>
              <w:spacing w:after="0"/>
              <w:rPr>
                <w:sz w:val="12"/>
                <w:szCs w:val="12"/>
                <w:color w:val="auto"/>
              </w:rPr>
            </w:pPr>
          </w:p>
        </w:tc>
        <w:tc>
          <w:tcPr>
            <w:tcW w:w="4300" w:type="dxa"/>
            <w:vAlign w:val="bottom"/>
            <w:shd w:val="clear" w:color="auto" w:fill="CFF0FC"/>
          </w:tcPr>
          <w:p>
            <w:pPr>
              <w:ind w:left="80"/>
              <w:spacing w:after="0" w:line="149" w:lineRule="exact"/>
              <w:rPr>
                <w:sz w:val="20"/>
                <w:szCs w:val="20"/>
                <w:color w:val="auto"/>
              </w:rPr>
            </w:pPr>
            <w:r>
              <w:rPr>
                <w:rFonts w:ascii="Arial" w:cs="Arial" w:eastAsia="Arial" w:hAnsi="Arial"/>
                <w:sz w:val="14"/>
                <w:szCs w:val="14"/>
                <w:color w:val="auto"/>
              </w:rPr>
              <w:t>of $132 million upon adoption of the standard as of January 1, 2020</w:t>
            </w: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86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w w:val="99"/>
              </w:rPr>
              <w:t>contractual term of the financial asset(s) (taking into account</w:t>
            </w:r>
          </w:p>
        </w:tc>
        <w:tc>
          <w:tcPr>
            <w:tcW w:w="1500" w:type="dxa"/>
            <w:vAlign w:val="bottom"/>
            <w:tcBorders>
              <w:right w:val="single" w:sz="8" w:color="auto"/>
            </w:tcBorders>
            <w:shd w:val="clear" w:color="auto" w:fill="CFF0FC"/>
          </w:tcPr>
          <w:p>
            <w:pPr>
              <w:spacing w:after="0"/>
              <w:rPr>
                <w:sz w:val="12"/>
                <w:szCs w:val="12"/>
                <w:color w:val="auto"/>
              </w:rPr>
            </w:pPr>
          </w:p>
        </w:tc>
        <w:tc>
          <w:tcPr>
            <w:tcW w:w="4300" w:type="dxa"/>
            <w:vAlign w:val="bottom"/>
            <w:shd w:val="clear" w:color="auto" w:fill="CFF0FC"/>
          </w:tcPr>
          <w:p>
            <w:pPr>
              <w:ind w:left="80"/>
              <w:spacing w:after="0" w:line="149" w:lineRule="exact"/>
              <w:rPr>
                <w:sz w:val="20"/>
                <w:szCs w:val="20"/>
                <w:color w:val="auto"/>
              </w:rPr>
            </w:pPr>
            <w:r>
              <w:rPr>
                <w:rFonts w:ascii="Arial" w:cs="Arial" w:eastAsia="Arial" w:hAnsi="Arial"/>
                <w:sz w:val="14"/>
                <w:szCs w:val="14"/>
                <w:color w:val="auto"/>
              </w:rPr>
              <w:t>as compared with the allowance for credit losses recognized on its</w:t>
            </w: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86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rPr>
              <w:t>prepayments) will be estimated considering relevant</w:t>
            </w:r>
          </w:p>
        </w:tc>
        <w:tc>
          <w:tcPr>
            <w:tcW w:w="1500" w:type="dxa"/>
            <w:vAlign w:val="bottom"/>
            <w:tcBorders>
              <w:right w:val="single" w:sz="8" w:color="auto"/>
            </w:tcBorders>
            <w:shd w:val="clear" w:color="auto" w:fill="CFF0FC"/>
          </w:tcPr>
          <w:p>
            <w:pPr>
              <w:spacing w:after="0"/>
              <w:rPr>
                <w:sz w:val="12"/>
                <w:szCs w:val="12"/>
                <w:color w:val="auto"/>
              </w:rPr>
            </w:pPr>
          </w:p>
        </w:tc>
        <w:tc>
          <w:tcPr>
            <w:tcW w:w="4300" w:type="dxa"/>
            <w:vAlign w:val="bottom"/>
            <w:shd w:val="clear" w:color="auto" w:fill="CFF0FC"/>
          </w:tcPr>
          <w:p>
            <w:pPr>
              <w:ind w:left="80"/>
              <w:spacing w:after="0" w:line="149" w:lineRule="exact"/>
              <w:rPr>
                <w:sz w:val="20"/>
                <w:szCs w:val="20"/>
                <w:color w:val="auto"/>
              </w:rPr>
            </w:pPr>
            <w:r>
              <w:rPr>
                <w:rFonts w:ascii="Arial" w:cs="Arial" w:eastAsia="Arial" w:hAnsi="Arial"/>
                <w:sz w:val="14"/>
                <w:szCs w:val="14"/>
                <w:color w:val="auto"/>
                <w:w w:val="99"/>
              </w:rPr>
              <w:t>consolidated balance sheet at December 31, 2019. The $132 million</w:t>
            </w: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86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rPr>
              <w:t>information about past events, current conditions, and</w:t>
            </w:r>
          </w:p>
        </w:tc>
        <w:tc>
          <w:tcPr>
            <w:tcW w:w="1500" w:type="dxa"/>
            <w:vAlign w:val="bottom"/>
            <w:tcBorders>
              <w:right w:val="single" w:sz="8" w:color="auto"/>
            </w:tcBorders>
            <w:shd w:val="clear" w:color="auto" w:fill="CFF0FC"/>
          </w:tcPr>
          <w:p>
            <w:pPr>
              <w:spacing w:after="0"/>
              <w:rPr>
                <w:sz w:val="12"/>
                <w:szCs w:val="12"/>
                <w:color w:val="auto"/>
              </w:rPr>
            </w:pPr>
          </w:p>
        </w:tc>
        <w:tc>
          <w:tcPr>
            <w:tcW w:w="4300" w:type="dxa"/>
            <w:vAlign w:val="bottom"/>
            <w:shd w:val="clear" w:color="auto" w:fill="CFF0FC"/>
          </w:tcPr>
          <w:p>
            <w:pPr>
              <w:ind w:left="80"/>
              <w:spacing w:after="0" w:line="149" w:lineRule="exact"/>
              <w:rPr>
                <w:sz w:val="20"/>
                <w:szCs w:val="20"/>
                <w:color w:val="auto"/>
              </w:rPr>
            </w:pPr>
            <w:r>
              <w:rPr>
                <w:rFonts w:ascii="Arial" w:cs="Arial" w:eastAsia="Arial" w:hAnsi="Arial"/>
                <w:sz w:val="14"/>
                <w:szCs w:val="14"/>
                <w:color w:val="auto"/>
              </w:rPr>
              <w:t>increase was recognized as a cumulative-effect adjustment to</w:t>
            </w: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86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rPr>
              <w:t>reasonable and supportable forecasts that affect the</w:t>
            </w:r>
          </w:p>
        </w:tc>
        <w:tc>
          <w:tcPr>
            <w:tcW w:w="1500" w:type="dxa"/>
            <w:vAlign w:val="bottom"/>
            <w:tcBorders>
              <w:right w:val="single" w:sz="8" w:color="auto"/>
            </w:tcBorders>
            <w:shd w:val="clear" w:color="auto" w:fill="CFF0FC"/>
          </w:tcPr>
          <w:p>
            <w:pPr>
              <w:spacing w:after="0"/>
              <w:rPr>
                <w:sz w:val="12"/>
                <w:szCs w:val="12"/>
                <w:color w:val="auto"/>
              </w:rPr>
            </w:pPr>
          </w:p>
        </w:tc>
        <w:tc>
          <w:tcPr>
            <w:tcW w:w="4300" w:type="dxa"/>
            <w:vAlign w:val="bottom"/>
            <w:shd w:val="clear" w:color="auto" w:fill="CFF0FC"/>
          </w:tcPr>
          <w:p>
            <w:pPr>
              <w:ind w:left="80"/>
              <w:spacing w:after="0" w:line="149" w:lineRule="exact"/>
              <w:rPr>
                <w:sz w:val="20"/>
                <w:szCs w:val="20"/>
                <w:color w:val="auto"/>
              </w:rPr>
            </w:pPr>
            <w:r>
              <w:rPr>
                <w:rFonts w:ascii="Arial" w:cs="Arial" w:eastAsia="Arial" w:hAnsi="Arial"/>
                <w:sz w:val="14"/>
                <w:szCs w:val="14"/>
                <w:color w:val="auto"/>
              </w:rPr>
              <w:t>retained earnings as of January 1, 2020.</w:t>
            </w: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86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rPr>
              <w:t>collectibility of the reported amount. The amended guidance</w:t>
            </w:r>
          </w:p>
        </w:tc>
        <w:tc>
          <w:tcPr>
            <w:tcW w:w="1500" w:type="dxa"/>
            <w:vAlign w:val="bottom"/>
            <w:tcBorders>
              <w:right w:val="single" w:sz="8" w:color="auto"/>
            </w:tcBorders>
            <w:shd w:val="clear" w:color="auto" w:fill="CFF0FC"/>
          </w:tcPr>
          <w:p>
            <w:pPr>
              <w:spacing w:after="0"/>
              <w:rPr>
                <w:sz w:val="12"/>
                <w:szCs w:val="12"/>
                <w:color w:val="auto"/>
              </w:rPr>
            </w:pPr>
          </w:p>
        </w:tc>
        <w:tc>
          <w:tcPr>
            <w:tcW w:w="43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86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rPr>
              <w:t>also requires recording an allowance for credit losses for</w:t>
            </w:r>
          </w:p>
        </w:tc>
        <w:tc>
          <w:tcPr>
            <w:tcW w:w="1500" w:type="dxa"/>
            <w:vAlign w:val="bottom"/>
            <w:tcBorders>
              <w:right w:val="single" w:sz="8" w:color="auto"/>
            </w:tcBorders>
            <w:shd w:val="clear" w:color="auto" w:fill="CFF0FC"/>
          </w:tcPr>
          <w:p>
            <w:pPr>
              <w:spacing w:after="0"/>
              <w:rPr>
                <w:sz w:val="12"/>
                <w:szCs w:val="12"/>
                <w:color w:val="auto"/>
              </w:rPr>
            </w:pPr>
          </w:p>
        </w:tc>
        <w:tc>
          <w:tcPr>
            <w:tcW w:w="4300" w:type="dxa"/>
            <w:vAlign w:val="bottom"/>
            <w:shd w:val="clear" w:color="auto" w:fill="CFF0FC"/>
          </w:tcPr>
          <w:p>
            <w:pPr>
              <w:ind w:left="80"/>
              <w:spacing w:after="0" w:line="149" w:lineRule="exact"/>
              <w:rPr>
                <w:sz w:val="20"/>
                <w:szCs w:val="20"/>
                <w:color w:val="auto"/>
              </w:rPr>
            </w:pPr>
            <w:r>
              <w:rPr>
                <w:rFonts w:ascii="Arial" w:cs="Arial" w:eastAsia="Arial" w:hAnsi="Arial"/>
                <w:sz w:val="14"/>
                <w:szCs w:val="14"/>
                <w:color w:val="auto"/>
              </w:rPr>
              <w:t>The effect on the allowance for credit losses was primarily</w:t>
            </w: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86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rPr>
              <w:t>purchased financial assets with a more-than-insignificant</w:t>
            </w:r>
          </w:p>
        </w:tc>
        <w:tc>
          <w:tcPr>
            <w:tcW w:w="1500" w:type="dxa"/>
            <w:vAlign w:val="bottom"/>
            <w:tcBorders>
              <w:right w:val="single" w:sz="8" w:color="auto"/>
            </w:tcBorders>
            <w:shd w:val="clear" w:color="auto" w:fill="CFF0FC"/>
          </w:tcPr>
          <w:p>
            <w:pPr>
              <w:spacing w:after="0"/>
              <w:rPr>
                <w:sz w:val="12"/>
                <w:szCs w:val="12"/>
                <w:color w:val="auto"/>
              </w:rPr>
            </w:pPr>
          </w:p>
        </w:tc>
        <w:tc>
          <w:tcPr>
            <w:tcW w:w="4300" w:type="dxa"/>
            <w:vAlign w:val="bottom"/>
            <w:shd w:val="clear" w:color="auto" w:fill="CFF0FC"/>
          </w:tcPr>
          <w:p>
            <w:pPr>
              <w:ind w:left="80"/>
              <w:spacing w:after="0" w:line="149" w:lineRule="exact"/>
              <w:rPr>
                <w:sz w:val="20"/>
                <w:szCs w:val="20"/>
                <w:color w:val="auto"/>
              </w:rPr>
            </w:pPr>
            <w:r>
              <w:rPr>
                <w:rFonts w:ascii="Arial" w:cs="Arial" w:eastAsia="Arial" w:hAnsi="Arial"/>
                <w:sz w:val="14"/>
                <w:szCs w:val="14"/>
                <w:color w:val="auto"/>
              </w:rPr>
              <w:t>attributable to increases in reserves for residential mortgage loans</w:t>
            </w: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86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rPr>
              <w:t>amount of credit deterioration since origination. The initial</w:t>
            </w:r>
          </w:p>
        </w:tc>
        <w:tc>
          <w:tcPr>
            <w:tcW w:w="1500" w:type="dxa"/>
            <w:vAlign w:val="bottom"/>
            <w:tcBorders>
              <w:right w:val="single" w:sz="8" w:color="auto"/>
            </w:tcBorders>
            <w:shd w:val="clear" w:color="auto" w:fill="CFF0FC"/>
          </w:tcPr>
          <w:p>
            <w:pPr>
              <w:spacing w:after="0"/>
              <w:rPr>
                <w:sz w:val="12"/>
                <w:szCs w:val="12"/>
                <w:color w:val="auto"/>
              </w:rPr>
            </w:pPr>
          </w:p>
        </w:tc>
        <w:tc>
          <w:tcPr>
            <w:tcW w:w="4300" w:type="dxa"/>
            <w:vAlign w:val="bottom"/>
            <w:shd w:val="clear" w:color="auto" w:fill="CFF0FC"/>
          </w:tcPr>
          <w:p>
            <w:pPr>
              <w:ind w:left="80"/>
              <w:spacing w:after="0" w:line="149" w:lineRule="exact"/>
              <w:rPr>
                <w:sz w:val="20"/>
                <w:szCs w:val="20"/>
                <w:color w:val="auto"/>
              </w:rPr>
            </w:pPr>
            <w:r>
              <w:rPr>
                <w:rFonts w:ascii="Arial" w:cs="Arial" w:eastAsia="Arial" w:hAnsi="Arial"/>
                <w:sz w:val="14"/>
                <w:szCs w:val="14"/>
                <w:color w:val="auto"/>
                <w:w w:val="99"/>
              </w:rPr>
              <w:t>and consumer loans, which generally have longer estimated lives as</w:t>
            </w: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86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w w:val="96"/>
              </w:rPr>
              <w:t>allowance for these assets will be added to the purchase price</w:t>
            </w:r>
          </w:p>
        </w:tc>
        <w:tc>
          <w:tcPr>
            <w:tcW w:w="1500" w:type="dxa"/>
            <w:vAlign w:val="bottom"/>
            <w:tcBorders>
              <w:right w:val="single" w:sz="8" w:color="auto"/>
            </w:tcBorders>
            <w:shd w:val="clear" w:color="auto" w:fill="CFF0FC"/>
          </w:tcPr>
          <w:p>
            <w:pPr>
              <w:spacing w:after="0"/>
              <w:rPr>
                <w:sz w:val="12"/>
                <w:szCs w:val="12"/>
                <w:color w:val="auto"/>
              </w:rPr>
            </w:pPr>
          </w:p>
        </w:tc>
        <w:tc>
          <w:tcPr>
            <w:tcW w:w="4300" w:type="dxa"/>
            <w:vAlign w:val="bottom"/>
            <w:shd w:val="clear" w:color="auto" w:fill="CFF0FC"/>
          </w:tcPr>
          <w:p>
            <w:pPr>
              <w:ind w:left="80"/>
              <w:spacing w:after="0" w:line="149" w:lineRule="exact"/>
              <w:rPr>
                <w:sz w:val="20"/>
                <w:szCs w:val="20"/>
                <w:color w:val="auto"/>
              </w:rPr>
            </w:pPr>
            <w:r>
              <w:rPr>
                <w:rFonts w:ascii="Arial" w:cs="Arial" w:eastAsia="Arial" w:hAnsi="Arial"/>
                <w:sz w:val="14"/>
                <w:szCs w:val="14"/>
                <w:color w:val="auto"/>
              </w:rPr>
              <w:t>compared with commercial and commercial real estate loans. The</w:t>
            </w: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86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rPr>
              <w:t>at acquisition rather than being reported as an</w:t>
            </w:r>
          </w:p>
        </w:tc>
        <w:tc>
          <w:tcPr>
            <w:tcW w:w="1500" w:type="dxa"/>
            <w:vAlign w:val="bottom"/>
            <w:tcBorders>
              <w:right w:val="single" w:sz="8" w:color="auto"/>
            </w:tcBorders>
            <w:shd w:val="clear" w:color="auto" w:fill="CFF0FC"/>
          </w:tcPr>
          <w:p>
            <w:pPr>
              <w:spacing w:after="0"/>
              <w:rPr>
                <w:sz w:val="12"/>
                <w:szCs w:val="12"/>
                <w:color w:val="auto"/>
              </w:rPr>
            </w:pPr>
          </w:p>
        </w:tc>
        <w:tc>
          <w:tcPr>
            <w:tcW w:w="4300" w:type="dxa"/>
            <w:vAlign w:val="bottom"/>
            <w:shd w:val="clear" w:color="auto" w:fill="CFF0FC"/>
          </w:tcPr>
          <w:p>
            <w:pPr>
              <w:ind w:left="80"/>
              <w:spacing w:after="0" w:line="149" w:lineRule="exact"/>
              <w:rPr>
                <w:sz w:val="20"/>
                <w:szCs w:val="20"/>
                <w:color w:val="auto"/>
              </w:rPr>
            </w:pPr>
            <w:r>
              <w:rPr>
                <w:rFonts w:ascii="Arial" w:cs="Arial" w:eastAsia="Arial" w:hAnsi="Arial"/>
                <w:sz w:val="14"/>
                <w:szCs w:val="14"/>
                <w:color w:val="auto"/>
              </w:rPr>
              <w:t>adoption did not have a material effect on the allowance for credit</w:t>
            </w: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86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rPr>
              <w:t>expense. Subsequent changes in the allowance will be</w:t>
            </w:r>
          </w:p>
        </w:tc>
        <w:tc>
          <w:tcPr>
            <w:tcW w:w="1500" w:type="dxa"/>
            <w:vAlign w:val="bottom"/>
            <w:tcBorders>
              <w:right w:val="single" w:sz="8" w:color="auto"/>
            </w:tcBorders>
            <w:shd w:val="clear" w:color="auto" w:fill="CFF0FC"/>
          </w:tcPr>
          <w:p>
            <w:pPr>
              <w:spacing w:after="0"/>
              <w:rPr>
                <w:sz w:val="12"/>
                <w:szCs w:val="12"/>
                <w:color w:val="auto"/>
              </w:rPr>
            </w:pPr>
          </w:p>
        </w:tc>
        <w:tc>
          <w:tcPr>
            <w:tcW w:w="4300" w:type="dxa"/>
            <w:vAlign w:val="bottom"/>
            <w:shd w:val="clear" w:color="auto" w:fill="CFF0FC"/>
          </w:tcPr>
          <w:p>
            <w:pPr>
              <w:ind w:left="80"/>
              <w:spacing w:after="0" w:line="149" w:lineRule="exact"/>
              <w:rPr>
                <w:sz w:val="20"/>
                <w:szCs w:val="20"/>
                <w:color w:val="auto"/>
              </w:rPr>
            </w:pPr>
            <w:r>
              <w:rPr>
                <w:rFonts w:ascii="Arial" w:cs="Arial" w:eastAsia="Arial" w:hAnsi="Arial"/>
                <w:sz w:val="14"/>
                <w:szCs w:val="14"/>
                <w:color w:val="auto"/>
              </w:rPr>
              <w:t>losses for debt securities.</w:t>
            </w: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86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w w:val="97"/>
              </w:rPr>
              <w:t>recorded in the income statement as an adjustment the to the</w:t>
            </w:r>
          </w:p>
        </w:tc>
        <w:tc>
          <w:tcPr>
            <w:tcW w:w="1500" w:type="dxa"/>
            <w:vAlign w:val="bottom"/>
            <w:tcBorders>
              <w:right w:val="single" w:sz="8" w:color="auto"/>
            </w:tcBorders>
            <w:shd w:val="clear" w:color="auto" w:fill="CFF0FC"/>
          </w:tcPr>
          <w:p>
            <w:pPr>
              <w:spacing w:after="0"/>
              <w:rPr>
                <w:sz w:val="12"/>
                <w:szCs w:val="12"/>
                <w:color w:val="auto"/>
              </w:rPr>
            </w:pPr>
          </w:p>
        </w:tc>
        <w:tc>
          <w:tcPr>
            <w:tcW w:w="43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86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w w:val="97"/>
              </w:rPr>
              <w:t>provision for credit losses. In addition, the amended guidance</w:t>
            </w:r>
          </w:p>
        </w:tc>
        <w:tc>
          <w:tcPr>
            <w:tcW w:w="1500" w:type="dxa"/>
            <w:vAlign w:val="bottom"/>
            <w:tcBorders>
              <w:right w:val="single" w:sz="8" w:color="auto"/>
            </w:tcBorders>
            <w:shd w:val="clear" w:color="auto" w:fill="CFF0FC"/>
          </w:tcPr>
          <w:p>
            <w:pPr>
              <w:spacing w:after="0"/>
              <w:rPr>
                <w:sz w:val="12"/>
                <w:szCs w:val="12"/>
                <w:color w:val="auto"/>
              </w:rPr>
            </w:pPr>
          </w:p>
        </w:tc>
        <w:tc>
          <w:tcPr>
            <w:tcW w:w="43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86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w w:val="96"/>
              </w:rPr>
              <w:t>requires credit losses relating to debt securities to be recorded</w:t>
            </w:r>
          </w:p>
        </w:tc>
        <w:tc>
          <w:tcPr>
            <w:tcW w:w="1500" w:type="dxa"/>
            <w:vAlign w:val="bottom"/>
            <w:tcBorders>
              <w:right w:val="single" w:sz="8" w:color="auto"/>
            </w:tcBorders>
            <w:shd w:val="clear" w:color="auto" w:fill="CFF0FC"/>
          </w:tcPr>
          <w:p>
            <w:pPr>
              <w:spacing w:after="0"/>
              <w:rPr>
                <w:sz w:val="12"/>
                <w:szCs w:val="12"/>
                <w:color w:val="auto"/>
              </w:rPr>
            </w:pPr>
          </w:p>
        </w:tc>
        <w:tc>
          <w:tcPr>
            <w:tcW w:w="43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680" w:type="dxa"/>
            <w:vAlign w:val="bottom"/>
            <w:tcBorders>
              <w:left w:val="single" w:sz="8" w:color="auto"/>
              <w:bottom w:val="single" w:sz="8" w:color="auto"/>
              <w:right w:val="single" w:sz="8" w:color="auto"/>
            </w:tcBorders>
            <w:shd w:val="clear" w:color="auto" w:fill="CFF0FC"/>
          </w:tcPr>
          <w:p>
            <w:pPr>
              <w:spacing w:after="0"/>
              <w:rPr>
                <w:sz w:val="14"/>
                <w:szCs w:val="14"/>
                <w:color w:val="auto"/>
              </w:rPr>
            </w:pPr>
          </w:p>
        </w:tc>
        <w:tc>
          <w:tcPr>
            <w:tcW w:w="3860" w:type="dxa"/>
            <w:vAlign w:val="bottom"/>
            <w:tcBorders>
              <w:bottom w:val="single" w:sz="8" w:color="auto"/>
              <w:right w:val="single" w:sz="8" w:color="auto"/>
            </w:tcBorders>
            <w:shd w:val="clear" w:color="auto" w:fill="CFF0FC"/>
          </w:tcPr>
          <w:p>
            <w:pPr>
              <w:ind w:left="100"/>
              <w:spacing w:after="0"/>
              <w:rPr>
                <w:sz w:val="20"/>
                <w:szCs w:val="20"/>
                <w:color w:val="auto"/>
              </w:rPr>
            </w:pPr>
            <w:r>
              <w:rPr>
                <w:rFonts w:ascii="Arial" w:cs="Arial" w:eastAsia="Arial" w:hAnsi="Arial"/>
                <w:sz w:val="14"/>
                <w:szCs w:val="14"/>
                <w:color w:val="auto"/>
              </w:rPr>
              <w:t>through an allowance for credit losses.</w:t>
            </w:r>
          </w:p>
        </w:tc>
        <w:tc>
          <w:tcPr>
            <w:tcW w:w="1500" w:type="dxa"/>
            <w:vAlign w:val="bottom"/>
            <w:tcBorders>
              <w:bottom w:val="single" w:sz="8" w:color="auto"/>
              <w:right w:val="single" w:sz="8" w:color="auto"/>
            </w:tcBorders>
            <w:shd w:val="clear" w:color="auto" w:fill="CFF0FC"/>
          </w:tcPr>
          <w:p>
            <w:pPr>
              <w:spacing w:after="0"/>
              <w:rPr>
                <w:sz w:val="14"/>
                <w:szCs w:val="14"/>
                <w:color w:val="auto"/>
              </w:rPr>
            </w:pPr>
          </w:p>
        </w:tc>
        <w:tc>
          <w:tcPr>
            <w:tcW w:w="4300" w:type="dxa"/>
            <w:vAlign w:val="bottom"/>
            <w:tcBorders>
              <w:bottom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71"/>
        </w:trPr>
        <w:tc>
          <w:tcPr>
            <w:tcW w:w="16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Simplifying the Test</w:t>
            </w:r>
          </w:p>
        </w:tc>
        <w:tc>
          <w:tcPr>
            <w:tcW w:w="386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The amended guidance eliminates step 2 from the goodwill</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9"/>
              </w:rPr>
              <w:t>January 1, 2020</w:t>
            </w:r>
          </w:p>
        </w:tc>
        <w:tc>
          <w:tcPr>
            <w:tcW w:w="4300" w:type="dxa"/>
            <w:vAlign w:val="bottom"/>
          </w:tcPr>
          <w:p>
            <w:pPr>
              <w:ind w:left="80"/>
              <w:spacing w:after="0"/>
              <w:rPr>
                <w:sz w:val="20"/>
                <w:szCs w:val="20"/>
                <w:color w:val="auto"/>
              </w:rPr>
            </w:pPr>
            <w:r>
              <w:rPr>
                <w:rFonts w:ascii="Arial" w:cs="Arial" w:eastAsia="Arial" w:hAnsi="Arial"/>
                <w:sz w:val="14"/>
                <w:szCs w:val="14"/>
                <w:color w:val="auto"/>
              </w:rPr>
              <w:t>The Company adopted the amended guidance effective January 1,</w:t>
            </w: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tcPr>
          <w:p>
            <w:pPr>
              <w:ind w:left="160"/>
              <w:spacing w:after="0" w:line="149" w:lineRule="exact"/>
              <w:rPr>
                <w:sz w:val="20"/>
                <w:szCs w:val="20"/>
                <w:color w:val="auto"/>
              </w:rPr>
            </w:pPr>
            <w:r>
              <w:rPr>
                <w:rFonts w:ascii="Arial" w:cs="Arial" w:eastAsia="Arial" w:hAnsi="Arial"/>
                <w:sz w:val="14"/>
                <w:szCs w:val="14"/>
                <w:color w:val="auto"/>
              </w:rPr>
              <w:t>for Goodwill</w:t>
            </w:r>
          </w:p>
        </w:tc>
        <w:tc>
          <w:tcPr>
            <w:tcW w:w="386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impairment test.</w:t>
            </w:r>
          </w:p>
        </w:tc>
        <w:tc>
          <w:tcPr>
            <w:tcW w:w="1500" w:type="dxa"/>
            <w:vAlign w:val="bottom"/>
            <w:tcBorders>
              <w:right w:val="single" w:sz="8" w:color="auto"/>
            </w:tcBorders>
          </w:tcPr>
          <w:p>
            <w:pPr>
              <w:spacing w:after="0"/>
              <w:rPr>
                <w:sz w:val="12"/>
                <w:szCs w:val="12"/>
                <w:color w:val="auto"/>
              </w:rPr>
            </w:pPr>
          </w:p>
        </w:tc>
        <w:tc>
          <w:tcPr>
            <w:tcW w:w="4300" w:type="dxa"/>
            <w:vAlign w:val="bottom"/>
          </w:tcPr>
          <w:p>
            <w:pPr>
              <w:ind w:left="80"/>
              <w:spacing w:after="0" w:line="149" w:lineRule="exact"/>
              <w:rPr>
                <w:sz w:val="20"/>
                <w:szCs w:val="20"/>
                <w:color w:val="auto"/>
              </w:rPr>
            </w:pPr>
            <w:r>
              <w:rPr>
                <w:rFonts w:ascii="Arial" w:cs="Arial" w:eastAsia="Arial" w:hAnsi="Arial"/>
                <w:sz w:val="14"/>
                <w:szCs w:val="14"/>
                <w:color w:val="auto"/>
              </w:rPr>
              <w:t>2020 using a prospective transition method and will incorporate the</w:t>
            </w: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tcPr>
          <w:p>
            <w:pPr>
              <w:ind w:left="160"/>
              <w:spacing w:after="0" w:line="149" w:lineRule="exact"/>
              <w:rPr>
                <w:sz w:val="20"/>
                <w:szCs w:val="20"/>
                <w:color w:val="auto"/>
              </w:rPr>
            </w:pPr>
            <w:r>
              <w:rPr>
                <w:rFonts w:ascii="Arial" w:cs="Arial" w:eastAsia="Arial" w:hAnsi="Arial"/>
                <w:sz w:val="14"/>
                <w:szCs w:val="14"/>
                <w:color w:val="auto"/>
              </w:rPr>
              <w:t>Impairment</w:t>
            </w:r>
          </w:p>
        </w:tc>
        <w:tc>
          <w:tcPr>
            <w:tcW w:w="3860" w:type="dxa"/>
            <w:vAlign w:val="bottom"/>
            <w:tcBorders>
              <w:right w:val="single" w:sz="8" w:color="auto"/>
            </w:tcBorders>
          </w:tcPr>
          <w:p>
            <w:pPr>
              <w:spacing w:after="0"/>
              <w:rPr>
                <w:sz w:val="12"/>
                <w:szCs w:val="12"/>
                <w:color w:val="auto"/>
              </w:rPr>
            </w:pPr>
          </w:p>
        </w:tc>
        <w:tc>
          <w:tcPr>
            <w:tcW w:w="1500" w:type="dxa"/>
            <w:vAlign w:val="bottom"/>
            <w:tcBorders>
              <w:right w:val="single" w:sz="8" w:color="auto"/>
            </w:tcBorders>
          </w:tcPr>
          <w:p>
            <w:pPr>
              <w:spacing w:after="0"/>
              <w:rPr>
                <w:sz w:val="12"/>
                <w:szCs w:val="12"/>
                <w:color w:val="auto"/>
              </w:rPr>
            </w:pPr>
          </w:p>
        </w:tc>
        <w:tc>
          <w:tcPr>
            <w:tcW w:w="4300" w:type="dxa"/>
            <w:vAlign w:val="bottom"/>
          </w:tcPr>
          <w:p>
            <w:pPr>
              <w:ind w:left="80"/>
              <w:spacing w:after="0" w:line="149" w:lineRule="exact"/>
              <w:rPr>
                <w:sz w:val="20"/>
                <w:szCs w:val="20"/>
                <w:color w:val="auto"/>
              </w:rPr>
            </w:pPr>
            <w:r>
              <w:rPr>
                <w:rFonts w:ascii="Arial" w:cs="Arial" w:eastAsia="Arial" w:hAnsi="Arial"/>
                <w:sz w:val="14"/>
                <w:szCs w:val="14"/>
                <w:color w:val="auto"/>
                <w:w w:val="98"/>
              </w:rPr>
              <w:t>guidance as necessary when circumstances arise for the guidance to</w:t>
            </w: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tcPr>
          <w:p>
            <w:pPr>
              <w:spacing w:after="0"/>
              <w:rPr>
                <w:sz w:val="12"/>
                <w:szCs w:val="12"/>
                <w:color w:val="auto"/>
              </w:rPr>
            </w:pPr>
          </w:p>
        </w:tc>
        <w:tc>
          <w:tcPr>
            <w:tcW w:w="3860" w:type="dxa"/>
            <w:vAlign w:val="bottom"/>
            <w:tcBorders>
              <w:right w:val="single" w:sz="8" w:color="auto"/>
            </w:tcBorders>
          </w:tcPr>
          <w:p>
            <w:pPr>
              <w:spacing w:after="0"/>
              <w:rPr>
                <w:sz w:val="12"/>
                <w:szCs w:val="12"/>
                <w:color w:val="auto"/>
              </w:rPr>
            </w:pPr>
          </w:p>
        </w:tc>
        <w:tc>
          <w:tcPr>
            <w:tcW w:w="1500" w:type="dxa"/>
            <w:vAlign w:val="bottom"/>
            <w:tcBorders>
              <w:right w:val="single" w:sz="8" w:color="auto"/>
            </w:tcBorders>
          </w:tcPr>
          <w:p>
            <w:pPr>
              <w:spacing w:after="0"/>
              <w:rPr>
                <w:sz w:val="12"/>
                <w:szCs w:val="12"/>
                <w:color w:val="auto"/>
              </w:rPr>
            </w:pPr>
          </w:p>
        </w:tc>
        <w:tc>
          <w:tcPr>
            <w:tcW w:w="4300" w:type="dxa"/>
            <w:vAlign w:val="bottom"/>
          </w:tcPr>
          <w:p>
            <w:pPr>
              <w:ind w:left="80"/>
              <w:spacing w:after="0" w:line="149" w:lineRule="exact"/>
              <w:rPr>
                <w:sz w:val="20"/>
                <w:szCs w:val="20"/>
                <w:color w:val="auto"/>
              </w:rPr>
            </w:pPr>
            <w:r>
              <w:rPr>
                <w:rFonts w:ascii="Arial" w:cs="Arial" w:eastAsia="Arial" w:hAnsi="Arial"/>
                <w:sz w:val="14"/>
                <w:szCs w:val="14"/>
                <w:color w:val="auto"/>
              </w:rPr>
              <w:t>be utilized. The Company does not expect the guidance will have a</w:t>
            </w: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tcPr>
          <w:p>
            <w:pPr>
              <w:spacing w:after="0"/>
              <w:rPr>
                <w:sz w:val="12"/>
                <w:szCs w:val="12"/>
                <w:color w:val="auto"/>
              </w:rPr>
            </w:pPr>
          </w:p>
        </w:tc>
        <w:tc>
          <w:tcPr>
            <w:tcW w:w="3860" w:type="dxa"/>
            <w:vAlign w:val="bottom"/>
            <w:tcBorders>
              <w:right w:val="single" w:sz="8" w:color="auto"/>
            </w:tcBorders>
          </w:tcPr>
          <w:p>
            <w:pPr>
              <w:spacing w:after="0"/>
              <w:rPr>
                <w:sz w:val="12"/>
                <w:szCs w:val="12"/>
                <w:color w:val="auto"/>
              </w:rPr>
            </w:pPr>
          </w:p>
        </w:tc>
        <w:tc>
          <w:tcPr>
            <w:tcW w:w="1500" w:type="dxa"/>
            <w:vAlign w:val="bottom"/>
            <w:tcBorders>
              <w:right w:val="single" w:sz="8" w:color="auto"/>
            </w:tcBorders>
          </w:tcPr>
          <w:p>
            <w:pPr>
              <w:spacing w:after="0"/>
              <w:rPr>
                <w:sz w:val="12"/>
                <w:szCs w:val="12"/>
                <w:color w:val="auto"/>
              </w:rPr>
            </w:pPr>
          </w:p>
        </w:tc>
        <w:tc>
          <w:tcPr>
            <w:tcW w:w="4300" w:type="dxa"/>
            <w:vAlign w:val="bottom"/>
          </w:tcPr>
          <w:p>
            <w:pPr>
              <w:ind w:left="80"/>
              <w:spacing w:after="0" w:line="149" w:lineRule="exact"/>
              <w:rPr>
                <w:sz w:val="20"/>
                <w:szCs w:val="20"/>
                <w:color w:val="auto"/>
              </w:rPr>
            </w:pPr>
            <w:r>
              <w:rPr>
                <w:rFonts w:ascii="Arial" w:cs="Arial" w:eastAsia="Arial" w:hAnsi="Arial"/>
                <w:sz w:val="14"/>
                <w:szCs w:val="14"/>
                <w:color w:val="auto"/>
              </w:rPr>
              <w:t>material impact on its consolidated financial statements, unless at</w:t>
            </w: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tcPr>
          <w:p>
            <w:pPr>
              <w:spacing w:after="0"/>
              <w:rPr>
                <w:sz w:val="12"/>
                <w:szCs w:val="12"/>
                <w:color w:val="auto"/>
              </w:rPr>
            </w:pPr>
          </w:p>
        </w:tc>
        <w:tc>
          <w:tcPr>
            <w:tcW w:w="3860" w:type="dxa"/>
            <w:vAlign w:val="bottom"/>
            <w:tcBorders>
              <w:right w:val="single" w:sz="8" w:color="auto"/>
            </w:tcBorders>
          </w:tcPr>
          <w:p>
            <w:pPr>
              <w:spacing w:after="0"/>
              <w:rPr>
                <w:sz w:val="12"/>
                <w:szCs w:val="12"/>
                <w:color w:val="auto"/>
              </w:rPr>
            </w:pPr>
          </w:p>
        </w:tc>
        <w:tc>
          <w:tcPr>
            <w:tcW w:w="1500" w:type="dxa"/>
            <w:vAlign w:val="bottom"/>
            <w:tcBorders>
              <w:right w:val="single" w:sz="8" w:color="auto"/>
            </w:tcBorders>
          </w:tcPr>
          <w:p>
            <w:pPr>
              <w:spacing w:after="0"/>
              <w:rPr>
                <w:sz w:val="12"/>
                <w:szCs w:val="12"/>
                <w:color w:val="auto"/>
              </w:rPr>
            </w:pPr>
          </w:p>
        </w:tc>
        <w:tc>
          <w:tcPr>
            <w:tcW w:w="4300" w:type="dxa"/>
            <w:vAlign w:val="bottom"/>
          </w:tcPr>
          <w:p>
            <w:pPr>
              <w:ind w:left="80"/>
              <w:spacing w:after="0" w:line="149" w:lineRule="exact"/>
              <w:rPr>
                <w:sz w:val="20"/>
                <w:szCs w:val="20"/>
                <w:color w:val="auto"/>
              </w:rPr>
            </w:pPr>
            <w:r>
              <w:rPr>
                <w:rFonts w:ascii="Arial" w:cs="Arial" w:eastAsia="Arial" w:hAnsi="Arial"/>
                <w:sz w:val="14"/>
                <w:szCs w:val="14"/>
                <w:color w:val="auto"/>
              </w:rPr>
              <w:t>some point in the future one of its reporting units were to fail step 1</w:t>
            </w:r>
          </w:p>
        </w:tc>
        <w:tc>
          <w:tcPr>
            <w:tcW w:w="0" w:type="dxa"/>
            <w:vAlign w:val="bottom"/>
          </w:tcPr>
          <w:p>
            <w:pPr>
              <w:spacing w:after="0"/>
              <w:rPr>
                <w:sz w:val="1"/>
                <w:szCs w:val="1"/>
                <w:color w:val="auto"/>
              </w:rPr>
            </w:pPr>
          </w:p>
        </w:tc>
      </w:tr>
      <w:tr>
        <w:trPr>
          <w:trHeight w:val="167"/>
        </w:trPr>
        <w:tc>
          <w:tcPr>
            <w:tcW w:w="1680" w:type="dxa"/>
            <w:vAlign w:val="bottom"/>
            <w:tcBorders>
              <w:left w:val="single" w:sz="8" w:color="auto"/>
              <w:bottom w:val="single" w:sz="8" w:color="auto"/>
              <w:right w:val="single" w:sz="8" w:color="auto"/>
            </w:tcBorders>
          </w:tcPr>
          <w:p>
            <w:pPr>
              <w:spacing w:after="0"/>
              <w:rPr>
                <w:sz w:val="14"/>
                <w:szCs w:val="14"/>
                <w:color w:val="auto"/>
              </w:rPr>
            </w:pPr>
          </w:p>
        </w:tc>
        <w:tc>
          <w:tcPr>
            <w:tcW w:w="3860" w:type="dxa"/>
            <w:vAlign w:val="bottom"/>
            <w:tcBorders>
              <w:bottom w:val="single" w:sz="8" w:color="auto"/>
              <w:right w:val="single" w:sz="8" w:color="auto"/>
            </w:tcBorders>
          </w:tcPr>
          <w:p>
            <w:pPr>
              <w:spacing w:after="0"/>
              <w:rPr>
                <w:sz w:val="14"/>
                <w:szCs w:val="14"/>
                <w:color w:val="auto"/>
              </w:rPr>
            </w:pPr>
          </w:p>
        </w:tc>
        <w:tc>
          <w:tcPr>
            <w:tcW w:w="1500" w:type="dxa"/>
            <w:vAlign w:val="bottom"/>
            <w:tcBorders>
              <w:bottom w:val="single" w:sz="8" w:color="auto"/>
              <w:right w:val="single" w:sz="8" w:color="auto"/>
            </w:tcBorders>
          </w:tcPr>
          <w:p>
            <w:pPr>
              <w:spacing w:after="0"/>
              <w:rPr>
                <w:sz w:val="14"/>
                <w:szCs w:val="14"/>
                <w:color w:val="auto"/>
              </w:rPr>
            </w:pPr>
          </w:p>
        </w:tc>
        <w:tc>
          <w:tcPr>
            <w:tcW w:w="430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of the goodwill impairment test.</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40"/>
          </w:cols>
          <w:pgMar w:left="320" w:top="125"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NOTES TO FINANCIAL STATEMENTS, CONTINUED</w:t>
      </w:r>
    </w:p>
    <w:p>
      <w:pPr>
        <w:spacing w:after="0" w:line="21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15. Recent accounting developments, continued</w:t>
      </w:r>
    </w:p>
    <w:p>
      <w:pPr>
        <w:spacing w:after="0" w:line="216" w:lineRule="exact"/>
        <w:rPr>
          <w:sz w:val="20"/>
          <w:szCs w:val="20"/>
          <w:color w:val="auto"/>
        </w:rPr>
      </w:pPr>
    </w:p>
    <w:tbl>
      <w:tblPr>
        <w:tblLayout w:type="fixed"/>
        <w:tblInd w:w="10" w:type="dxa"/>
        <w:tblCellMar>
          <w:top w:w="0" w:type="dxa"/>
          <w:left w:w="0" w:type="dxa"/>
          <w:bottom w:w="0" w:type="dxa"/>
          <w:right w:w="0" w:type="dxa"/>
        </w:tblCellMar>
      </w:tblPr>
      <w:tr>
        <w:trPr>
          <w:trHeight w:val="139"/>
        </w:trPr>
        <w:tc>
          <w:tcPr>
            <w:tcW w:w="1680" w:type="dxa"/>
            <w:vAlign w:val="bottom"/>
            <w:tcBorders>
              <w:top w:val="single" w:sz="8" w:color="auto"/>
              <w:left w:val="single" w:sz="8" w:color="auto"/>
              <w:right w:val="single" w:sz="8" w:color="auto"/>
            </w:tcBorders>
            <w:vMerge w:val="restart"/>
          </w:tcPr>
          <w:p>
            <w:pPr>
              <w:ind w:left="520"/>
              <w:spacing w:after="0"/>
              <w:rPr>
                <w:sz w:val="20"/>
                <w:szCs w:val="20"/>
                <w:color w:val="auto"/>
              </w:rPr>
            </w:pPr>
            <w:r>
              <w:rPr>
                <w:rFonts w:ascii="Arial" w:cs="Arial" w:eastAsia="Arial" w:hAnsi="Arial"/>
                <w:sz w:val="14"/>
                <w:szCs w:val="14"/>
                <w:b w:val="1"/>
                <w:bCs w:val="1"/>
                <w:color w:val="auto"/>
              </w:rPr>
              <w:t>Standard</w:t>
            </w:r>
          </w:p>
        </w:tc>
        <w:tc>
          <w:tcPr>
            <w:tcW w:w="3660" w:type="dxa"/>
            <w:vAlign w:val="bottom"/>
            <w:tcBorders>
              <w:top w:val="single" w:sz="8" w:color="auto"/>
            </w:tcBorders>
            <w:vMerge w:val="restart"/>
          </w:tcPr>
          <w:p>
            <w:pPr>
              <w:ind w:left="1560"/>
              <w:spacing w:after="0"/>
              <w:rPr>
                <w:sz w:val="20"/>
                <w:szCs w:val="20"/>
                <w:color w:val="auto"/>
              </w:rPr>
            </w:pPr>
            <w:r>
              <w:rPr>
                <w:rFonts w:ascii="Arial" w:cs="Arial" w:eastAsia="Arial" w:hAnsi="Arial"/>
                <w:sz w:val="14"/>
                <w:szCs w:val="14"/>
                <w:b w:val="1"/>
                <w:bCs w:val="1"/>
                <w:color w:val="auto"/>
              </w:rPr>
              <w:t>Description</w:t>
            </w:r>
          </w:p>
        </w:tc>
        <w:tc>
          <w:tcPr>
            <w:tcW w:w="200" w:type="dxa"/>
            <w:vAlign w:val="bottom"/>
            <w:tcBorders>
              <w:top w:val="single" w:sz="8" w:color="auto"/>
              <w:right w:val="single" w:sz="8" w:color="auto"/>
            </w:tcBorders>
          </w:tcPr>
          <w:p>
            <w:pPr>
              <w:spacing w:after="0"/>
              <w:rPr>
                <w:sz w:val="12"/>
                <w:szCs w:val="12"/>
                <w:color w:val="auto"/>
              </w:rPr>
            </w:pPr>
          </w:p>
        </w:tc>
        <w:tc>
          <w:tcPr>
            <w:tcW w:w="1500" w:type="dxa"/>
            <w:vAlign w:val="bottom"/>
            <w:tcBorders>
              <w:top w:val="single" w:sz="8" w:color="auto"/>
              <w:right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92"/>
              </w:rPr>
              <w:t>Required date</w:t>
            </w:r>
          </w:p>
        </w:tc>
        <w:tc>
          <w:tcPr>
            <w:tcW w:w="4200" w:type="dxa"/>
            <w:vAlign w:val="bottom"/>
            <w:tcBorders>
              <w:top w:val="single" w:sz="8" w:color="auto"/>
              <w:right w:val="single" w:sz="8" w:color="auto"/>
            </w:tcBorders>
            <w:vMerge w:val="restart"/>
          </w:tcPr>
          <w:p>
            <w:pPr>
              <w:ind w:left="760"/>
              <w:spacing w:after="0"/>
              <w:rPr>
                <w:sz w:val="20"/>
                <w:szCs w:val="20"/>
                <w:color w:val="auto"/>
              </w:rPr>
            </w:pPr>
            <w:r>
              <w:rPr>
                <w:rFonts w:ascii="Arial" w:cs="Arial" w:eastAsia="Arial" w:hAnsi="Arial"/>
                <w:sz w:val="14"/>
                <w:szCs w:val="14"/>
                <w:b w:val="1"/>
                <w:bCs w:val="1"/>
                <w:color w:val="auto"/>
              </w:rPr>
              <w:t>Effect on consolidated financial statements</w:t>
            </w:r>
          </w:p>
        </w:tc>
        <w:tc>
          <w:tcPr>
            <w:tcW w:w="0" w:type="dxa"/>
            <w:vAlign w:val="bottom"/>
          </w:tcPr>
          <w:p>
            <w:pPr>
              <w:spacing w:after="0"/>
              <w:rPr>
                <w:sz w:val="1"/>
                <w:szCs w:val="1"/>
                <w:color w:val="auto"/>
              </w:rPr>
            </w:pPr>
          </w:p>
        </w:tc>
      </w:tr>
      <w:tr>
        <w:trPr>
          <w:trHeight w:val="171"/>
        </w:trPr>
        <w:tc>
          <w:tcPr>
            <w:tcW w:w="168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366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of adoption</w:t>
            </w:r>
          </w:p>
        </w:tc>
        <w:tc>
          <w:tcPr>
            <w:tcW w:w="420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340" w:type="dxa"/>
            <w:vAlign w:val="bottom"/>
            <w:tcBorders>
              <w:left w:val="single" w:sz="8" w:color="auto"/>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Standards Adopted in 2020</w:t>
            </w: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42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23"/>
        </w:trPr>
        <w:tc>
          <w:tcPr>
            <w:tcW w:w="1680" w:type="dxa"/>
            <w:vAlign w:val="bottom"/>
            <w:tcBorders>
              <w:left w:val="single" w:sz="8" w:color="auto"/>
              <w:right w:val="single" w:sz="8" w:color="auto"/>
            </w:tcBorders>
            <w:shd w:val="clear" w:color="auto" w:fill="CFF0FC"/>
          </w:tcPr>
          <w:p>
            <w:pPr>
              <w:spacing w:after="0"/>
              <w:rPr>
                <w:sz w:val="10"/>
                <w:szCs w:val="10"/>
                <w:color w:val="auto"/>
              </w:rPr>
            </w:pPr>
          </w:p>
        </w:tc>
        <w:tc>
          <w:tcPr>
            <w:tcW w:w="3660" w:type="dxa"/>
            <w:vAlign w:val="bottom"/>
            <w:shd w:val="clear" w:color="auto" w:fill="CFF0FC"/>
          </w:tcPr>
          <w:p>
            <w:pPr>
              <w:ind w:left="100"/>
              <w:spacing w:after="0" w:line="123" w:lineRule="exact"/>
              <w:rPr>
                <w:sz w:val="20"/>
                <w:szCs w:val="20"/>
                <w:color w:val="auto"/>
              </w:rPr>
            </w:pPr>
            <w:r>
              <w:rPr>
                <w:rFonts w:ascii="Arial" w:cs="Arial" w:eastAsia="Arial" w:hAnsi="Arial"/>
                <w:sz w:val="14"/>
                <w:szCs w:val="14"/>
                <w:color w:val="auto"/>
              </w:rPr>
              <w:t>The amended guidance modifies the disclosure</w:t>
            </w:r>
          </w:p>
        </w:tc>
        <w:tc>
          <w:tcPr>
            <w:tcW w:w="200" w:type="dxa"/>
            <w:vAlign w:val="bottom"/>
            <w:tcBorders>
              <w:right w:val="single" w:sz="8" w:color="auto"/>
            </w:tcBorders>
            <w:shd w:val="clear" w:color="auto" w:fill="CFF0FC"/>
          </w:tcPr>
          <w:p>
            <w:pPr>
              <w:spacing w:after="0"/>
              <w:rPr>
                <w:sz w:val="10"/>
                <w:szCs w:val="10"/>
                <w:color w:val="auto"/>
              </w:rPr>
            </w:pPr>
          </w:p>
        </w:tc>
        <w:tc>
          <w:tcPr>
            <w:tcW w:w="1500" w:type="dxa"/>
            <w:vAlign w:val="bottom"/>
            <w:tcBorders>
              <w:right w:val="single" w:sz="8" w:color="auto"/>
            </w:tcBorders>
            <w:shd w:val="clear" w:color="auto" w:fill="CFF0FC"/>
          </w:tcPr>
          <w:p>
            <w:pPr>
              <w:spacing w:after="0"/>
              <w:rPr>
                <w:sz w:val="10"/>
                <w:szCs w:val="10"/>
                <w:color w:val="auto"/>
              </w:rPr>
            </w:pPr>
          </w:p>
        </w:tc>
        <w:tc>
          <w:tcPr>
            <w:tcW w:w="4200" w:type="dxa"/>
            <w:vAlign w:val="bottom"/>
            <w:tcBorders>
              <w:right w:val="single" w:sz="8" w:color="auto"/>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shd w:val="clear" w:color="auto" w:fill="CFF0FC"/>
          </w:tcPr>
          <w:p>
            <w:pPr>
              <w:ind w:left="140"/>
              <w:spacing w:after="0" w:line="149" w:lineRule="exact"/>
              <w:rPr>
                <w:sz w:val="20"/>
                <w:szCs w:val="20"/>
                <w:color w:val="auto"/>
              </w:rPr>
            </w:pPr>
            <w:r>
              <w:rPr>
                <w:rFonts w:ascii="Arial" w:cs="Arial" w:eastAsia="Arial" w:hAnsi="Arial"/>
                <w:sz w:val="14"/>
                <w:szCs w:val="14"/>
                <w:color w:val="auto"/>
              </w:rPr>
              <w:t>Changes to the</w:t>
            </w:r>
          </w:p>
        </w:tc>
        <w:tc>
          <w:tcPr>
            <w:tcW w:w="3660" w:type="dxa"/>
            <w:vAlign w:val="bottom"/>
            <w:shd w:val="clear" w:color="auto" w:fill="CFF0FC"/>
          </w:tcPr>
          <w:p>
            <w:pPr>
              <w:ind w:left="100"/>
              <w:spacing w:after="0" w:line="149" w:lineRule="exact"/>
              <w:rPr>
                <w:sz w:val="20"/>
                <w:szCs w:val="20"/>
                <w:color w:val="auto"/>
              </w:rPr>
            </w:pPr>
            <w:r>
              <w:rPr>
                <w:rFonts w:ascii="Arial" w:cs="Arial" w:eastAsia="Arial" w:hAnsi="Arial"/>
                <w:sz w:val="14"/>
                <w:szCs w:val="14"/>
                <w:color w:val="auto"/>
                <w:w w:val="95"/>
              </w:rPr>
              <w:t>requirements on fair value measurements in Topic 820, Fair</w:t>
            </w:r>
          </w:p>
        </w:tc>
        <w:tc>
          <w:tcPr>
            <w:tcW w:w="200" w:type="dxa"/>
            <w:vAlign w:val="bottom"/>
            <w:tcBorders>
              <w:right w:val="single" w:sz="8" w:color="auto"/>
            </w:tcBorders>
            <w:shd w:val="clear" w:color="auto" w:fill="CFF0FC"/>
          </w:tcPr>
          <w:p>
            <w:pPr>
              <w:spacing w:after="0"/>
              <w:rPr>
                <w:sz w:val="12"/>
                <w:szCs w:val="12"/>
                <w:color w:val="auto"/>
              </w:rPr>
            </w:pPr>
          </w:p>
        </w:tc>
        <w:tc>
          <w:tcPr>
            <w:tcW w:w="1500" w:type="dxa"/>
            <w:vAlign w:val="bottom"/>
            <w:tcBorders>
              <w:right w:val="single" w:sz="8" w:color="auto"/>
            </w:tcBorders>
            <w:shd w:val="clear" w:color="auto" w:fill="CFF0FC"/>
          </w:tcPr>
          <w:p>
            <w:pPr>
              <w:jc w:val="center"/>
              <w:spacing w:after="0" w:line="149" w:lineRule="exact"/>
              <w:rPr>
                <w:sz w:val="20"/>
                <w:szCs w:val="20"/>
                <w:color w:val="auto"/>
              </w:rPr>
            </w:pPr>
            <w:r>
              <w:rPr>
                <w:rFonts w:ascii="Arial" w:cs="Arial" w:eastAsia="Arial" w:hAnsi="Arial"/>
                <w:sz w:val="14"/>
                <w:szCs w:val="14"/>
                <w:color w:val="auto"/>
                <w:w w:val="89"/>
              </w:rPr>
              <w:t>January 1, 2020</w:t>
            </w:r>
          </w:p>
        </w:tc>
        <w:tc>
          <w:tcPr>
            <w:tcW w:w="4200" w:type="dxa"/>
            <w:vAlign w:val="bottom"/>
            <w:tcBorders>
              <w:right w:val="single" w:sz="8" w:color="auto"/>
            </w:tcBorders>
            <w:shd w:val="clear" w:color="auto" w:fill="CFF0FC"/>
          </w:tcPr>
          <w:p>
            <w:pPr>
              <w:ind w:left="80"/>
              <w:spacing w:after="0" w:line="149" w:lineRule="exact"/>
              <w:rPr>
                <w:sz w:val="20"/>
                <w:szCs w:val="20"/>
                <w:color w:val="auto"/>
              </w:rPr>
            </w:pPr>
            <w:r>
              <w:rPr>
                <w:rFonts w:ascii="Arial" w:cs="Arial" w:eastAsia="Arial" w:hAnsi="Arial"/>
                <w:sz w:val="14"/>
                <w:szCs w:val="14"/>
                <w:color w:val="auto"/>
                <w:w w:val="98"/>
              </w:rPr>
              <w:t>The Company adopted the amended guidance effective January 1,</w:t>
            </w: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shd w:val="clear" w:color="auto" w:fill="CFF0FC"/>
          </w:tcPr>
          <w:p>
            <w:pPr>
              <w:ind w:left="140"/>
              <w:spacing w:after="0" w:line="149" w:lineRule="exact"/>
              <w:rPr>
                <w:sz w:val="20"/>
                <w:szCs w:val="20"/>
                <w:color w:val="auto"/>
              </w:rPr>
            </w:pPr>
            <w:r>
              <w:rPr>
                <w:rFonts w:ascii="Arial" w:cs="Arial" w:eastAsia="Arial" w:hAnsi="Arial"/>
                <w:sz w:val="14"/>
                <w:szCs w:val="14"/>
                <w:color w:val="auto"/>
              </w:rPr>
              <w:t>Disclosure</w:t>
            </w:r>
          </w:p>
        </w:tc>
        <w:tc>
          <w:tcPr>
            <w:tcW w:w="3660" w:type="dxa"/>
            <w:vAlign w:val="bottom"/>
            <w:shd w:val="clear" w:color="auto" w:fill="CFF0FC"/>
          </w:tcPr>
          <w:p>
            <w:pPr>
              <w:ind w:left="100"/>
              <w:spacing w:after="0" w:line="149" w:lineRule="exact"/>
              <w:rPr>
                <w:sz w:val="20"/>
                <w:szCs w:val="20"/>
                <w:color w:val="auto"/>
              </w:rPr>
            </w:pPr>
            <w:r>
              <w:rPr>
                <w:rFonts w:ascii="Arial" w:cs="Arial" w:eastAsia="Arial" w:hAnsi="Arial"/>
                <w:sz w:val="14"/>
                <w:szCs w:val="14"/>
                <w:color w:val="auto"/>
                <w:w w:val="97"/>
              </w:rPr>
              <w:t>Value Measurements. The amendments are a result of the</w:t>
            </w:r>
          </w:p>
        </w:tc>
        <w:tc>
          <w:tcPr>
            <w:tcW w:w="200" w:type="dxa"/>
            <w:vAlign w:val="bottom"/>
            <w:tcBorders>
              <w:right w:val="single" w:sz="8" w:color="auto"/>
            </w:tcBorders>
            <w:shd w:val="clear" w:color="auto" w:fill="CFF0FC"/>
          </w:tcPr>
          <w:p>
            <w:pPr>
              <w:spacing w:after="0"/>
              <w:rPr>
                <w:sz w:val="12"/>
                <w:szCs w:val="12"/>
                <w:color w:val="auto"/>
              </w:rPr>
            </w:pP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ind w:left="80"/>
              <w:spacing w:after="0" w:line="149" w:lineRule="exact"/>
              <w:rPr>
                <w:sz w:val="20"/>
                <w:szCs w:val="20"/>
                <w:color w:val="auto"/>
              </w:rPr>
            </w:pPr>
            <w:r>
              <w:rPr>
                <w:rFonts w:ascii="Arial" w:cs="Arial" w:eastAsia="Arial" w:hAnsi="Arial"/>
                <w:sz w:val="14"/>
                <w:szCs w:val="14"/>
                <w:color w:val="auto"/>
              </w:rPr>
              <w:t>2020. A prospective transition method is being used for the</w:t>
            </w: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shd w:val="clear" w:color="auto" w:fill="CFF0FC"/>
          </w:tcPr>
          <w:p>
            <w:pPr>
              <w:ind w:left="140"/>
              <w:spacing w:after="0" w:line="149" w:lineRule="exact"/>
              <w:rPr>
                <w:sz w:val="20"/>
                <w:szCs w:val="20"/>
                <w:color w:val="auto"/>
              </w:rPr>
            </w:pPr>
            <w:r>
              <w:rPr>
                <w:rFonts w:ascii="Arial" w:cs="Arial" w:eastAsia="Arial" w:hAnsi="Arial"/>
                <w:sz w:val="14"/>
                <w:szCs w:val="14"/>
                <w:color w:val="auto"/>
              </w:rPr>
              <w:t>Requirements for Fair</w:t>
            </w:r>
          </w:p>
        </w:tc>
        <w:tc>
          <w:tcPr>
            <w:tcW w:w="3660" w:type="dxa"/>
            <w:vAlign w:val="bottom"/>
            <w:shd w:val="clear" w:color="auto" w:fill="CFF0FC"/>
          </w:tcPr>
          <w:p>
            <w:pPr>
              <w:ind w:left="100"/>
              <w:spacing w:after="0" w:line="149" w:lineRule="exact"/>
              <w:rPr>
                <w:sz w:val="20"/>
                <w:szCs w:val="20"/>
                <w:color w:val="auto"/>
              </w:rPr>
            </w:pPr>
            <w:r>
              <w:rPr>
                <w:rFonts w:ascii="Arial" w:cs="Arial" w:eastAsia="Arial" w:hAnsi="Arial"/>
                <w:sz w:val="14"/>
                <w:szCs w:val="14"/>
                <w:color w:val="auto"/>
                <w:w w:val="95"/>
              </w:rPr>
              <w:t>disclosure framework project that focuses on improvements</w:t>
            </w:r>
          </w:p>
        </w:tc>
        <w:tc>
          <w:tcPr>
            <w:tcW w:w="200" w:type="dxa"/>
            <w:vAlign w:val="bottom"/>
            <w:tcBorders>
              <w:right w:val="single" w:sz="8" w:color="auto"/>
            </w:tcBorders>
            <w:shd w:val="clear" w:color="auto" w:fill="CFF0FC"/>
          </w:tcPr>
          <w:p>
            <w:pPr>
              <w:spacing w:after="0"/>
              <w:rPr>
                <w:sz w:val="12"/>
                <w:szCs w:val="12"/>
                <w:color w:val="auto"/>
              </w:rPr>
            </w:pP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ind w:left="80"/>
              <w:spacing w:after="0" w:line="149" w:lineRule="exact"/>
              <w:rPr>
                <w:sz w:val="20"/>
                <w:szCs w:val="20"/>
                <w:color w:val="auto"/>
              </w:rPr>
            </w:pPr>
            <w:r>
              <w:rPr>
                <w:rFonts w:ascii="Arial" w:cs="Arial" w:eastAsia="Arial" w:hAnsi="Arial"/>
                <w:sz w:val="14"/>
                <w:szCs w:val="14"/>
                <w:color w:val="auto"/>
              </w:rPr>
              <w:t>amendments relating to disclosures being added under the</w:t>
            </w: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shd w:val="clear" w:color="auto" w:fill="CFF0FC"/>
          </w:tcPr>
          <w:p>
            <w:pPr>
              <w:ind w:left="140"/>
              <w:spacing w:after="0" w:line="149" w:lineRule="exact"/>
              <w:rPr>
                <w:sz w:val="20"/>
                <w:szCs w:val="20"/>
                <w:color w:val="auto"/>
              </w:rPr>
            </w:pPr>
            <w:r>
              <w:rPr>
                <w:rFonts w:ascii="Arial" w:cs="Arial" w:eastAsia="Arial" w:hAnsi="Arial"/>
                <w:sz w:val="14"/>
                <w:szCs w:val="14"/>
                <w:color w:val="auto"/>
              </w:rPr>
              <w:t>Value Measurements</w:t>
            </w:r>
          </w:p>
        </w:tc>
        <w:tc>
          <w:tcPr>
            <w:tcW w:w="3660" w:type="dxa"/>
            <w:vAlign w:val="bottom"/>
            <w:shd w:val="clear" w:color="auto" w:fill="CFF0FC"/>
          </w:tcPr>
          <w:p>
            <w:pPr>
              <w:ind w:left="100"/>
              <w:spacing w:after="0" w:line="149" w:lineRule="exact"/>
              <w:rPr>
                <w:sz w:val="20"/>
                <w:szCs w:val="20"/>
                <w:color w:val="auto"/>
              </w:rPr>
            </w:pPr>
            <w:r>
              <w:rPr>
                <w:rFonts w:ascii="Arial" w:cs="Arial" w:eastAsia="Arial" w:hAnsi="Arial"/>
                <w:sz w:val="14"/>
                <w:szCs w:val="14"/>
                <w:color w:val="auto"/>
                <w:w w:val="99"/>
              </w:rPr>
              <w:t>to the effectiveness of disclosures in the notes to financial</w:t>
            </w:r>
          </w:p>
        </w:tc>
        <w:tc>
          <w:tcPr>
            <w:tcW w:w="200" w:type="dxa"/>
            <w:vAlign w:val="bottom"/>
            <w:tcBorders>
              <w:right w:val="single" w:sz="8" w:color="auto"/>
            </w:tcBorders>
            <w:shd w:val="clear" w:color="auto" w:fill="CFF0FC"/>
          </w:tcPr>
          <w:p>
            <w:pPr>
              <w:spacing w:after="0"/>
              <w:rPr>
                <w:sz w:val="12"/>
                <w:szCs w:val="12"/>
                <w:color w:val="auto"/>
              </w:rPr>
            </w:pP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ind w:left="80"/>
              <w:spacing w:after="0" w:line="149" w:lineRule="exact"/>
              <w:rPr>
                <w:sz w:val="20"/>
                <w:szCs w:val="20"/>
                <w:color w:val="auto"/>
              </w:rPr>
            </w:pPr>
            <w:r>
              <w:rPr>
                <w:rFonts w:ascii="Arial" w:cs="Arial" w:eastAsia="Arial" w:hAnsi="Arial"/>
                <w:sz w:val="14"/>
                <w:szCs w:val="14"/>
                <w:color w:val="auto"/>
                <w:w w:val="94"/>
              </w:rPr>
              <w:t>guidance. Such disclosures relate to changes in unrealized gains and</w:t>
            </w: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660" w:type="dxa"/>
            <w:vAlign w:val="bottom"/>
            <w:shd w:val="clear" w:color="auto" w:fill="CFF0FC"/>
          </w:tcPr>
          <w:p>
            <w:pPr>
              <w:ind w:left="100"/>
              <w:spacing w:after="0" w:line="149" w:lineRule="exact"/>
              <w:rPr>
                <w:sz w:val="20"/>
                <w:szCs w:val="20"/>
                <w:color w:val="auto"/>
              </w:rPr>
            </w:pPr>
            <w:r>
              <w:rPr>
                <w:rFonts w:ascii="Arial" w:cs="Arial" w:eastAsia="Arial" w:hAnsi="Arial"/>
                <w:sz w:val="14"/>
                <w:szCs w:val="14"/>
                <w:color w:val="auto"/>
              </w:rPr>
              <w:t>statements. The amendments remove, modify, and add</w:t>
            </w:r>
          </w:p>
        </w:tc>
        <w:tc>
          <w:tcPr>
            <w:tcW w:w="200" w:type="dxa"/>
            <w:vAlign w:val="bottom"/>
            <w:tcBorders>
              <w:right w:val="single" w:sz="8" w:color="auto"/>
            </w:tcBorders>
            <w:shd w:val="clear" w:color="auto" w:fill="CFF0FC"/>
          </w:tcPr>
          <w:p>
            <w:pPr>
              <w:spacing w:after="0"/>
              <w:rPr>
                <w:sz w:val="12"/>
                <w:szCs w:val="12"/>
                <w:color w:val="auto"/>
              </w:rPr>
            </w:pP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ind w:left="80"/>
              <w:spacing w:after="0" w:line="149" w:lineRule="exact"/>
              <w:rPr>
                <w:sz w:val="20"/>
                <w:szCs w:val="20"/>
                <w:color w:val="auto"/>
              </w:rPr>
            </w:pPr>
            <w:r>
              <w:rPr>
                <w:rFonts w:ascii="Arial" w:cs="Arial" w:eastAsia="Arial" w:hAnsi="Arial"/>
                <w:sz w:val="14"/>
                <w:szCs w:val="14"/>
                <w:color w:val="auto"/>
                <w:w w:val="97"/>
              </w:rPr>
              <w:t>losses, the range and weighted average of significant unobservable</w:t>
            </w: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660" w:type="dxa"/>
            <w:vAlign w:val="bottom"/>
            <w:shd w:val="clear" w:color="auto" w:fill="CFF0FC"/>
          </w:tcPr>
          <w:p>
            <w:pPr>
              <w:ind w:left="100"/>
              <w:spacing w:after="0" w:line="149" w:lineRule="exact"/>
              <w:rPr>
                <w:sz w:val="20"/>
                <w:szCs w:val="20"/>
                <w:color w:val="auto"/>
              </w:rPr>
            </w:pPr>
            <w:r>
              <w:rPr>
                <w:rFonts w:ascii="Arial" w:cs="Arial" w:eastAsia="Arial" w:hAnsi="Arial"/>
                <w:sz w:val="14"/>
                <w:szCs w:val="14"/>
                <w:color w:val="auto"/>
              </w:rPr>
              <w:t>certain disclosure requirements. The disclosure</w:t>
            </w:r>
          </w:p>
        </w:tc>
        <w:tc>
          <w:tcPr>
            <w:tcW w:w="200" w:type="dxa"/>
            <w:vAlign w:val="bottom"/>
            <w:tcBorders>
              <w:right w:val="single" w:sz="8" w:color="auto"/>
            </w:tcBorders>
            <w:shd w:val="clear" w:color="auto" w:fill="CFF0FC"/>
          </w:tcPr>
          <w:p>
            <w:pPr>
              <w:spacing w:after="0"/>
              <w:rPr>
                <w:sz w:val="12"/>
                <w:szCs w:val="12"/>
                <w:color w:val="auto"/>
              </w:rPr>
            </w:pP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ind w:left="80"/>
              <w:spacing w:after="0" w:line="149" w:lineRule="exact"/>
              <w:rPr>
                <w:sz w:val="20"/>
                <w:szCs w:val="20"/>
                <w:color w:val="auto"/>
              </w:rPr>
            </w:pPr>
            <w:r>
              <w:rPr>
                <w:rFonts w:ascii="Arial" w:cs="Arial" w:eastAsia="Arial" w:hAnsi="Arial"/>
                <w:sz w:val="14"/>
                <w:szCs w:val="14"/>
                <w:color w:val="auto"/>
              </w:rPr>
              <w:t>inputs used to develop Level 3 fair value measurements, and the</w:t>
            </w: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660" w:type="dxa"/>
            <w:vAlign w:val="bottom"/>
            <w:shd w:val="clear" w:color="auto" w:fill="CFF0FC"/>
          </w:tcPr>
          <w:p>
            <w:pPr>
              <w:ind w:left="100"/>
              <w:spacing w:after="0" w:line="149" w:lineRule="exact"/>
              <w:rPr>
                <w:sz w:val="20"/>
                <w:szCs w:val="20"/>
                <w:color w:val="auto"/>
              </w:rPr>
            </w:pPr>
            <w:r>
              <w:rPr>
                <w:rFonts w:ascii="Arial" w:cs="Arial" w:eastAsia="Arial" w:hAnsi="Arial"/>
                <w:sz w:val="14"/>
                <w:szCs w:val="14"/>
                <w:color w:val="auto"/>
                <w:w w:val="99"/>
              </w:rPr>
              <w:t>requirements being removed relating to public companies</w:t>
            </w:r>
          </w:p>
        </w:tc>
        <w:tc>
          <w:tcPr>
            <w:tcW w:w="200" w:type="dxa"/>
            <w:vAlign w:val="bottom"/>
            <w:tcBorders>
              <w:right w:val="single" w:sz="8" w:color="auto"/>
            </w:tcBorders>
            <w:shd w:val="clear" w:color="auto" w:fill="CFF0FC"/>
          </w:tcPr>
          <w:p>
            <w:pPr>
              <w:spacing w:after="0"/>
              <w:rPr>
                <w:sz w:val="12"/>
                <w:szCs w:val="12"/>
                <w:color w:val="auto"/>
              </w:rPr>
            </w:pP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ind w:left="80"/>
              <w:spacing w:after="0" w:line="149" w:lineRule="exact"/>
              <w:rPr>
                <w:sz w:val="20"/>
                <w:szCs w:val="20"/>
                <w:color w:val="auto"/>
              </w:rPr>
            </w:pPr>
            <w:r>
              <w:rPr>
                <w:rFonts w:ascii="Arial" w:cs="Arial" w:eastAsia="Arial" w:hAnsi="Arial"/>
                <w:sz w:val="14"/>
                <w:szCs w:val="14"/>
                <w:color w:val="auto"/>
              </w:rPr>
              <w:t>narrative description of measurement uncertainty. All other</w:t>
            </w: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660" w:type="dxa"/>
            <w:vAlign w:val="bottom"/>
            <w:shd w:val="clear" w:color="auto" w:fill="CFF0FC"/>
          </w:tcPr>
          <w:p>
            <w:pPr>
              <w:ind w:left="100"/>
              <w:spacing w:after="0" w:line="149" w:lineRule="exact"/>
              <w:rPr>
                <w:sz w:val="20"/>
                <w:szCs w:val="20"/>
                <w:color w:val="auto"/>
              </w:rPr>
            </w:pPr>
            <w:r>
              <w:rPr>
                <w:rFonts w:ascii="Arial" w:cs="Arial" w:eastAsia="Arial" w:hAnsi="Arial"/>
                <w:sz w:val="14"/>
                <w:szCs w:val="14"/>
                <w:color w:val="auto"/>
                <w:w w:val="94"/>
              </w:rPr>
              <w:t>are (1) the amount and reason for transfers between Level 1</w:t>
            </w:r>
          </w:p>
        </w:tc>
        <w:tc>
          <w:tcPr>
            <w:tcW w:w="200" w:type="dxa"/>
            <w:vAlign w:val="bottom"/>
            <w:tcBorders>
              <w:right w:val="single" w:sz="8" w:color="auto"/>
            </w:tcBorders>
            <w:shd w:val="clear" w:color="auto" w:fill="CFF0FC"/>
          </w:tcPr>
          <w:p>
            <w:pPr>
              <w:spacing w:after="0"/>
              <w:rPr>
                <w:sz w:val="12"/>
                <w:szCs w:val="12"/>
                <w:color w:val="auto"/>
              </w:rPr>
            </w:pP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ind w:left="80"/>
              <w:spacing w:after="0" w:line="149" w:lineRule="exact"/>
              <w:rPr>
                <w:sz w:val="20"/>
                <w:szCs w:val="20"/>
                <w:color w:val="auto"/>
              </w:rPr>
            </w:pPr>
            <w:r>
              <w:rPr>
                <w:rFonts w:ascii="Arial" w:cs="Arial" w:eastAsia="Arial" w:hAnsi="Arial"/>
                <w:sz w:val="14"/>
                <w:szCs w:val="14"/>
                <w:color w:val="auto"/>
              </w:rPr>
              <w:t>amendments relating to removing or modifying certain disclosures</w:t>
            </w: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660" w:type="dxa"/>
            <w:vAlign w:val="bottom"/>
            <w:shd w:val="clear" w:color="auto" w:fill="CFF0FC"/>
          </w:tcPr>
          <w:p>
            <w:pPr>
              <w:ind w:left="100"/>
              <w:spacing w:after="0" w:line="149" w:lineRule="exact"/>
              <w:rPr>
                <w:sz w:val="20"/>
                <w:szCs w:val="20"/>
                <w:color w:val="auto"/>
              </w:rPr>
            </w:pPr>
            <w:r>
              <w:rPr>
                <w:rFonts w:ascii="Arial" w:cs="Arial" w:eastAsia="Arial" w:hAnsi="Arial"/>
                <w:sz w:val="14"/>
                <w:szCs w:val="14"/>
                <w:color w:val="auto"/>
              </w:rPr>
              <w:t>and Level 2 of the fair value hierarchy, (2) the policy for</w:t>
            </w:r>
          </w:p>
        </w:tc>
        <w:tc>
          <w:tcPr>
            <w:tcW w:w="200" w:type="dxa"/>
            <w:vAlign w:val="bottom"/>
            <w:tcBorders>
              <w:right w:val="single" w:sz="8" w:color="auto"/>
            </w:tcBorders>
            <w:shd w:val="clear" w:color="auto" w:fill="CFF0FC"/>
          </w:tcPr>
          <w:p>
            <w:pPr>
              <w:spacing w:after="0"/>
              <w:rPr>
                <w:sz w:val="12"/>
                <w:szCs w:val="12"/>
                <w:color w:val="auto"/>
              </w:rPr>
            </w:pP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ind w:left="80"/>
              <w:spacing w:after="0" w:line="149" w:lineRule="exact"/>
              <w:rPr>
                <w:sz w:val="20"/>
                <w:szCs w:val="20"/>
                <w:color w:val="auto"/>
              </w:rPr>
            </w:pPr>
            <w:r>
              <w:rPr>
                <w:rFonts w:ascii="Arial" w:cs="Arial" w:eastAsia="Arial" w:hAnsi="Arial"/>
                <w:sz w:val="14"/>
                <w:szCs w:val="14"/>
                <w:color w:val="auto"/>
                <w:w w:val="97"/>
              </w:rPr>
              <w:t>will be applied retrospectively. The adoption of the guidance did not</w:t>
            </w: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660" w:type="dxa"/>
            <w:vAlign w:val="bottom"/>
            <w:shd w:val="clear" w:color="auto" w:fill="CFF0FC"/>
          </w:tcPr>
          <w:p>
            <w:pPr>
              <w:ind w:left="100"/>
              <w:spacing w:after="0" w:line="149" w:lineRule="exact"/>
              <w:rPr>
                <w:sz w:val="20"/>
                <w:szCs w:val="20"/>
                <w:color w:val="auto"/>
              </w:rPr>
            </w:pPr>
            <w:r>
              <w:rPr>
                <w:rFonts w:ascii="Arial" w:cs="Arial" w:eastAsia="Arial" w:hAnsi="Arial"/>
                <w:sz w:val="14"/>
                <w:szCs w:val="14"/>
                <w:color w:val="auto"/>
              </w:rPr>
              <w:t>timing of transfers between levels, and (3) the valuation</w:t>
            </w:r>
          </w:p>
        </w:tc>
        <w:tc>
          <w:tcPr>
            <w:tcW w:w="200" w:type="dxa"/>
            <w:vAlign w:val="bottom"/>
            <w:tcBorders>
              <w:right w:val="single" w:sz="8" w:color="auto"/>
            </w:tcBorders>
            <w:shd w:val="clear" w:color="auto" w:fill="CFF0FC"/>
          </w:tcPr>
          <w:p>
            <w:pPr>
              <w:spacing w:after="0"/>
              <w:rPr>
                <w:sz w:val="12"/>
                <w:szCs w:val="12"/>
                <w:color w:val="auto"/>
              </w:rPr>
            </w:pP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ind w:left="80"/>
              <w:spacing w:after="0" w:line="149" w:lineRule="exact"/>
              <w:rPr>
                <w:sz w:val="20"/>
                <w:szCs w:val="20"/>
                <w:color w:val="auto"/>
              </w:rPr>
            </w:pPr>
            <w:r>
              <w:rPr>
                <w:rFonts w:ascii="Arial" w:cs="Arial" w:eastAsia="Arial" w:hAnsi="Arial"/>
                <w:sz w:val="14"/>
                <w:szCs w:val="14"/>
                <w:color w:val="auto"/>
              </w:rPr>
              <w:t>have a material impact on the Company’s consolidated financial</w:t>
            </w: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660" w:type="dxa"/>
            <w:vAlign w:val="bottom"/>
            <w:shd w:val="clear" w:color="auto" w:fill="CFF0FC"/>
          </w:tcPr>
          <w:p>
            <w:pPr>
              <w:ind w:left="100"/>
              <w:spacing w:after="0" w:line="149" w:lineRule="exact"/>
              <w:rPr>
                <w:sz w:val="20"/>
                <w:szCs w:val="20"/>
                <w:color w:val="auto"/>
              </w:rPr>
            </w:pPr>
            <w:r>
              <w:rPr>
                <w:rFonts w:ascii="Arial" w:cs="Arial" w:eastAsia="Arial" w:hAnsi="Arial"/>
                <w:sz w:val="14"/>
                <w:szCs w:val="14"/>
                <w:color w:val="auto"/>
              </w:rPr>
              <w:t>process for Level 3 fair value measurements. The</w:t>
            </w:r>
          </w:p>
        </w:tc>
        <w:tc>
          <w:tcPr>
            <w:tcW w:w="200" w:type="dxa"/>
            <w:vAlign w:val="bottom"/>
            <w:tcBorders>
              <w:right w:val="single" w:sz="8" w:color="auto"/>
            </w:tcBorders>
            <w:shd w:val="clear" w:color="auto" w:fill="CFF0FC"/>
          </w:tcPr>
          <w:p>
            <w:pPr>
              <w:spacing w:after="0"/>
              <w:rPr>
                <w:sz w:val="12"/>
                <w:szCs w:val="12"/>
                <w:color w:val="auto"/>
              </w:rPr>
            </w:pP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ind w:left="80"/>
              <w:spacing w:after="0" w:line="149" w:lineRule="exact"/>
              <w:rPr>
                <w:sz w:val="20"/>
                <w:szCs w:val="20"/>
                <w:color w:val="auto"/>
              </w:rPr>
            </w:pPr>
            <w:r>
              <w:rPr>
                <w:rFonts w:ascii="Arial" w:cs="Arial" w:eastAsia="Arial" w:hAnsi="Arial"/>
                <w:sz w:val="14"/>
                <w:szCs w:val="14"/>
                <w:color w:val="auto"/>
              </w:rPr>
              <w:t>statements.</w:t>
            </w: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660" w:type="dxa"/>
            <w:vAlign w:val="bottom"/>
            <w:shd w:val="clear" w:color="auto" w:fill="CFF0FC"/>
          </w:tcPr>
          <w:p>
            <w:pPr>
              <w:ind w:left="100"/>
              <w:spacing w:after="0" w:line="149" w:lineRule="exact"/>
              <w:rPr>
                <w:sz w:val="20"/>
                <w:szCs w:val="20"/>
                <w:color w:val="auto"/>
              </w:rPr>
            </w:pPr>
            <w:r>
              <w:rPr>
                <w:rFonts w:ascii="Arial" w:cs="Arial" w:eastAsia="Arial" w:hAnsi="Arial"/>
                <w:sz w:val="14"/>
                <w:szCs w:val="14"/>
                <w:color w:val="auto"/>
              </w:rPr>
              <w:t>disclosure requirements being modified relating to public</w:t>
            </w:r>
          </w:p>
        </w:tc>
        <w:tc>
          <w:tcPr>
            <w:tcW w:w="200" w:type="dxa"/>
            <w:vAlign w:val="bottom"/>
            <w:tcBorders>
              <w:right w:val="single" w:sz="8" w:color="auto"/>
            </w:tcBorders>
            <w:shd w:val="clear" w:color="auto" w:fill="CFF0FC"/>
          </w:tcPr>
          <w:p>
            <w:pPr>
              <w:spacing w:after="0"/>
              <w:rPr>
                <w:sz w:val="12"/>
                <w:szCs w:val="12"/>
                <w:color w:val="auto"/>
              </w:rPr>
            </w:pP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660" w:type="dxa"/>
            <w:vAlign w:val="bottom"/>
            <w:shd w:val="clear" w:color="auto" w:fill="CFF0FC"/>
          </w:tcPr>
          <w:p>
            <w:pPr>
              <w:ind w:left="100"/>
              <w:spacing w:after="0" w:line="149" w:lineRule="exact"/>
              <w:rPr>
                <w:sz w:val="20"/>
                <w:szCs w:val="20"/>
                <w:color w:val="auto"/>
              </w:rPr>
            </w:pPr>
            <w:r>
              <w:rPr>
                <w:rFonts w:ascii="Arial" w:cs="Arial" w:eastAsia="Arial" w:hAnsi="Arial"/>
                <w:sz w:val="14"/>
                <w:szCs w:val="14"/>
                <w:color w:val="auto"/>
              </w:rPr>
              <w:t>companies are (1) for investments in certain entities that</w:t>
            </w:r>
          </w:p>
        </w:tc>
        <w:tc>
          <w:tcPr>
            <w:tcW w:w="200" w:type="dxa"/>
            <w:vAlign w:val="bottom"/>
            <w:tcBorders>
              <w:right w:val="single" w:sz="8" w:color="auto"/>
            </w:tcBorders>
            <w:shd w:val="clear" w:color="auto" w:fill="CFF0FC"/>
          </w:tcPr>
          <w:p>
            <w:pPr>
              <w:spacing w:after="0"/>
              <w:rPr>
                <w:sz w:val="12"/>
                <w:szCs w:val="12"/>
                <w:color w:val="auto"/>
              </w:rPr>
            </w:pP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660" w:type="dxa"/>
            <w:vAlign w:val="bottom"/>
            <w:shd w:val="clear" w:color="auto" w:fill="CFF0FC"/>
          </w:tcPr>
          <w:p>
            <w:pPr>
              <w:ind w:left="100"/>
              <w:spacing w:after="0" w:line="149" w:lineRule="exact"/>
              <w:rPr>
                <w:sz w:val="20"/>
                <w:szCs w:val="20"/>
                <w:color w:val="auto"/>
              </w:rPr>
            </w:pPr>
            <w:r>
              <w:rPr>
                <w:rFonts w:ascii="Arial" w:cs="Arial" w:eastAsia="Arial" w:hAnsi="Arial"/>
                <w:sz w:val="14"/>
                <w:szCs w:val="14"/>
                <w:color w:val="auto"/>
                <w:w w:val="93"/>
              </w:rPr>
              <w:t>calculate net asset value, an entity is required to disclose the</w:t>
            </w:r>
          </w:p>
        </w:tc>
        <w:tc>
          <w:tcPr>
            <w:tcW w:w="200" w:type="dxa"/>
            <w:vAlign w:val="bottom"/>
            <w:tcBorders>
              <w:right w:val="single" w:sz="8" w:color="auto"/>
            </w:tcBorders>
            <w:shd w:val="clear" w:color="auto" w:fill="CFF0FC"/>
          </w:tcPr>
          <w:p>
            <w:pPr>
              <w:spacing w:after="0"/>
              <w:rPr>
                <w:sz w:val="12"/>
                <w:szCs w:val="12"/>
                <w:color w:val="auto"/>
              </w:rPr>
            </w:pP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660" w:type="dxa"/>
            <w:vAlign w:val="bottom"/>
            <w:shd w:val="clear" w:color="auto" w:fill="CFF0FC"/>
          </w:tcPr>
          <w:p>
            <w:pPr>
              <w:ind w:left="100"/>
              <w:spacing w:after="0" w:line="149" w:lineRule="exact"/>
              <w:rPr>
                <w:sz w:val="20"/>
                <w:szCs w:val="20"/>
                <w:color w:val="auto"/>
              </w:rPr>
            </w:pPr>
            <w:r>
              <w:rPr>
                <w:rFonts w:ascii="Arial" w:cs="Arial" w:eastAsia="Arial" w:hAnsi="Arial"/>
                <w:sz w:val="14"/>
                <w:szCs w:val="14"/>
                <w:color w:val="auto"/>
              </w:rPr>
              <w:t>timing of liquidation of an investee’s asset and the date</w:t>
            </w:r>
          </w:p>
        </w:tc>
        <w:tc>
          <w:tcPr>
            <w:tcW w:w="200" w:type="dxa"/>
            <w:vAlign w:val="bottom"/>
            <w:tcBorders>
              <w:right w:val="single" w:sz="8" w:color="auto"/>
            </w:tcBorders>
            <w:shd w:val="clear" w:color="auto" w:fill="CFF0FC"/>
          </w:tcPr>
          <w:p>
            <w:pPr>
              <w:spacing w:after="0"/>
              <w:rPr>
                <w:sz w:val="12"/>
                <w:szCs w:val="12"/>
                <w:color w:val="auto"/>
              </w:rPr>
            </w:pP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660" w:type="dxa"/>
            <w:vAlign w:val="bottom"/>
            <w:shd w:val="clear" w:color="auto" w:fill="CFF0FC"/>
          </w:tcPr>
          <w:p>
            <w:pPr>
              <w:ind w:left="100"/>
              <w:spacing w:after="0" w:line="149" w:lineRule="exact"/>
              <w:rPr>
                <w:sz w:val="20"/>
                <w:szCs w:val="20"/>
                <w:color w:val="auto"/>
              </w:rPr>
            </w:pPr>
            <w:r>
              <w:rPr>
                <w:rFonts w:ascii="Arial" w:cs="Arial" w:eastAsia="Arial" w:hAnsi="Arial"/>
                <w:sz w:val="14"/>
                <w:szCs w:val="14"/>
                <w:color w:val="auto"/>
              </w:rPr>
              <w:t>when restrictions from redemption might lapse only if the</w:t>
            </w:r>
          </w:p>
        </w:tc>
        <w:tc>
          <w:tcPr>
            <w:tcW w:w="200" w:type="dxa"/>
            <w:vAlign w:val="bottom"/>
            <w:tcBorders>
              <w:right w:val="single" w:sz="8" w:color="auto"/>
            </w:tcBorders>
            <w:shd w:val="clear" w:color="auto" w:fill="CFF0FC"/>
          </w:tcPr>
          <w:p>
            <w:pPr>
              <w:spacing w:after="0"/>
              <w:rPr>
                <w:sz w:val="12"/>
                <w:szCs w:val="12"/>
                <w:color w:val="auto"/>
              </w:rPr>
            </w:pP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660" w:type="dxa"/>
            <w:vAlign w:val="bottom"/>
            <w:shd w:val="clear" w:color="auto" w:fill="CFF0FC"/>
          </w:tcPr>
          <w:p>
            <w:pPr>
              <w:ind w:left="100"/>
              <w:spacing w:after="0" w:line="149" w:lineRule="exact"/>
              <w:rPr>
                <w:sz w:val="20"/>
                <w:szCs w:val="20"/>
                <w:color w:val="auto"/>
              </w:rPr>
            </w:pPr>
            <w:r>
              <w:rPr>
                <w:rFonts w:ascii="Arial" w:cs="Arial" w:eastAsia="Arial" w:hAnsi="Arial"/>
                <w:sz w:val="14"/>
                <w:szCs w:val="14"/>
                <w:color w:val="auto"/>
              </w:rPr>
              <w:t>investee has communicated the timing to the entity or</w:t>
            </w:r>
          </w:p>
        </w:tc>
        <w:tc>
          <w:tcPr>
            <w:tcW w:w="200" w:type="dxa"/>
            <w:vAlign w:val="bottom"/>
            <w:tcBorders>
              <w:right w:val="single" w:sz="8" w:color="auto"/>
            </w:tcBorders>
            <w:shd w:val="clear" w:color="auto" w:fill="CFF0FC"/>
          </w:tcPr>
          <w:p>
            <w:pPr>
              <w:spacing w:after="0"/>
              <w:rPr>
                <w:sz w:val="12"/>
                <w:szCs w:val="12"/>
                <w:color w:val="auto"/>
              </w:rPr>
            </w:pP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660" w:type="dxa"/>
            <w:vAlign w:val="bottom"/>
            <w:shd w:val="clear" w:color="auto" w:fill="CFF0FC"/>
          </w:tcPr>
          <w:p>
            <w:pPr>
              <w:ind w:left="100"/>
              <w:spacing w:after="0" w:line="149" w:lineRule="exact"/>
              <w:rPr>
                <w:sz w:val="20"/>
                <w:szCs w:val="20"/>
                <w:color w:val="auto"/>
              </w:rPr>
            </w:pPr>
            <w:r>
              <w:rPr>
                <w:rFonts w:ascii="Arial" w:cs="Arial" w:eastAsia="Arial" w:hAnsi="Arial"/>
                <w:sz w:val="14"/>
                <w:szCs w:val="14"/>
                <w:color w:val="auto"/>
              </w:rPr>
              <w:t>announced the timing publicly, and (2) the measurement</w:t>
            </w:r>
          </w:p>
        </w:tc>
        <w:tc>
          <w:tcPr>
            <w:tcW w:w="200" w:type="dxa"/>
            <w:vAlign w:val="bottom"/>
            <w:tcBorders>
              <w:right w:val="single" w:sz="8" w:color="auto"/>
            </w:tcBorders>
            <w:shd w:val="clear" w:color="auto" w:fill="CFF0FC"/>
          </w:tcPr>
          <w:p>
            <w:pPr>
              <w:spacing w:after="0"/>
              <w:rPr>
                <w:sz w:val="12"/>
                <w:szCs w:val="12"/>
                <w:color w:val="auto"/>
              </w:rPr>
            </w:pP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660" w:type="dxa"/>
            <w:vAlign w:val="bottom"/>
            <w:shd w:val="clear" w:color="auto" w:fill="CFF0FC"/>
          </w:tcPr>
          <w:p>
            <w:pPr>
              <w:ind w:left="100"/>
              <w:spacing w:after="0" w:line="149" w:lineRule="exact"/>
              <w:rPr>
                <w:sz w:val="20"/>
                <w:szCs w:val="20"/>
                <w:color w:val="auto"/>
              </w:rPr>
            </w:pPr>
            <w:r>
              <w:rPr>
                <w:rFonts w:ascii="Arial" w:cs="Arial" w:eastAsia="Arial" w:hAnsi="Arial"/>
                <w:sz w:val="14"/>
                <w:szCs w:val="14"/>
                <w:color w:val="auto"/>
                <w:w w:val="97"/>
              </w:rPr>
              <w:t>uncertainty disclosure is to communicate information about</w:t>
            </w:r>
          </w:p>
        </w:tc>
        <w:tc>
          <w:tcPr>
            <w:tcW w:w="200" w:type="dxa"/>
            <w:vAlign w:val="bottom"/>
            <w:tcBorders>
              <w:right w:val="single" w:sz="8" w:color="auto"/>
            </w:tcBorders>
            <w:shd w:val="clear" w:color="auto" w:fill="CFF0FC"/>
          </w:tcPr>
          <w:p>
            <w:pPr>
              <w:spacing w:after="0"/>
              <w:rPr>
                <w:sz w:val="12"/>
                <w:szCs w:val="12"/>
                <w:color w:val="auto"/>
              </w:rPr>
            </w:pP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660" w:type="dxa"/>
            <w:vAlign w:val="bottom"/>
            <w:shd w:val="clear" w:color="auto" w:fill="CFF0FC"/>
          </w:tcPr>
          <w:p>
            <w:pPr>
              <w:ind w:left="100"/>
              <w:spacing w:after="0" w:line="149" w:lineRule="exact"/>
              <w:rPr>
                <w:sz w:val="20"/>
                <w:szCs w:val="20"/>
                <w:color w:val="auto"/>
              </w:rPr>
            </w:pPr>
            <w:r>
              <w:rPr>
                <w:rFonts w:ascii="Arial" w:cs="Arial" w:eastAsia="Arial" w:hAnsi="Arial"/>
                <w:sz w:val="14"/>
                <w:szCs w:val="14"/>
                <w:color w:val="auto"/>
              </w:rPr>
              <w:t>the uncertainty in measurement as a result of the use of</w:t>
            </w:r>
          </w:p>
        </w:tc>
        <w:tc>
          <w:tcPr>
            <w:tcW w:w="200" w:type="dxa"/>
            <w:vAlign w:val="bottom"/>
            <w:tcBorders>
              <w:right w:val="single" w:sz="8" w:color="auto"/>
            </w:tcBorders>
            <w:shd w:val="clear" w:color="auto" w:fill="CFF0FC"/>
          </w:tcPr>
          <w:p>
            <w:pPr>
              <w:spacing w:after="0"/>
              <w:rPr>
                <w:sz w:val="12"/>
                <w:szCs w:val="12"/>
                <w:color w:val="auto"/>
              </w:rPr>
            </w:pP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660" w:type="dxa"/>
            <w:vAlign w:val="bottom"/>
            <w:shd w:val="clear" w:color="auto" w:fill="CFF0FC"/>
          </w:tcPr>
          <w:p>
            <w:pPr>
              <w:ind w:left="100"/>
              <w:spacing w:after="0" w:line="149" w:lineRule="exact"/>
              <w:rPr>
                <w:sz w:val="20"/>
                <w:szCs w:val="20"/>
                <w:color w:val="auto"/>
              </w:rPr>
            </w:pPr>
            <w:r>
              <w:rPr>
                <w:rFonts w:ascii="Arial" w:cs="Arial" w:eastAsia="Arial" w:hAnsi="Arial"/>
                <w:sz w:val="14"/>
                <w:szCs w:val="14"/>
                <w:color w:val="auto"/>
              </w:rPr>
              <w:t>unobservable inputs. The disclosure requirements being</w:t>
            </w:r>
          </w:p>
        </w:tc>
        <w:tc>
          <w:tcPr>
            <w:tcW w:w="200" w:type="dxa"/>
            <w:vAlign w:val="bottom"/>
            <w:tcBorders>
              <w:right w:val="single" w:sz="8" w:color="auto"/>
            </w:tcBorders>
            <w:shd w:val="clear" w:color="auto" w:fill="CFF0FC"/>
          </w:tcPr>
          <w:p>
            <w:pPr>
              <w:spacing w:after="0"/>
              <w:rPr>
                <w:sz w:val="12"/>
                <w:szCs w:val="12"/>
                <w:color w:val="auto"/>
              </w:rPr>
            </w:pP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660" w:type="dxa"/>
            <w:vAlign w:val="bottom"/>
            <w:shd w:val="clear" w:color="auto" w:fill="CFF0FC"/>
          </w:tcPr>
          <w:p>
            <w:pPr>
              <w:ind w:left="100"/>
              <w:spacing w:after="0" w:line="149" w:lineRule="exact"/>
              <w:rPr>
                <w:sz w:val="20"/>
                <w:szCs w:val="20"/>
                <w:color w:val="auto"/>
              </w:rPr>
            </w:pPr>
            <w:r>
              <w:rPr>
                <w:rFonts w:ascii="Arial" w:cs="Arial" w:eastAsia="Arial" w:hAnsi="Arial"/>
                <w:sz w:val="14"/>
                <w:szCs w:val="14"/>
                <w:color w:val="auto"/>
                <w:w w:val="99"/>
              </w:rPr>
              <w:t>added relating to public companies are (1) to disclose the</w:t>
            </w:r>
          </w:p>
        </w:tc>
        <w:tc>
          <w:tcPr>
            <w:tcW w:w="200" w:type="dxa"/>
            <w:vAlign w:val="bottom"/>
            <w:tcBorders>
              <w:right w:val="single" w:sz="8" w:color="auto"/>
            </w:tcBorders>
            <w:shd w:val="clear" w:color="auto" w:fill="CFF0FC"/>
          </w:tcPr>
          <w:p>
            <w:pPr>
              <w:spacing w:after="0"/>
              <w:rPr>
                <w:sz w:val="12"/>
                <w:szCs w:val="12"/>
                <w:color w:val="auto"/>
              </w:rPr>
            </w:pP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660" w:type="dxa"/>
            <w:vAlign w:val="bottom"/>
            <w:shd w:val="clear" w:color="auto" w:fill="CFF0FC"/>
          </w:tcPr>
          <w:p>
            <w:pPr>
              <w:ind w:left="100"/>
              <w:spacing w:after="0" w:line="149" w:lineRule="exact"/>
              <w:rPr>
                <w:sz w:val="20"/>
                <w:szCs w:val="20"/>
                <w:color w:val="auto"/>
              </w:rPr>
            </w:pPr>
            <w:r>
              <w:rPr>
                <w:rFonts w:ascii="Arial" w:cs="Arial" w:eastAsia="Arial" w:hAnsi="Arial"/>
                <w:sz w:val="14"/>
                <w:szCs w:val="14"/>
                <w:color w:val="auto"/>
              </w:rPr>
              <w:t>changes in unrealized gains and losses for the period for</w:t>
            </w:r>
          </w:p>
        </w:tc>
        <w:tc>
          <w:tcPr>
            <w:tcW w:w="200" w:type="dxa"/>
            <w:vAlign w:val="bottom"/>
            <w:tcBorders>
              <w:right w:val="single" w:sz="8" w:color="auto"/>
            </w:tcBorders>
            <w:shd w:val="clear" w:color="auto" w:fill="CFF0FC"/>
          </w:tcPr>
          <w:p>
            <w:pPr>
              <w:spacing w:after="0"/>
              <w:rPr>
                <w:sz w:val="12"/>
                <w:szCs w:val="12"/>
                <w:color w:val="auto"/>
              </w:rPr>
            </w:pP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660" w:type="dxa"/>
            <w:vAlign w:val="bottom"/>
            <w:shd w:val="clear" w:color="auto" w:fill="CFF0FC"/>
          </w:tcPr>
          <w:p>
            <w:pPr>
              <w:ind w:left="100"/>
              <w:spacing w:after="0" w:line="149" w:lineRule="exact"/>
              <w:rPr>
                <w:sz w:val="20"/>
                <w:szCs w:val="20"/>
                <w:color w:val="auto"/>
              </w:rPr>
            </w:pPr>
            <w:r>
              <w:rPr>
                <w:rFonts w:ascii="Arial" w:cs="Arial" w:eastAsia="Arial" w:hAnsi="Arial"/>
                <w:sz w:val="14"/>
                <w:szCs w:val="14"/>
                <w:color w:val="auto"/>
              </w:rPr>
              <w:t>recurring Level 3 fair value measurements, and (2) to</w:t>
            </w:r>
          </w:p>
        </w:tc>
        <w:tc>
          <w:tcPr>
            <w:tcW w:w="200" w:type="dxa"/>
            <w:vAlign w:val="bottom"/>
            <w:tcBorders>
              <w:right w:val="single" w:sz="8" w:color="auto"/>
            </w:tcBorders>
            <w:shd w:val="clear" w:color="auto" w:fill="CFF0FC"/>
          </w:tcPr>
          <w:p>
            <w:pPr>
              <w:spacing w:after="0"/>
              <w:rPr>
                <w:sz w:val="12"/>
                <w:szCs w:val="12"/>
                <w:color w:val="auto"/>
              </w:rPr>
            </w:pP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660" w:type="dxa"/>
            <w:vAlign w:val="bottom"/>
            <w:shd w:val="clear" w:color="auto" w:fill="CFF0FC"/>
          </w:tcPr>
          <w:p>
            <w:pPr>
              <w:ind w:left="100"/>
              <w:spacing w:after="0" w:line="149" w:lineRule="exact"/>
              <w:rPr>
                <w:sz w:val="20"/>
                <w:szCs w:val="20"/>
                <w:color w:val="auto"/>
              </w:rPr>
            </w:pPr>
            <w:r>
              <w:rPr>
                <w:rFonts w:ascii="Arial" w:cs="Arial" w:eastAsia="Arial" w:hAnsi="Arial"/>
                <w:sz w:val="14"/>
                <w:szCs w:val="14"/>
                <w:color w:val="auto"/>
              </w:rPr>
              <w:t>disclose the range and weighted average of significant</w:t>
            </w:r>
          </w:p>
        </w:tc>
        <w:tc>
          <w:tcPr>
            <w:tcW w:w="200" w:type="dxa"/>
            <w:vAlign w:val="bottom"/>
            <w:tcBorders>
              <w:right w:val="single" w:sz="8" w:color="auto"/>
            </w:tcBorders>
            <w:shd w:val="clear" w:color="auto" w:fill="CFF0FC"/>
          </w:tcPr>
          <w:p>
            <w:pPr>
              <w:spacing w:after="0"/>
              <w:rPr>
                <w:sz w:val="12"/>
                <w:szCs w:val="12"/>
                <w:color w:val="auto"/>
              </w:rPr>
            </w:pP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660" w:type="dxa"/>
            <w:vAlign w:val="bottom"/>
            <w:shd w:val="clear" w:color="auto" w:fill="CFF0FC"/>
          </w:tcPr>
          <w:p>
            <w:pPr>
              <w:ind w:left="100"/>
              <w:spacing w:after="0" w:line="149" w:lineRule="exact"/>
              <w:rPr>
                <w:sz w:val="20"/>
                <w:szCs w:val="20"/>
                <w:color w:val="auto"/>
              </w:rPr>
            </w:pPr>
            <w:r>
              <w:rPr>
                <w:rFonts w:ascii="Arial" w:cs="Arial" w:eastAsia="Arial" w:hAnsi="Arial"/>
                <w:sz w:val="14"/>
                <w:szCs w:val="14"/>
                <w:color w:val="auto"/>
              </w:rPr>
              <w:t>unobservable inputs used to develop Level 3 fair value</w:t>
            </w:r>
          </w:p>
        </w:tc>
        <w:tc>
          <w:tcPr>
            <w:tcW w:w="200" w:type="dxa"/>
            <w:vAlign w:val="bottom"/>
            <w:tcBorders>
              <w:right w:val="single" w:sz="8" w:color="auto"/>
            </w:tcBorders>
            <w:shd w:val="clear" w:color="auto" w:fill="CFF0FC"/>
          </w:tcPr>
          <w:p>
            <w:pPr>
              <w:spacing w:after="0"/>
              <w:rPr>
                <w:sz w:val="12"/>
                <w:szCs w:val="12"/>
                <w:color w:val="auto"/>
              </w:rPr>
            </w:pP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680" w:type="dxa"/>
            <w:vAlign w:val="bottom"/>
            <w:tcBorders>
              <w:left w:val="single" w:sz="8" w:color="auto"/>
              <w:bottom w:val="single" w:sz="8" w:color="auto"/>
              <w:right w:val="single" w:sz="8" w:color="auto"/>
            </w:tcBorders>
            <w:shd w:val="clear" w:color="auto" w:fill="CFF0FC"/>
          </w:tcPr>
          <w:p>
            <w:pPr>
              <w:spacing w:after="0"/>
              <w:rPr>
                <w:sz w:val="14"/>
                <w:szCs w:val="14"/>
                <w:color w:val="auto"/>
              </w:rPr>
            </w:pPr>
          </w:p>
        </w:tc>
        <w:tc>
          <w:tcPr>
            <w:tcW w:w="3660" w:type="dxa"/>
            <w:vAlign w:val="bottom"/>
            <w:tcBorders>
              <w:bottom w:val="single" w:sz="8" w:color="auto"/>
            </w:tcBorders>
            <w:shd w:val="clear" w:color="auto" w:fill="CFF0FC"/>
          </w:tcPr>
          <w:p>
            <w:pPr>
              <w:ind w:left="100"/>
              <w:spacing w:after="0"/>
              <w:rPr>
                <w:sz w:val="20"/>
                <w:szCs w:val="20"/>
                <w:color w:val="auto"/>
              </w:rPr>
            </w:pPr>
            <w:r>
              <w:rPr>
                <w:rFonts w:ascii="Arial" w:cs="Arial" w:eastAsia="Arial" w:hAnsi="Arial"/>
                <w:sz w:val="14"/>
                <w:szCs w:val="14"/>
                <w:color w:val="auto"/>
              </w:rPr>
              <w:t>measurements.</w:t>
            </w:r>
          </w:p>
        </w:tc>
        <w:tc>
          <w:tcPr>
            <w:tcW w:w="200" w:type="dxa"/>
            <w:vAlign w:val="bottom"/>
            <w:tcBorders>
              <w:bottom w:val="single" w:sz="8" w:color="auto"/>
              <w:right w:val="single" w:sz="8" w:color="auto"/>
            </w:tcBorders>
            <w:shd w:val="clear" w:color="auto" w:fill="CFF0FC"/>
          </w:tcPr>
          <w:p>
            <w:pPr>
              <w:spacing w:after="0"/>
              <w:rPr>
                <w:sz w:val="14"/>
                <w:szCs w:val="14"/>
                <w:color w:val="auto"/>
              </w:rPr>
            </w:pPr>
          </w:p>
        </w:tc>
        <w:tc>
          <w:tcPr>
            <w:tcW w:w="1500" w:type="dxa"/>
            <w:vAlign w:val="bottom"/>
            <w:tcBorders>
              <w:bottom w:val="single" w:sz="8" w:color="auto"/>
              <w:right w:val="single" w:sz="8" w:color="auto"/>
            </w:tcBorders>
            <w:shd w:val="clear" w:color="auto" w:fill="CFF0FC"/>
          </w:tcPr>
          <w:p>
            <w:pPr>
              <w:spacing w:after="0"/>
              <w:rPr>
                <w:sz w:val="14"/>
                <w:szCs w:val="14"/>
                <w:color w:val="auto"/>
              </w:rPr>
            </w:pPr>
          </w:p>
        </w:tc>
        <w:tc>
          <w:tcPr>
            <w:tcW w:w="4200" w:type="dxa"/>
            <w:vAlign w:val="bottom"/>
            <w:tcBorders>
              <w:bottom w:val="single" w:sz="8" w:color="auto"/>
              <w:right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71"/>
        </w:trPr>
        <w:tc>
          <w:tcPr>
            <w:tcW w:w="16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Customer’s</w:t>
            </w:r>
          </w:p>
        </w:tc>
        <w:tc>
          <w:tcPr>
            <w:tcW w:w="3660" w:type="dxa"/>
            <w:vAlign w:val="bottom"/>
          </w:tcPr>
          <w:p>
            <w:pPr>
              <w:ind w:left="100"/>
              <w:spacing w:after="0"/>
              <w:rPr>
                <w:sz w:val="20"/>
                <w:szCs w:val="20"/>
                <w:color w:val="auto"/>
              </w:rPr>
            </w:pPr>
            <w:r>
              <w:rPr>
                <w:rFonts w:ascii="Arial" w:cs="Arial" w:eastAsia="Arial" w:hAnsi="Arial"/>
                <w:sz w:val="14"/>
                <w:szCs w:val="14"/>
                <w:color w:val="auto"/>
                <w:w w:val="94"/>
              </w:rPr>
              <w:t>The amended guidance requires a hosting arrangement that</w:t>
            </w:r>
          </w:p>
        </w:tc>
        <w:tc>
          <w:tcPr>
            <w:tcW w:w="200" w:type="dxa"/>
            <w:vAlign w:val="bottom"/>
            <w:tcBorders>
              <w:right w:val="single" w:sz="8" w:color="auto"/>
            </w:tcBorders>
          </w:tcPr>
          <w:p>
            <w:pPr>
              <w:spacing w:after="0"/>
              <w:rPr>
                <w:sz w:val="23"/>
                <w:szCs w:val="23"/>
                <w:color w:val="auto"/>
              </w:rPr>
            </w:pP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9"/>
              </w:rPr>
              <w:t>January 1, 2020</w:t>
            </w:r>
          </w:p>
        </w:tc>
        <w:tc>
          <w:tcPr>
            <w:tcW w:w="420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w w:val="98"/>
              </w:rPr>
              <w:t>The Company adopted the amended guidance effective January 1,</w:t>
            </w: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tcPr>
          <w:p>
            <w:pPr>
              <w:ind w:left="140"/>
              <w:spacing w:after="0" w:line="149" w:lineRule="exact"/>
              <w:rPr>
                <w:sz w:val="20"/>
                <w:szCs w:val="20"/>
                <w:color w:val="auto"/>
              </w:rPr>
            </w:pPr>
            <w:r>
              <w:rPr>
                <w:rFonts w:ascii="Arial" w:cs="Arial" w:eastAsia="Arial" w:hAnsi="Arial"/>
                <w:sz w:val="14"/>
                <w:szCs w:val="14"/>
                <w:color w:val="auto"/>
              </w:rPr>
              <w:t>Accounting for</w:t>
            </w:r>
          </w:p>
        </w:tc>
        <w:tc>
          <w:tcPr>
            <w:tcW w:w="3660" w:type="dxa"/>
            <w:vAlign w:val="bottom"/>
          </w:tcPr>
          <w:p>
            <w:pPr>
              <w:ind w:left="100"/>
              <w:spacing w:after="0" w:line="149" w:lineRule="exact"/>
              <w:rPr>
                <w:sz w:val="20"/>
                <w:szCs w:val="20"/>
                <w:color w:val="auto"/>
              </w:rPr>
            </w:pPr>
            <w:r>
              <w:rPr>
                <w:rFonts w:ascii="Arial" w:cs="Arial" w:eastAsia="Arial" w:hAnsi="Arial"/>
                <w:sz w:val="14"/>
                <w:szCs w:val="14"/>
                <w:color w:val="auto"/>
                <w:w w:val="96"/>
              </w:rPr>
              <w:t>is a service contract to follow the guidance in Subtopic 350-</w:t>
            </w:r>
          </w:p>
        </w:tc>
        <w:tc>
          <w:tcPr>
            <w:tcW w:w="200" w:type="dxa"/>
            <w:vAlign w:val="bottom"/>
            <w:tcBorders>
              <w:right w:val="single" w:sz="8" w:color="auto"/>
            </w:tcBorders>
          </w:tcPr>
          <w:p>
            <w:pPr>
              <w:spacing w:after="0"/>
              <w:rPr>
                <w:sz w:val="12"/>
                <w:szCs w:val="12"/>
                <w:color w:val="auto"/>
              </w:rPr>
            </w:pP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ind w:left="80"/>
              <w:spacing w:after="0" w:line="149" w:lineRule="exact"/>
              <w:rPr>
                <w:sz w:val="20"/>
                <w:szCs w:val="20"/>
                <w:color w:val="auto"/>
              </w:rPr>
            </w:pPr>
            <w:r>
              <w:rPr>
                <w:rFonts w:ascii="Arial" w:cs="Arial" w:eastAsia="Arial" w:hAnsi="Arial"/>
                <w:sz w:val="14"/>
                <w:szCs w:val="14"/>
                <w:color w:val="auto"/>
              </w:rPr>
              <w:t>2020 using a prospective transition method. The impact of the</w:t>
            </w: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tcPr>
          <w:p>
            <w:pPr>
              <w:ind w:left="140"/>
              <w:spacing w:after="0" w:line="149" w:lineRule="exact"/>
              <w:rPr>
                <w:sz w:val="20"/>
                <w:szCs w:val="20"/>
                <w:color w:val="auto"/>
              </w:rPr>
            </w:pPr>
            <w:r>
              <w:rPr>
                <w:rFonts w:ascii="Arial" w:cs="Arial" w:eastAsia="Arial" w:hAnsi="Arial"/>
                <w:sz w:val="14"/>
                <w:szCs w:val="14"/>
                <w:color w:val="auto"/>
              </w:rPr>
              <w:t>Implementation Costs</w:t>
            </w:r>
          </w:p>
        </w:tc>
        <w:tc>
          <w:tcPr>
            <w:tcW w:w="3660" w:type="dxa"/>
            <w:vAlign w:val="bottom"/>
          </w:tcPr>
          <w:p>
            <w:pPr>
              <w:ind w:left="100"/>
              <w:spacing w:after="0" w:line="149" w:lineRule="exact"/>
              <w:rPr>
                <w:sz w:val="20"/>
                <w:szCs w:val="20"/>
                <w:color w:val="auto"/>
              </w:rPr>
            </w:pPr>
            <w:r>
              <w:rPr>
                <w:rFonts w:ascii="Arial" w:cs="Arial" w:eastAsia="Arial" w:hAnsi="Arial"/>
                <w:sz w:val="14"/>
                <w:szCs w:val="14"/>
                <w:color w:val="auto"/>
              </w:rPr>
              <w:t>40 to determine which implementation costs to capitalize</w:t>
            </w:r>
          </w:p>
        </w:tc>
        <w:tc>
          <w:tcPr>
            <w:tcW w:w="200" w:type="dxa"/>
            <w:vAlign w:val="bottom"/>
            <w:tcBorders>
              <w:right w:val="single" w:sz="8" w:color="auto"/>
            </w:tcBorders>
          </w:tcPr>
          <w:p>
            <w:pPr>
              <w:spacing w:after="0"/>
              <w:rPr>
                <w:sz w:val="12"/>
                <w:szCs w:val="12"/>
                <w:color w:val="auto"/>
              </w:rPr>
            </w:pP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ind w:left="80"/>
              <w:spacing w:after="0" w:line="149" w:lineRule="exact"/>
              <w:rPr>
                <w:sz w:val="20"/>
                <w:szCs w:val="20"/>
                <w:color w:val="auto"/>
              </w:rPr>
            </w:pPr>
            <w:r>
              <w:rPr>
                <w:rFonts w:ascii="Arial" w:cs="Arial" w:eastAsia="Arial" w:hAnsi="Arial"/>
                <w:sz w:val="14"/>
                <w:szCs w:val="14"/>
                <w:color w:val="auto"/>
              </w:rPr>
              <w:t>guidance on the Company’s consolidated financial statements will</w:t>
            </w: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tcPr>
          <w:p>
            <w:pPr>
              <w:ind w:left="140"/>
              <w:spacing w:after="0" w:line="149" w:lineRule="exact"/>
              <w:rPr>
                <w:sz w:val="20"/>
                <w:szCs w:val="20"/>
                <w:color w:val="auto"/>
              </w:rPr>
            </w:pPr>
            <w:r>
              <w:rPr>
                <w:rFonts w:ascii="Arial" w:cs="Arial" w:eastAsia="Arial" w:hAnsi="Arial"/>
                <w:sz w:val="14"/>
                <w:szCs w:val="14"/>
                <w:color w:val="auto"/>
              </w:rPr>
              <w:t>Incurred in a Cloud</w:t>
            </w:r>
          </w:p>
        </w:tc>
        <w:tc>
          <w:tcPr>
            <w:tcW w:w="3660" w:type="dxa"/>
            <w:vAlign w:val="bottom"/>
          </w:tcPr>
          <w:p>
            <w:pPr>
              <w:ind w:left="100"/>
              <w:spacing w:after="0" w:line="149" w:lineRule="exact"/>
              <w:rPr>
                <w:sz w:val="20"/>
                <w:szCs w:val="20"/>
                <w:color w:val="auto"/>
              </w:rPr>
            </w:pPr>
            <w:r>
              <w:rPr>
                <w:rFonts w:ascii="Arial" w:cs="Arial" w:eastAsia="Arial" w:hAnsi="Arial"/>
                <w:sz w:val="14"/>
                <w:szCs w:val="14"/>
                <w:color w:val="auto"/>
              </w:rPr>
              <w:t>and which costs to expense.</w:t>
            </w:r>
          </w:p>
        </w:tc>
        <w:tc>
          <w:tcPr>
            <w:tcW w:w="200" w:type="dxa"/>
            <w:vAlign w:val="bottom"/>
            <w:tcBorders>
              <w:right w:val="single" w:sz="8" w:color="auto"/>
            </w:tcBorders>
          </w:tcPr>
          <w:p>
            <w:pPr>
              <w:spacing w:after="0"/>
              <w:rPr>
                <w:sz w:val="12"/>
                <w:szCs w:val="12"/>
                <w:color w:val="auto"/>
              </w:rPr>
            </w:pP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ind w:left="80"/>
              <w:spacing w:after="0" w:line="149" w:lineRule="exact"/>
              <w:rPr>
                <w:sz w:val="20"/>
                <w:szCs w:val="20"/>
                <w:color w:val="auto"/>
              </w:rPr>
            </w:pPr>
            <w:r>
              <w:rPr>
                <w:rFonts w:ascii="Arial" w:cs="Arial" w:eastAsia="Arial" w:hAnsi="Arial"/>
                <w:sz w:val="14"/>
                <w:szCs w:val="14"/>
                <w:color w:val="auto"/>
                <w:w w:val="94"/>
              </w:rPr>
              <w:t>be dependent on the nature and amount of actual expenditures, but is</w:t>
            </w: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tcPr>
          <w:p>
            <w:pPr>
              <w:ind w:left="140"/>
              <w:spacing w:after="0" w:line="149" w:lineRule="exact"/>
              <w:rPr>
                <w:sz w:val="20"/>
                <w:szCs w:val="20"/>
                <w:color w:val="auto"/>
              </w:rPr>
            </w:pPr>
            <w:r>
              <w:rPr>
                <w:rFonts w:ascii="Arial" w:cs="Arial" w:eastAsia="Arial" w:hAnsi="Arial"/>
                <w:sz w:val="14"/>
                <w:szCs w:val="14"/>
                <w:color w:val="auto"/>
              </w:rPr>
              <w:t>Computing</w:t>
            </w:r>
          </w:p>
        </w:tc>
        <w:tc>
          <w:tcPr>
            <w:tcW w:w="366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ind w:left="80"/>
              <w:spacing w:after="0" w:line="149" w:lineRule="exact"/>
              <w:rPr>
                <w:sz w:val="20"/>
                <w:szCs w:val="20"/>
                <w:color w:val="auto"/>
              </w:rPr>
            </w:pPr>
            <w:r>
              <w:rPr>
                <w:rFonts w:ascii="Arial" w:cs="Arial" w:eastAsia="Arial" w:hAnsi="Arial"/>
                <w:sz w:val="14"/>
                <w:szCs w:val="14"/>
                <w:color w:val="auto"/>
              </w:rPr>
              <w:t>not expected to be material.</w:t>
            </w: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tcPr>
          <w:p>
            <w:pPr>
              <w:ind w:left="140"/>
              <w:spacing w:after="0" w:line="149" w:lineRule="exact"/>
              <w:rPr>
                <w:sz w:val="20"/>
                <w:szCs w:val="20"/>
                <w:color w:val="auto"/>
              </w:rPr>
            </w:pPr>
            <w:r>
              <w:rPr>
                <w:rFonts w:ascii="Arial" w:cs="Arial" w:eastAsia="Arial" w:hAnsi="Arial"/>
                <w:sz w:val="14"/>
                <w:szCs w:val="14"/>
                <w:color w:val="auto"/>
              </w:rPr>
              <w:t>Arrangement That Is a</w:t>
            </w:r>
          </w:p>
        </w:tc>
        <w:tc>
          <w:tcPr>
            <w:tcW w:w="366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6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Service Contract</w:t>
            </w:r>
          </w:p>
        </w:tc>
        <w:tc>
          <w:tcPr>
            <w:tcW w:w="366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1500" w:type="dxa"/>
            <w:vAlign w:val="bottom"/>
            <w:tcBorders>
              <w:right w:val="single" w:sz="8" w:color="auto"/>
            </w:tcBorders>
          </w:tcPr>
          <w:p>
            <w:pPr>
              <w:spacing w:after="0"/>
              <w:rPr>
                <w:sz w:val="15"/>
                <w:szCs w:val="15"/>
                <w:color w:val="auto"/>
              </w:rPr>
            </w:pPr>
          </w:p>
        </w:tc>
        <w:tc>
          <w:tcPr>
            <w:tcW w:w="42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1680" w:type="dxa"/>
            <w:vAlign w:val="bottom"/>
            <w:tcBorders>
              <w:left w:val="single" w:sz="8" w:color="auto"/>
              <w:bottom w:val="single" w:sz="8" w:color="auto"/>
              <w:right w:val="single" w:sz="8" w:color="auto"/>
            </w:tcBorders>
          </w:tcPr>
          <w:p>
            <w:pPr>
              <w:spacing w:after="0"/>
              <w:rPr>
                <w:sz w:val="11"/>
                <w:szCs w:val="11"/>
                <w:color w:val="auto"/>
              </w:rPr>
            </w:pPr>
          </w:p>
        </w:tc>
        <w:tc>
          <w:tcPr>
            <w:tcW w:w="3660" w:type="dxa"/>
            <w:vAlign w:val="bottom"/>
            <w:tcBorders>
              <w:bottom w:val="single" w:sz="8" w:color="auto"/>
            </w:tcBorders>
          </w:tcPr>
          <w:p>
            <w:pPr>
              <w:spacing w:after="0"/>
              <w:rPr>
                <w:sz w:val="11"/>
                <w:szCs w:val="11"/>
                <w:color w:val="auto"/>
              </w:rPr>
            </w:pPr>
          </w:p>
        </w:tc>
        <w:tc>
          <w:tcPr>
            <w:tcW w:w="200" w:type="dxa"/>
            <w:vAlign w:val="bottom"/>
            <w:tcBorders>
              <w:bottom w:val="single" w:sz="8" w:color="auto"/>
              <w:right w:val="single" w:sz="8" w:color="auto"/>
            </w:tcBorders>
          </w:tcPr>
          <w:p>
            <w:pPr>
              <w:spacing w:after="0"/>
              <w:rPr>
                <w:sz w:val="11"/>
                <w:szCs w:val="11"/>
                <w:color w:val="auto"/>
              </w:rPr>
            </w:pPr>
          </w:p>
        </w:tc>
        <w:tc>
          <w:tcPr>
            <w:tcW w:w="1500" w:type="dxa"/>
            <w:vAlign w:val="bottom"/>
            <w:tcBorders>
              <w:bottom w:val="single" w:sz="8" w:color="auto"/>
              <w:right w:val="single" w:sz="8" w:color="auto"/>
            </w:tcBorders>
          </w:tcPr>
          <w:p>
            <w:pPr>
              <w:spacing w:after="0"/>
              <w:rPr>
                <w:sz w:val="11"/>
                <w:szCs w:val="11"/>
                <w:color w:val="auto"/>
              </w:rPr>
            </w:pPr>
          </w:p>
        </w:tc>
        <w:tc>
          <w:tcPr>
            <w:tcW w:w="42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1680" w:type="dxa"/>
            <w:vAlign w:val="bottom"/>
            <w:tcBorders>
              <w:left w:val="single" w:sz="8" w:color="auto"/>
              <w:right w:val="single" w:sz="8" w:color="auto"/>
            </w:tcBorders>
            <w:shd w:val="clear" w:color="auto" w:fill="CFF0FC"/>
          </w:tcPr>
          <w:p>
            <w:pPr>
              <w:ind w:left="140"/>
              <w:spacing w:after="0" w:line="123" w:lineRule="exact"/>
              <w:rPr>
                <w:sz w:val="20"/>
                <w:szCs w:val="20"/>
                <w:color w:val="auto"/>
              </w:rPr>
            </w:pPr>
            <w:r>
              <w:rPr>
                <w:rFonts w:ascii="Arial" w:cs="Arial" w:eastAsia="Arial" w:hAnsi="Arial"/>
                <w:sz w:val="14"/>
                <w:szCs w:val="14"/>
                <w:color w:val="auto"/>
              </w:rPr>
              <w:t>Improvements to</w:t>
            </w:r>
          </w:p>
        </w:tc>
        <w:tc>
          <w:tcPr>
            <w:tcW w:w="3660" w:type="dxa"/>
            <w:vAlign w:val="bottom"/>
            <w:shd w:val="clear" w:color="auto" w:fill="CFF0FC"/>
          </w:tcPr>
          <w:p>
            <w:pPr>
              <w:ind w:left="100"/>
              <w:spacing w:after="0" w:line="123" w:lineRule="exact"/>
              <w:rPr>
                <w:sz w:val="20"/>
                <w:szCs w:val="20"/>
                <w:color w:val="auto"/>
              </w:rPr>
            </w:pPr>
            <w:r>
              <w:rPr>
                <w:rFonts w:ascii="Arial" w:cs="Arial" w:eastAsia="Arial" w:hAnsi="Arial"/>
                <w:sz w:val="14"/>
                <w:szCs w:val="14"/>
                <w:color w:val="auto"/>
                <w:w w:val="96"/>
              </w:rPr>
              <w:t>The amended guidance requires that indirect interests held</w:t>
            </w:r>
          </w:p>
        </w:tc>
        <w:tc>
          <w:tcPr>
            <w:tcW w:w="200" w:type="dxa"/>
            <w:vAlign w:val="bottom"/>
            <w:tcBorders>
              <w:right w:val="single" w:sz="8" w:color="auto"/>
            </w:tcBorders>
            <w:shd w:val="clear" w:color="auto" w:fill="CFF0FC"/>
          </w:tcPr>
          <w:p>
            <w:pPr>
              <w:spacing w:after="0"/>
              <w:rPr>
                <w:sz w:val="10"/>
                <w:szCs w:val="10"/>
                <w:color w:val="auto"/>
              </w:rPr>
            </w:pPr>
          </w:p>
        </w:tc>
        <w:tc>
          <w:tcPr>
            <w:tcW w:w="1500" w:type="dxa"/>
            <w:vAlign w:val="bottom"/>
            <w:tcBorders>
              <w:right w:val="single" w:sz="8" w:color="auto"/>
            </w:tcBorders>
            <w:shd w:val="clear" w:color="auto" w:fill="CFF0FC"/>
          </w:tcPr>
          <w:p>
            <w:pPr>
              <w:jc w:val="center"/>
              <w:spacing w:after="0" w:line="123" w:lineRule="exact"/>
              <w:rPr>
                <w:sz w:val="20"/>
                <w:szCs w:val="20"/>
                <w:color w:val="auto"/>
              </w:rPr>
            </w:pPr>
            <w:r>
              <w:rPr>
                <w:rFonts w:ascii="Arial" w:cs="Arial" w:eastAsia="Arial" w:hAnsi="Arial"/>
                <w:sz w:val="14"/>
                <w:szCs w:val="14"/>
                <w:color w:val="auto"/>
                <w:w w:val="89"/>
              </w:rPr>
              <w:t>January 1, 2020</w:t>
            </w:r>
          </w:p>
        </w:tc>
        <w:tc>
          <w:tcPr>
            <w:tcW w:w="4200" w:type="dxa"/>
            <w:vAlign w:val="bottom"/>
            <w:tcBorders>
              <w:right w:val="single" w:sz="8" w:color="auto"/>
            </w:tcBorders>
            <w:shd w:val="clear" w:color="auto" w:fill="CFF0FC"/>
          </w:tcPr>
          <w:p>
            <w:pPr>
              <w:ind w:left="80"/>
              <w:spacing w:after="0" w:line="123" w:lineRule="exact"/>
              <w:rPr>
                <w:sz w:val="20"/>
                <w:szCs w:val="20"/>
                <w:color w:val="auto"/>
              </w:rPr>
            </w:pPr>
            <w:r>
              <w:rPr>
                <w:rFonts w:ascii="Arial" w:cs="Arial" w:eastAsia="Arial" w:hAnsi="Arial"/>
                <w:sz w:val="14"/>
                <w:szCs w:val="14"/>
                <w:color w:val="auto"/>
              </w:rPr>
              <w:t>The guidance did not have a material impact on the Company’s</w:t>
            </w: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shd w:val="clear" w:color="auto" w:fill="CFF0FC"/>
          </w:tcPr>
          <w:p>
            <w:pPr>
              <w:ind w:left="140"/>
              <w:spacing w:after="0" w:line="149" w:lineRule="exact"/>
              <w:rPr>
                <w:sz w:val="20"/>
                <w:szCs w:val="20"/>
                <w:color w:val="auto"/>
              </w:rPr>
            </w:pPr>
            <w:r>
              <w:rPr>
                <w:rFonts w:ascii="Arial" w:cs="Arial" w:eastAsia="Arial" w:hAnsi="Arial"/>
                <w:sz w:val="14"/>
                <w:szCs w:val="14"/>
                <w:color w:val="auto"/>
              </w:rPr>
              <w:t>Related Party</w:t>
            </w:r>
          </w:p>
        </w:tc>
        <w:tc>
          <w:tcPr>
            <w:tcW w:w="3660" w:type="dxa"/>
            <w:vAlign w:val="bottom"/>
            <w:shd w:val="clear" w:color="auto" w:fill="CFF0FC"/>
          </w:tcPr>
          <w:p>
            <w:pPr>
              <w:ind w:left="100"/>
              <w:spacing w:after="0" w:line="149" w:lineRule="exact"/>
              <w:rPr>
                <w:sz w:val="20"/>
                <w:szCs w:val="20"/>
                <w:color w:val="auto"/>
              </w:rPr>
            </w:pPr>
            <w:r>
              <w:rPr>
                <w:rFonts w:ascii="Arial" w:cs="Arial" w:eastAsia="Arial" w:hAnsi="Arial"/>
                <w:sz w:val="14"/>
                <w:szCs w:val="14"/>
                <w:color w:val="auto"/>
              </w:rPr>
              <w:t>through related parties in common control arrangements</w:t>
            </w:r>
          </w:p>
        </w:tc>
        <w:tc>
          <w:tcPr>
            <w:tcW w:w="200" w:type="dxa"/>
            <w:vAlign w:val="bottom"/>
            <w:tcBorders>
              <w:right w:val="single" w:sz="8" w:color="auto"/>
            </w:tcBorders>
            <w:shd w:val="clear" w:color="auto" w:fill="CFF0FC"/>
          </w:tcPr>
          <w:p>
            <w:pPr>
              <w:spacing w:after="0"/>
              <w:rPr>
                <w:sz w:val="12"/>
                <w:szCs w:val="12"/>
                <w:color w:val="auto"/>
              </w:rPr>
            </w:pP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ind w:left="80"/>
              <w:spacing w:after="0" w:line="149" w:lineRule="exact"/>
              <w:rPr>
                <w:sz w:val="20"/>
                <w:szCs w:val="20"/>
                <w:color w:val="auto"/>
              </w:rPr>
            </w:pPr>
            <w:r>
              <w:rPr>
                <w:rFonts w:ascii="Arial" w:cs="Arial" w:eastAsia="Arial" w:hAnsi="Arial"/>
                <w:sz w:val="14"/>
                <w:szCs w:val="14"/>
                <w:color w:val="auto"/>
              </w:rPr>
              <w:t>consolidated financial statements.</w:t>
            </w: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shd w:val="clear" w:color="auto" w:fill="CFF0FC"/>
          </w:tcPr>
          <w:p>
            <w:pPr>
              <w:ind w:left="140"/>
              <w:spacing w:after="0" w:line="149" w:lineRule="exact"/>
              <w:rPr>
                <w:sz w:val="20"/>
                <w:szCs w:val="20"/>
                <w:color w:val="auto"/>
              </w:rPr>
            </w:pPr>
            <w:r>
              <w:rPr>
                <w:rFonts w:ascii="Arial" w:cs="Arial" w:eastAsia="Arial" w:hAnsi="Arial"/>
                <w:sz w:val="14"/>
                <w:szCs w:val="14"/>
                <w:color w:val="auto"/>
              </w:rPr>
              <w:t>Guidance for VIEs</w:t>
            </w:r>
          </w:p>
        </w:tc>
        <w:tc>
          <w:tcPr>
            <w:tcW w:w="3660" w:type="dxa"/>
            <w:vAlign w:val="bottom"/>
            <w:shd w:val="clear" w:color="auto" w:fill="CFF0FC"/>
          </w:tcPr>
          <w:p>
            <w:pPr>
              <w:ind w:left="100"/>
              <w:spacing w:after="0" w:line="149" w:lineRule="exact"/>
              <w:rPr>
                <w:sz w:val="20"/>
                <w:szCs w:val="20"/>
                <w:color w:val="auto"/>
              </w:rPr>
            </w:pPr>
            <w:r>
              <w:rPr>
                <w:rFonts w:ascii="Arial" w:cs="Arial" w:eastAsia="Arial" w:hAnsi="Arial"/>
                <w:sz w:val="14"/>
                <w:szCs w:val="14"/>
                <w:color w:val="auto"/>
              </w:rPr>
              <w:t>should be considered on a proportional basis for</w:t>
            </w:r>
          </w:p>
        </w:tc>
        <w:tc>
          <w:tcPr>
            <w:tcW w:w="200" w:type="dxa"/>
            <w:vAlign w:val="bottom"/>
            <w:tcBorders>
              <w:right w:val="single" w:sz="8" w:color="auto"/>
            </w:tcBorders>
            <w:shd w:val="clear" w:color="auto" w:fill="CFF0FC"/>
          </w:tcPr>
          <w:p>
            <w:pPr>
              <w:spacing w:after="0"/>
              <w:rPr>
                <w:sz w:val="12"/>
                <w:szCs w:val="12"/>
                <w:color w:val="auto"/>
              </w:rPr>
            </w:pP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660" w:type="dxa"/>
            <w:vAlign w:val="bottom"/>
            <w:shd w:val="clear" w:color="auto" w:fill="CFF0FC"/>
          </w:tcPr>
          <w:p>
            <w:pPr>
              <w:ind w:left="100"/>
              <w:spacing w:after="0" w:line="149" w:lineRule="exact"/>
              <w:rPr>
                <w:sz w:val="20"/>
                <w:szCs w:val="20"/>
                <w:color w:val="auto"/>
              </w:rPr>
            </w:pPr>
            <w:r>
              <w:rPr>
                <w:rFonts w:ascii="Arial" w:cs="Arial" w:eastAsia="Arial" w:hAnsi="Arial"/>
                <w:sz w:val="14"/>
                <w:szCs w:val="14"/>
                <w:color w:val="auto"/>
              </w:rPr>
              <w:t>determining whether fees paid to decision makers and</w:t>
            </w:r>
          </w:p>
        </w:tc>
        <w:tc>
          <w:tcPr>
            <w:tcW w:w="200" w:type="dxa"/>
            <w:vAlign w:val="bottom"/>
            <w:tcBorders>
              <w:right w:val="single" w:sz="8" w:color="auto"/>
            </w:tcBorders>
            <w:shd w:val="clear" w:color="auto" w:fill="CFF0FC"/>
          </w:tcPr>
          <w:p>
            <w:pPr>
              <w:spacing w:after="0"/>
              <w:rPr>
                <w:sz w:val="12"/>
                <w:szCs w:val="12"/>
                <w:color w:val="auto"/>
              </w:rPr>
            </w:pP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680" w:type="dxa"/>
            <w:vAlign w:val="bottom"/>
            <w:tcBorders>
              <w:left w:val="single" w:sz="8" w:color="auto"/>
              <w:bottom w:val="single" w:sz="8" w:color="auto"/>
              <w:right w:val="single" w:sz="8" w:color="auto"/>
            </w:tcBorders>
            <w:shd w:val="clear" w:color="auto" w:fill="CFF0FC"/>
          </w:tcPr>
          <w:p>
            <w:pPr>
              <w:spacing w:after="0"/>
              <w:rPr>
                <w:sz w:val="14"/>
                <w:szCs w:val="14"/>
                <w:color w:val="auto"/>
              </w:rPr>
            </w:pPr>
          </w:p>
        </w:tc>
        <w:tc>
          <w:tcPr>
            <w:tcW w:w="3660" w:type="dxa"/>
            <w:vAlign w:val="bottom"/>
            <w:tcBorders>
              <w:bottom w:val="single" w:sz="8" w:color="auto"/>
            </w:tcBorders>
            <w:shd w:val="clear" w:color="auto" w:fill="CFF0FC"/>
          </w:tcPr>
          <w:p>
            <w:pPr>
              <w:ind w:left="100"/>
              <w:spacing w:after="0"/>
              <w:rPr>
                <w:sz w:val="20"/>
                <w:szCs w:val="20"/>
                <w:color w:val="auto"/>
              </w:rPr>
            </w:pPr>
            <w:r>
              <w:rPr>
                <w:rFonts w:ascii="Arial" w:cs="Arial" w:eastAsia="Arial" w:hAnsi="Arial"/>
                <w:sz w:val="14"/>
                <w:szCs w:val="14"/>
                <w:color w:val="auto"/>
              </w:rPr>
              <w:t>service providers are variable interests.</w:t>
            </w:r>
          </w:p>
        </w:tc>
        <w:tc>
          <w:tcPr>
            <w:tcW w:w="200" w:type="dxa"/>
            <w:vAlign w:val="bottom"/>
            <w:tcBorders>
              <w:bottom w:val="single" w:sz="8" w:color="auto"/>
              <w:right w:val="single" w:sz="8" w:color="auto"/>
            </w:tcBorders>
            <w:shd w:val="clear" w:color="auto" w:fill="CFF0FC"/>
          </w:tcPr>
          <w:p>
            <w:pPr>
              <w:spacing w:after="0"/>
              <w:rPr>
                <w:sz w:val="14"/>
                <w:szCs w:val="14"/>
                <w:color w:val="auto"/>
              </w:rPr>
            </w:pPr>
          </w:p>
        </w:tc>
        <w:tc>
          <w:tcPr>
            <w:tcW w:w="1500" w:type="dxa"/>
            <w:vAlign w:val="bottom"/>
            <w:tcBorders>
              <w:bottom w:val="single" w:sz="8" w:color="auto"/>
              <w:right w:val="single" w:sz="8" w:color="auto"/>
            </w:tcBorders>
            <w:shd w:val="clear" w:color="auto" w:fill="CFF0FC"/>
          </w:tcPr>
          <w:p>
            <w:pPr>
              <w:spacing w:after="0"/>
              <w:rPr>
                <w:sz w:val="14"/>
                <w:szCs w:val="14"/>
                <w:color w:val="auto"/>
              </w:rPr>
            </w:pPr>
          </w:p>
        </w:tc>
        <w:tc>
          <w:tcPr>
            <w:tcW w:w="4200" w:type="dxa"/>
            <w:vAlign w:val="bottom"/>
            <w:tcBorders>
              <w:bottom w:val="single" w:sz="8" w:color="auto"/>
              <w:right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425"/>
        </w:trPr>
        <w:tc>
          <w:tcPr>
            <w:tcW w:w="16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700" w:type="dxa"/>
            <w:vAlign w:val="bottom"/>
            <w:gridSpan w:val="2"/>
          </w:tcPr>
          <w:p>
            <w:pPr>
              <w:jc w:val="right"/>
              <w:ind w:right="1148"/>
              <w:spacing w:after="0"/>
              <w:rPr>
                <w:sz w:val="20"/>
                <w:szCs w:val="20"/>
                <w:color w:val="auto"/>
              </w:rPr>
            </w:pPr>
            <w:r>
              <w:rPr>
                <w:rFonts w:ascii="Arial" w:cs="Arial" w:eastAsia="Arial" w:hAnsi="Arial"/>
                <w:sz w:val="18"/>
                <w:szCs w:val="18"/>
                <w:color w:val="auto"/>
              </w:rPr>
              <w:t>-42-</w:t>
            </w:r>
          </w:p>
        </w:tc>
        <w:tc>
          <w:tcPr>
            <w:tcW w:w="4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680" w:type="dxa"/>
            <w:vAlign w:val="bottom"/>
            <w:tcBorders>
              <w:bottom w:val="single" w:sz="8" w:color="9A9A9A"/>
            </w:tcBorders>
          </w:tcPr>
          <w:p>
            <w:pPr>
              <w:spacing w:after="0"/>
              <w:rPr>
                <w:sz w:val="9"/>
                <w:szCs w:val="9"/>
                <w:color w:val="auto"/>
              </w:rPr>
            </w:pPr>
          </w:p>
        </w:tc>
        <w:tc>
          <w:tcPr>
            <w:tcW w:w="36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42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-7620</wp:posOffset>
            </wp:positionV>
            <wp:extent cx="825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25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NOTES TO FINANCIAL STATEMENTS, CONTINUED</w:t>
      </w:r>
    </w:p>
    <w:p>
      <w:pPr>
        <w:spacing w:after="0" w:line="21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15. Recent accounting developments, continued</w:t>
      </w:r>
    </w:p>
    <w:p>
      <w:pPr>
        <w:spacing w:after="0" w:line="216" w:lineRule="exact"/>
        <w:rPr>
          <w:sz w:val="20"/>
          <w:szCs w:val="20"/>
          <w:color w:val="auto"/>
        </w:rPr>
      </w:pPr>
    </w:p>
    <w:tbl>
      <w:tblPr>
        <w:tblLayout w:type="fixed"/>
        <w:tblInd w:w="10" w:type="dxa"/>
        <w:tblCellMar>
          <w:top w:w="0" w:type="dxa"/>
          <w:left w:w="0" w:type="dxa"/>
          <w:bottom w:w="0" w:type="dxa"/>
          <w:right w:w="0" w:type="dxa"/>
        </w:tblCellMar>
      </w:tblPr>
      <w:tr>
        <w:trPr>
          <w:trHeight w:val="139"/>
        </w:trPr>
        <w:tc>
          <w:tcPr>
            <w:tcW w:w="1680" w:type="dxa"/>
            <w:vAlign w:val="bottom"/>
            <w:tcBorders>
              <w:top w:val="single" w:sz="8" w:color="auto"/>
              <w:left w:val="single" w:sz="8" w:color="auto"/>
              <w:right w:val="single" w:sz="8" w:color="auto"/>
            </w:tcBorders>
            <w:vMerge w:val="restart"/>
          </w:tcPr>
          <w:p>
            <w:pPr>
              <w:ind w:left="520"/>
              <w:spacing w:after="0"/>
              <w:rPr>
                <w:sz w:val="20"/>
                <w:szCs w:val="20"/>
                <w:color w:val="auto"/>
              </w:rPr>
            </w:pPr>
            <w:r>
              <w:rPr>
                <w:rFonts w:ascii="Arial" w:cs="Arial" w:eastAsia="Arial" w:hAnsi="Arial"/>
                <w:sz w:val="14"/>
                <w:szCs w:val="14"/>
                <w:b w:val="1"/>
                <w:bCs w:val="1"/>
                <w:color w:val="auto"/>
              </w:rPr>
              <w:t>Standard</w:t>
            </w:r>
          </w:p>
        </w:tc>
        <w:tc>
          <w:tcPr>
            <w:tcW w:w="3660" w:type="dxa"/>
            <w:vAlign w:val="bottom"/>
            <w:tcBorders>
              <w:top w:val="single" w:sz="8" w:color="auto"/>
            </w:tcBorders>
            <w:vMerge w:val="restart"/>
          </w:tcPr>
          <w:p>
            <w:pPr>
              <w:ind w:left="1480"/>
              <w:spacing w:after="0"/>
              <w:rPr>
                <w:sz w:val="20"/>
                <w:szCs w:val="20"/>
                <w:color w:val="auto"/>
              </w:rPr>
            </w:pPr>
            <w:r>
              <w:rPr>
                <w:rFonts w:ascii="Arial" w:cs="Arial" w:eastAsia="Arial" w:hAnsi="Arial"/>
                <w:sz w:val="14"/>
                <w:szCs w:val="14"/>
                <w:b w:val="1"/>
                <w:bCs w:val="1"/>
                <w:color w:val="auto"/>
              </w:rPr>
              <w:t>Description</w:t>
            </w:r>
          </w:p>
        </w:tc>
        <w:tc>
          <w:tcPr>
            <w:tcW w:w="200" w:type="dxa"/>
            <w:vAlign w:val="bottom"/>
            <w:tcBorders>
              <w:top w:val="single" w:sz="8" w:color="auto"/>
              <w:right w:val="single" w:sz="8" w:color="auto"/>
            </w:tcBorders>
          </w:tcPr>
          <w:p>
            <w:pPr>
              <w:spacing w:after="0"/>
              <w:rPr>
                <w:sz w:val="12"/>
                <w:szCs w:val="12"/>
                <w:color w:val="auto"/>
              </w:rPr>
            </w:pPr>
          </w:p>
        </w:tc>
        <w:tc>
          <w:tcPr>
            <w:tcW w:w="1500" w:type="dxa"/>
            <w:vAlign w:val="bottom"/>
            <w:tcBorders>
              <w:top w:val="single" w:sz="8" w:color="auto"/>
              <w:right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92"/>
              </w:rPr>
              <w:t>Required date</w:t>
            </w:r>
          </w:p>
        </w:tc>
        <w:tc>
          <w:tcPr>
            <w:tcW w:w="4200" w:type="dxa"/>
            <w:vAlign w:val="bottom"/>
            <w:tcBorders>
              <w:top w:val="single" w:sz="8" w:color="auto"/>
              <w:right w:val="single" w:sz="8" w:color="auto"/>
            </w:tcBorders>
            <w:vMerge w:val="restart"/>
          </w:tcPr>
          <w:p>
            <w:pPr>
              <w:ind w:left="760"/>
              <w:spacing w:after="0"/>
              <w:rPr>
                <w:sz w:val="20"/>
                <w:szCs w:val="20"/>
                <w:color w:val="auto"/>
              </w:rPr>
            </w:pPr>
            <w:r>
              <w:rPr>
                <w:rFonts w:ascii="Arial" w:cs="Arial" w:eastAsia="Arial" w:hAnsi="Arial"/>
                <w:sz w:val="14"/>
                <w:szCs w:val="14"/>
                <w:b w:val="1"/>
                <w:bCs w:val="1"/>
                <w:color w:val="auto"/>
              </w:rPr>
              <w:t>Effect on consolidated financial statements</w:t>
            </w:r>
          </w:p>
        </w:tc>
        <w:tc>
          <w:tcPr>
            <w:tcW w:w="0" w:type="dxa"/>
            <w:vAlign w:val="bottom"/>
          </w:tcPr>
          <w:p>
            <w:pPr>
              <w:spacing w:after="0"/>
              <w:rPr>
                <w:sz w:val="1"/>
                <w:szCs w:val="1"/>
                <w:color w:val="auto"/>
              </w:rPr>
            </w:pPr>
          </w:p>
        </w:tc>
      </w:tr>
      <w:tr>
        <w:trPr>
          <w:trHeight w:val="171"/>
        </w:trPr>
        <w:tc>
          <w:tcPr>
            <w:tcW w:w="168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366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of adoption</w:t>
            </w:r>
          </w:p>
        </w:tc>
        <w:tc>
          <w:tcPr>
            <w:tcW w:w="420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340" w:type="dxa"/>
            <w:vAlign w:val="bottom"/>
            <w:tcBorders>
              <w:left w:val="single" w:sz="8" w:color="auto"/>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Standards Not Yet Adopted as of March 31, 2020</w:t>
            </w: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42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16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Changes to the</w:t>
            </w:r>
          </w:p>
        </w:tc>
        <w:tc>
          <w:tcPr>
            <w:tcW w:w="3660" w:type="dxa"/>
            <w:vAlign w:val="bottom"/>
          </w:tcPr>
          <w:p>
            <w:pPr>
              <w:ind w:left="100"/>
              <w:spacing w:after="0"/>
              <w:rPr>
                <w:sz w:val="20"/>
                <w:szCs w:val="20"/>
                <w:color w:val="auto"/>
              </w:rPr>
            </w:pPr>
            <w:r>
              <w:rPr>
                <w:rFonts w:ascii="Arial" w:cs="Arial" w:eastAsia="Arial" w:hAnsi="Arial"/>
                <w:sz w:val="14"/>
                <w:szCs w:val="14"/>
                <w:color w:val="auto"/>
              </w:rPr>
              <w:t>The amended guidance modifies the disclosure</w:t>
            </w:r>
          </w:p>
        </w:tc>
        <w:tc>
          <w:tcPr>
            <w:tcW w:w="200" w:type="dxa"/>
            <w:vAlign w:val="bottom"/>
            <w:tcBorders>
              <w:right w:val="single" w:sz="8" w:color="auto"/>
            </w:tcBorders>
          </w:tcPr>
          <w:p>
            <w:pPr>
              <w:spacing w:after="0"/>
              <w:rPr>
                <w:sz w:val="23"/>
                <w:szCs w:val="23"/>
                <w:color w:val="auto"/>
              </w:rPr>
            </w:pP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9"/>
              </w:rPr>
              <w:t>January 1, 2021</w:t>
            </w:r>
          </w:p>
        </w:tc>
        <w:tc>
          <w:tcPr>
            <w:tcW w:w="420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w w:val="98"/>
              </w:rPr>
              <w:t>The amendments should be applied retrospectively. The Company</w:t>
            </w: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tcPr>
          <w:p>
            <w:pPr>
              <w:ind w:left="140"/>
              <w:spacing w:after="0" w:line="149" w:lineRule="exact"/>
              <w:rPr>
                <w:sz w:val="20"/>
                <w:szCs w:val="20"/>
                <w:color w:val="auto"/>
              </w:rPr>
            </w:pPr>
            <w:r>
              <w:rPr>
                <w:rFonts w:ascii="Arial" w:cs="Arial" w:eastAsia="Arial" w:hAnsi="Arial"/>
                <w:sz w:val="14"/>
                <w:szCs w:val="14"/>
                <w:color w:val="auto"/>
              </w:rPr>
              <w:t>Disclosure</w:t>
            </w:r>
          </w:p>
        </w:tc>
        <w:tc>
          <w:tcPr>
            <w:tcW w:w="3660" w:type="dxa"/>
            <w:vAlign w:val="bottom"/>
          </w:tcPr>
          <w:p>
            <w:pPr>
              <w:ind w:left="100"/>
              <w:spacing w:after="0" w:line="149" w:lineRule="exact"/>
              <w:rPr>
                <w:sz w:val="20"/>
                <w:szCs w:val="20"/>
                <w:color w:val="auto"/>
              </w:rPr>
            </w:pPr>
            <w:r>
              <w:rPr>
                <w:rFonts w:ascii="Arial" w:cs="Arial" w:eastAsia="Arial" w:hAnsi="Arial"/>
                <w:sz w:val="14"/>
                <w:szCs w:val="14"/>
                <w:color w:val="auto"/>
              </w:rPr>
              <w:t>requirements for employers that sponsor defined benefit</w:t>
            </w:r>
          </w:p>
        </w:tc>
        <w:tc>
          <w:tcPr>
            <w:tcW w:w="200" w:type="dxa"/>
            <w:vAlign w:val="bottom"/>
            <w:tcBorders>
              <w:right w:val="single" w:sz="8" w:color="auto"/>
            </w:tcBorders>
          </w:tcPr>
          <w:p>
            <w:pPr>
              <w:spacing w:after="0"/>
              <w:rPr>
                <w:sz w:val="12"/>
                <w:szCs w:val="12"/>
                <w:color w:val="auto"/>
              </w:rPr>
            </w:pP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ind w:left="80"/>
              <w:spacing w:after="0" w:line="149" w:lineRule="exact"/>
              <w:rPr>
                <w:sz w:val="20"/>
                <w:szCs w:val="20"/>
                <w:color w:val="auto"/>
              </w:rPr>
            </w:pPr>
            <w:r>
              <w:rPr>
                <w:rFonts w:ascii="Arial" w:cs="Arial" w:eastAsia="Arial" w:hAnsi="Arial"/>
                <w:sz w:val="14"/>
                <w:szCs w:val="14"/>
                <w:color w:val="auto"/>
              </w:rPr>
              <w:t>does not expect the guidance to have a material impact on its</w:t>
            </w: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tcPr>
          <w:p>
            <w:pPr>
              <w:ind w:left="140"/>
              <w:spacing w:after="0" w:line="149" w:lineRule="exact"/>
              <w:rPr>
                <w:sz w:val="20"/>
                <w:szCs w:val="20"/>
                <w:color w:val="auto"/>
              </w:rPr>
            </w:pPr>
            <w:r>
              <w:rPr>
                <w:rFonts w:ascii="Arial" w:cs="Arial" w:eastAsia="Arial" w:hAnsi="Arial"/>
                <w:sz w:val="14"/>
                <w:szCs w:val="14"/>
                <w:color w:val="auto"/>
              </w:rPr>
              <w:t>Requirements for</w:t>
            </w:r>
          </w:p>
        </w:tc>
        <w:tc>
          <w:tcPr>
            <w:tcW w:w="3660" w:type="dxa"/>
            <w:vAlign w:val="bottom"/>
          </w:tcPr>
          <w:p>
            <w:pPr>
              <w:ind w:left="100"/>
              <w:spacing w:after="0" w:line="149" w:lineRule="exact"/>
              <w:rPr>
                <w:sz w:val="20"/>
                <w:szCs w:val="20"/>
                <w:color w:val="auto"/>
              </w:rPr>
            </w:pPr>
            <w:r>
              <w:rPr>
                <w:rFonts w:ascii="Arial" w:cs="Arial" w:eastAsia="Arial" w:hAnsi="Arial"/>
                <w:sz w:val="14"/>
                <w:szCs w:val="14"/>
                <w:color w:val="auto"/>
              </w:rPr>
              <w:t>pension or other postretirement plans. The disclosure</w:t>
            </w:r>
          </w:p>
        </w:tc>
        <w:tc>
          <w:tcPr>
            <w:tcW w:w="200" w:type="dxa"/>
            <w:vAlign w:val="bottom"/>
            <w:tcBorders>
              <w:right w:val="single" w:sz="8" w:color="auto"/>
            </w:tcBorders>
          </w:tcPr>
          <w:p>
            <w:pPr>
              <w:spacing w:after="0"/>
              <w:rPr>
                <w:sz w:val="12"/>
                <w:szCs w:val="12"/>
                <w:color w:val="auto"/>
              </w:rPr>
            </w:pPr>
          </w:p>
        </w:tc>
        <w:tc>
          <w:tcPr>
            <w:tcW w:w="15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Early adoption</w:t>
            </w:r>
          </w:p>
        </w:tc>
        <w:tc>
          <w:tcPr>
            <w:tcW w:w="4200" w:type="dxa"/>
            <w:vAlign w:val="bottom"/>
            <w:tcBorders>
              <w:right w:val="single" w:sz="8" w:color="auto"/>
            </w:tcBorders>
          </w:tcPr>
          <w:p>
            <w:pPr>
              <w:ind w:left="80"/>
              <w:spacing w:after="0" w:line="149" w:lineRule="exact"/>
              <w:rPr>
                <w:sz w:val="20"/>
                <w:szCs w:val="20"/>
                <w:color w:val="auto"/>
              </w:rPr>
            </w:pPr>
            <w:r>
              <w:rPr>
                <w:rFonts w:ascii="Arial" w:cs="Arial" w:eastAsia="Arial" w:hAnsi="Arial"/>
                <w:sz w:val="14"/>
                <w:szCs w:val="14"/>
                <w:color w:val="auto"/>
              </w:rPr>
              <w:t>consolidated financial statements.</w:t>
            </w: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tcPr>
          <w:p>
            <w:pPr>
              <w:ind w:left="140"/>
              <w:spacing w:after="0" w:line="149" w:lineRule="exact"/>
              <w:rPr>
                <w:sz w:val="20"/>
                <w:szCs w:val="20"/>
                <w:color w:val="auto"/>
              </w:rPr>
            </w:pPr>
            <w:r>
              <w:rPr>
                <w:rFonts w:ascii="Arial" w:cs="Arial" w:eastAsia="Arial" w:hAnsi="Arial"/>
                <w:sz w:val="14"/>
                <w:szCs w:val="14"/>
                <w:color w:val="auto"/>
              </w:rPr>
              <w:t>Defined Benefit Plans</w:t>
            </w:r>
          </w:p>
        </w:tc>
        <w:tc>
          <w:tcPr>
            <w:tcW w:w="3660" w:type="dxa"/>
            <w:vAlign w:val="bottom"/>
          </w:tcPr>
          <w:p>
            <w:pPr>
              <w:ind w:left="100"/>
              <w:spacing w:after="0" w:line="149" w:lineRule="exact"/>
              <w:rPr>
                <w:sz w:val="20"/>
                <w:szCs w:val="20"/>
                <w:color w:val="auto"/>
              </w:rPr>
            </w:pPr>
            <w:r>
              <w:rPr>
                <w:rFonts w:ascii="Arial" w:cs="Arial" w:eastAsia="Arial" w:hAnsi="Arial"/>
                <w:sz w:val="14"/>
                <w:szCs w:val="14"/>
                <w:color w:val="auto"/>
                <w:w w:val="99"/>
              </w:rPr>
              <w:t>requirements being removed relating to public companies</w:t>
            </w:r>
          </w:p>
        </w:tc>
        <w:tc>
          <w:tcPr>
            <w:tcW w:w="200" w:type="dxa"/>
            <w:vAlign w:val="bottom"/>
            <w:tcBorders>
              <w:right w:val="single" w:sz="8" w:color="auto"/>
            </w:tcBorders>
          </w:tcPr>
          <w:p>
            <w:pPr>
              <w:spacing w:after="0"/>
              <w:rPr>
                <w:sz w:val="12"/>
                <w:szCs w:val="12"/>
                <w:color w:val="auto"/>
              </w:rPr>
            </w:pPr>
          </w:p>
        </w:tc>
        <w:tc>
          <w:tcPr>
            <w:tcW w:w="15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permitted</w:t>
            </w:r>
          </w:p>
        </w:tc>
        <w:tc>
          <w:tcPr>
            <w:tcW w:w="4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tcPr>
          <w:p>
            <w:pPr>
              <w:spacing w:after="0"/>
              <w:rPr>
                <w:sz w:val="12"/>
                <w:szCs w:val="12"/>
                <w:color w:val="auto"/>
              </w:rPr>
            </w:pPr>
          </w:p>
        </w:tc>
        <w:tc>
          <w:tcPr>
            <w:tcW w:w="3660" w:type="dxa"/>
            <w:vAlign w:val="bottom"/>
          </w:tcPr>
          <w:p>
            <w:pPr>
              <w:ind w:left="100"/>
              <w:spacing w:after="0" w:line="149" w:lineRule="exact"/>
              <w:rPr>
                <w:sz w:val="20"/>
                <w:szCs w:val="20"/>
                <w:color w:val="auto"/>
              </w:rPr>
            </w:pPr>
            <w:r>
              <w:rPr>
                <w:rFonts w:ascii="Arial" w:cs="Arial" w:eastAsia="Arial" w:hAnsi="Arial"/>
                <w:sz w:val="14"/>
                <w:szCs w:val="14"/>
                <w:color w:val="auto"/>
                <w:w w:val="99"/>
              </w:rPr>
              <w:t>are (1) the amounts in accumulated other comprehensive</w:t>
            </w:r>
          </w:p>
        </w:tc>
        <w:tc>
          <w:tcPr>
            <w:tcW w:w="200" w:type="dxa"/>
            <w:vAlign w:val="bottom"/>
            <w:tcBorders>
              <w:right w:val="single" w:sz="8" w:color="auto"/>
            </w:tcBorders>
          </w:tcPr>
          <w:p>
            <w:pPr>
              <w:spacing w:after="0"/>
              <w:rPr>
                <w:sz w:val="12"/>
                <w:szCs w:val="12"/>
                <w:color w:val="auto"/>
              </w:rPr>
            </w:pP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tcPr>
          <w:p>
            <w:pPr>
              <w:spacing w:after="0"/>
              <w:rPr>
                <w:sz w:val="12"/>
                <w:szCs w:val="12"/>
                <w:color w:val="auto"/>
              </w:rPr>
            </w:pPr>
          </w:p>
        </w:tc>
        <w:tc>
          <w:tcPr>
            <w:tcW w:w="3660" w:type="dxa"/>
            <w:vAlign w:val="bottom"/>
          </w:tcPr>
          <w:p>
            <w:pPr>
              <w:ind w:left="100"/>
              <w:spacing w:after="0" w:line="149" w:lineRule="exact"/>
              <w:rPr>
                <w:sz w:val="20"/>
                <w:szCs w:val="20"/>
                <w:color w:val="auto"/>
              </w:rPr>
            </w:pPr>
            <w:r>
              <w:rPr>
                <w:rFonts w:ascii="Arial" w:cs="Arial" w:eastAsia="Arial" w:hAnsi="Arial"/>
                <w:sz w:val="14"/>
                <w:szCs w:val="14"/>
                <w:color w:val="auto"/>
              </w:rPr>
              <w:t>income expected to be recognized as components of net</w:t>
            </w:r>
          </w:p>
        </w:tc>
        <w:tc>
          <w:tcPr>
            <w:tcW w:w="200" w:type="dxa"/>
            <w:vAlign w:val="bottom"/>
            <w:tcBorders>
              <w:right w:val="single" w:sz="8" w:color="auto"/>
            </w:tcBorders>
          </w:tcPr>
          <w:p>
            <w:pPr>
              <w:spacing w:after="0"/>
              <w:rPr>
                <w:sz w:val="12"/>
                <w:szCs w:val="12"/>
                <w:color w:val="auto"/>
              </w:rPr>
            </w:pP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tcPr>
          <w:p>
            <w:pPr>
              <w:spacing w:after="0"/>
              <w:rPr>
                <w:sz w:val="12"/>
                <w:szCs w:val="12"/>
                <w:color w:val="auto"/>
              </w:rPr>
            </w:pPr>
          </w:p>
        </w:tc>
        <w:tc>
          <w:tcPr>
            <w:tcW w:w="3660" w:type="dxa"/>
            <w:vAlign w:val="bottom"/>
          </w:tcPr>
          <w:p>
            <w:pPr>
              <w:ind w:left="100"/>
              <w:spacing w:after="0" w:line="149" w:lineRule="exact"/>
              <w:rPr>
                <w:sz w:val="20"/>
                <w:szCs w:val="20"/>
                <w:color w:val="auto"/>
              </w:rPr>
            </w:pPr>
            <w:r>
              <w:rPr>
                <w:rFonts w:ascii="Arial" w:cs="Arial" w:eastAsia="Arial" w:hAnsi="Arial"/>
                <w:sz w:val="14"/>
                <w:szCs w:val="14"/>
                <w:color w:val="auto"/>
              </w:rPr>
              <w:t>periodic benefit cost over the next fiscal year, (2) the</w:t>
            </w:r>
          </w:p>
        </w:tc>
        <w:tc>
          <w:tcPr>
            <w:tcW w:w="200" w:type="dxa"/>
            <w:vAlign w:val="bottom"/>
            <w:tcBorders>
              <w:right w:val="single" w:sz="8" w:color="auto"/>
            </w:tcBorders>
          </w:tcPr>
          <w:p>
            <w:pPr>
              <w:spacing w:after="0"/>
              <w:rPr>
                <w:sz w:val="12"/>
                <w:szCs w:val="12"/>
                <w:color w:val="auto"/>
              </w:rPr>
            </w:pP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tcPr>
          <w:p>
            <w:pPr>
              <w:spacing w:after="0"/>
              <w:rPr>
                <w:sz w:val="12"/>
                <w:szCs w:val="12"/>
                <w:color w:val="auto"/>
              </w:rPr>
            </w:pPr>
          </w:p>
        </w:tc>
        <w:tc>
          <w:tcPr>
            <w:tcW w:w="3660" w:type="dxa"/>
            <w:vAlign w:val="bottom"/>
          </w:tcPr>
          <w:p>
            <w:pPr>
              <w:ind w:left="100"/>
              <w:spacing w:after="0" w:line="149" w:lineRule="exact"/>
              <w:rPr>
                <w:sz w:val="20"/>
                <w:szCs w:val="20"/>
                <w:color w:val="auto"/>
              </w:rPr>
            </w:pPr>
            <w:r>
              <w:rPr>
                <w:rFonts w:ascii="Arial" w:cs="Arial" w:eastAsia="Arial" w:hAnsi="Arial"/>
                <w:sz w:val="14"/>
                <w:szCs w:val="14"/>
                <w:color w:val="auto"/>
                <w:w w:val="94"/>
              </w:rPr>
              <w:t>amount and timing of plan assets expected to be returned to</w:t>
            </w:r>
          </w:p>
        </w:tc>
        <w:tc>
          <w:tcPr>
            <w:tcW w:w="200" w:type="dxa"/>
            <w:vAlign w:val="bottom"/>
            <w:tcBorders>
              <w:right w:val="single" w:sz="8" w:color="auto"/>
            </w:tcBorders>
          </w:tcPr>
          <w:p>
            <w:pPr>
              <w:spacing w:after="0"/>
              <w:rPr>
                <w:sz w:val="12"/>
                <w:szCs w:val="12"/>
                <w:color w:val="auto"/>
              </w:rPr>
            </w:pP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tcPr>
          <w:p>
            <w:pPr>
              <w:spacing w:after="0"/>
              <w:rPr>
                <w:sz w:val="12"/>
                <w:szCs w:val="12"/>
                <w:color w:val="auto"/>
              </w:rPr>
            </w:pPr>
          </w:p>
        </w:tc>
        <w:tc>
          <w:tcPr>
            <w:tcW w:w="3660" w:type="dxa"/>
            <w:vAlign w:val="bottom"/>
          </w:tcPr>
          <w:p>
            <w:pPr>
              <w:ind w:left="100"/>
              <w:spacing w:after="0" w:line="149" w:lineRule="exact"/>
              <w:rPr>
                <w:sz w:val="20"/>
                <w:szCs w:val="20"/>
                <w:color w:val="auto"/>
              </w:rPr>
            </w:pPr>
            <w:r>
              <w:rPr>
                <w:rFonts w:ascii="Arial" w:cs="Arial" w:eastAsia="Arial" w:hAnsi="Arial"/>
                <w:sz w:val="14"/>
                <w:szCs w:val="14"/>
                <w:color w:val="auto"/>
                <w:w w:val="98"/>
              </w:rPr>
              <w:t>the employer, (3) the 2001 disclosure requirement relating</w:t>
            </w:r>
          </w:p>
        </w:tc>
        <w:tc>
          <w:tcPr>
            <w:tcW w:w="200" w:type="dxa"/>
            <w:vAlign w:val="bottom"/>
            <w:tcBorders>
              <w:right w:val="single" w:sz="8" w:color="auto"/>
            </w:tcBorders>
          </w:tcPr>
          <w:p>
            <w:pPr>
              <w:spacing w:after="0"/>
              <w:rPr>
                <w:sz w:val="12"/>
                <w:szCs w:val="12"/>
                <w:color w:val="auto"/>
              </w:rPr>
            </w:pP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tcPr>
          <w:p>
            <w:pPr>
              <w:spacing w:after="0"/>
              <w:rPr>
                <w:sz w:val="12"/>
                <w:szCs w:val="12"/>
                <w:color w:val="auto"/>
              </w:rPr>
            </w:pPr>
          </w:p>
        </w:tc>
        <w:tc>
          <w:tcPr>
            <w:tcW w:w="3660" w:type="dxa"/>
            <w:vAlign w:val="bottom"/>
          </w:tcPr>
          <w:p>
            <w:pPr>
              <w:ind w:left="100"/>
              <w:spacing w:after="0" w:line="149" w:lineRule="exact"/>
              <w:rPr>
                <w:sz w:val="20"/>
                <w:szCs w:val="20"/>
                <w:color w:val="auto"/>
              </w:rPr>
            </w:pPr>
            <w:r>
              <w:rPr>
                <w:rFonts w:ascii="Arial" w:cs="Arial" w:eastAsia="Arial" w:hAnsi="Arial"/>
                <w:sz w:val="14"/>
                <w:szCs w:val="14"/>
                <w:color w:val="auto"/>
              </w:rPr>
              <w:t>to Japanese Welfare Pension Insurance Law, (4) related</w:t>
            </w:r>
          </w:p>
        </w:tc>
        <w:tc>
          <w:tcPr>
            <w:tcW w:w="200" w:type="dxa"/>
            <w:vAlign w:val="bottom"/>
            <w:tcBorders>
              <w:right w:val="single" w:sz="8" w:color="auto"/>
            </w:tcBorders>
          </w:tcPr>
          <w:p>
            <w:pPr>
              <w:spacing w:after="0"/>
              <w:rPr>
                <w:sz w:val="12"/>
                <w:szCs w:val="12"/>
                <w:color w:val="auto"/>
              </w:rPr>
            </w:pP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tcPr>
          <w:p>
            <w:pPr>
              <w:spacing w:after="0"/>
              <w:rPr>
                <w:sz w:val="12"/>
                <w:szCs w:val="12"/>
                <w:color w:val="auto"/>
              </w:rPr>
            </w:pPr>
          </w:p>
        </w:tc>
        <w:tc>
          <w:tcPr>
            <w:tcW w:w="3660" w:type="dxa"/>
            <w:vAlign w:val="bottom"/>
          </w:tcPr>
          <w:p>
            <w:pPr>
              <w:ind w:left="100"/>
              <w:spacing w:after="0" w:line="149" w:lineRule="exact"/>
              <w:rPr>
                <w:sz w:val="20"/>
                <w:szCs w:val="20"/>
                <w:color w:val="auto"/>
              </w:rPr>
            </w:pPr>
            <w:r>
              <w:rPr>
                <w:rFonts w:ascii="Arial" w:cs="Arial" w:eastAsia="Arial" w:hAnsi="Arial"/>
                <w:sz w:val="14"/>
                <w:szCs w:val="14"/>
                <w:color w:val="auto"/>
                <w:w w:val="95"/>
              </w:rPr>
              <w:t>party disclosures about the amount of future annual benefits</w:t>
            </w:r>
          </w:p>
        </w:tc>
        <w:tc>
          <w:tcPr>
            <w:tcW w:w="200" w:type="dxa"/>
            <w:vAlign w:val="bottom"/>
            <w:tcBorders>
              <w:right w:val="single" w:sz="8" w:color="auto"/>
            </w:tcBorders>
          </w:tcPr>
          <w:p>
            <w:pPr>
              <w:spacing w:after="0"/>
              <w:rPr>
                <w:sz w:val="12"/>
                <w:szCs w:val="12"/>
                <w:color w:val="auto"/>
              </w:rPr>
            </w:pP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tcPr>
          <w:p>
            <w:pPr>
              <w:spacing w:after="0"/>
              <w:rPr>
                <w:sz w:val="12"/>
                <w:szCs w:val="12"/>
                <w:color w:val="auto"/>
              </w:rPr>
            </w:pPr>
          </w:p>
        </w:tc>
        <w:tc>
          <w:tcPr>
            <w:tcW w:w="3660" w:type="dxa"/>
            <w:vAlign w:val="bottom"/>
          </w:tcPr>
          <w:p>
            <w:pPr>
              <w:ind w:left="100"/>
              <w:spacing w:after="0" w:line="149" w:lineRule="exact"/>
              <w:rPr>
                <w:sz w:val="20"/>
                <w:szCs w:val="20"/>
                <w:color w:val="auto"/>
              </w:rPr>
            </w:pPr>
            <w:r>
              <w:rPr>
                <w:rFonts w:ascii="Arial" w:cs="Arial" w:eastAsia="Arial" w:hAnsi="Arial"/>
                <w:sz w:val="14"/>
                <w:szCs w:val="14"/>
                <w:color w:val="auto"/>
              </w:rPr>
              <w:t>covered by insurance, and (5) the effects of a one-</w:t>
            </w:r>
          </w:p>
        </w:tc>
        <w:tc>
          <w:tcPr>
            <w:tcW w:w="200" w:type="dxa"/>
            <w:vAlign w:val="bottom"/>
            <w:tcBorders>
              <w:right w:val="single" w:sz="8" w:color="auto"/>
            </w:tcBorders>
          </w:tcPr>
          <w:p>
            <w:pPr>
              <w:spacing w:after="0"/>
              <w:rPr>
                <w:sz w:val="12"/>
                <w:szCs w:val="12"/>
                <w:color w:val="auto"/>
              </w:rPr>
            </w:pP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tcPr>
          <w:p>
            <w:pPr>
              <w:spacing w:after="0"/>
              <w:rPr>
                <w:sz w:val="12"/>
                <w:szCs w:val="12"/>
                <w:color w:val="auto"/>
              </w:rPr>
            </w:pPr>
          </w:p>
        </w:tc>
        <w:tc>
          <w:tcPr>
            <w:tcW w:w="3660" w:type="dxa"/>
            <w:vAlign w:val="bottom"/>
          </w:tcPr>
          <w:p>
            <w:pPr>
              <w:ind w:left="100"/>
              <w:spacing w:after="0" w:line="149" w:lineRule="exact"/>
              <w:rPr>
                <w:sz w:val="20"/>
                <w:szCs w:val="20"/>
                <w:color w:val="auto"/>
              </w:rPr>
            </w:pPr>
            <w:r>
              <w:rPr>
                <w:rFonts w:ascii="Arial" w:cs="Arial" w:eastAsia="Arial" w:hAnsi="Arial"/>
                <w:sz w:val="14"/>
                <w:szCs w:val="14"/>
                <w:color w:val="auto"/>
                <w:w w:val="94"/>
              </w:rPr>
              <w:t>percentage-point change in assumed health care cost trends</w:t>
            </w:r>
          </w:p>
        </w:tc>
        <w:tc>
          <w:tcPr>
            <w:tcW w:w="200" w:type="dxa"/>
            <w:vAlign w:val="bottom"/>
            <w:tcBorders>
              <w:right w:val="single" w:sz="8" w:color="auto"/>
            </w:tcBorders>
          </w:tcPr>
          <w:p>
            <w:pPr>
              <w:spacing w:after="0"/>
              <w:rPr>
                <w:sz w:val="12"/>
                <w:szCs w:val="12"/>
                <w:color w:val="auto"/>
              </w:rPr>
            </w:pP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tcPr>
          <w:p>
            <w:pPr>
              <w:spacing w:after="0"/>
              <w:rPr>
                <w:sz w:val="12"/>
                <w:szCs w:val="12"/>
                <w:color w:val="auto"/>
              </w:rPr>
            </w:pPr>
          </w:p>
        </w:tc>
        <w:tc>
          <w:tcPr>
            <w:tcW w:w="3660" w:type="dxa"/>
            <w:vAlign w:val="bottom"/>
          </w:tcPr>
          <w:p>
            <w:pPr>
              <w:ind w:left="100"/>
              <w:spacing w:after="0" w:line="149" w:lineRule="exact"/>
              <w:rPr>
                <w:sz w:val="20"/>
                <w:szCs w:val="20"/>
                <w:color w:val="auto"/>
              </w:rPr>
            </w:pPr>
            <w:r>
              <w:rPr>
                <w:rFonts w:ascii="Arial" w:cs="Arial" w:eastAsia="Arial" w:hAnsi="Arial"/>
                <w:sz w:val="14"/>
                <w:szCs w:val="14"/>
                <w:color w:val="auto"/>
              </w:rPr>
              <w:t>on the benefit cost and obligation. The disclosure</w:t>
            </w:r>
          </w:p>
        </w:tc>
        <w:tc>
          <w:tcPr>
            <w:tcW w:w="200" w:type="dxa"/>
            <w:vAlign w:val="bottom"/>
            <w:tcBorders>
              <w:right w:val="single" w:sz="8" w:color="auto"/>
            </w:tcBorders>
          </w:tcPr>
          <w:p>
            <w:pPr>
              <w:spacing w:after="0"/>
              <w:rPr>
                <w:sz w:val="12"/>
                <w:szCs w:val="12"/>
                <w:color w:val="auto"/>
              </w:rPr>
            </w:pP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tcPr>
          <w:p>
            <w:pPr>
              <w:spacing w:after="0"/>
              <w:rPr>
                <w:sz w:val="12"/>
                <w:szCs w:val="12"/>
                <w:color w:val="auto"/>
              </w:rPr>
            </w:pPr>
          </w:p>
        </w:tc>
        <w:tc>
          <w:tcPr>
            <w:tcW w:w="3660" w:type="dxa"/>
            <w:vAlign w:val="bottom"/>
          </w:tcPr>
          <w:p>
            <w:pPr>
              <w:ind w:left="100"/>
              <w:spacing w:after="0" w:line="149" w:lineRule="exact"/>
              <w:rPr>
                <w:sz w:val="20"/>
                <w:szCs w:val="20"/>
                <w:color w:val="auto"/>
              </w:rPr>
            </w:pPr>
            <w:r>
              <w:rPr>
                <w:rFonts w:ascii="Arial" w:cs="Arial" w:eastAsia="Arial" w:hAnsi="Arial"/>
                <w:sz w:val="14"/>
                <w:szCs w:val="14"/>
                <w:color w:val="auto"/>
                <w:w w:val="97"/>
              </w:rPr>
              <w:t>requirements being added relating to public companies are</w:t>
            </w:r>
          </w:p>
        </w:tc>
        <w:tc>
          <w:tcPr>
            <w:tcW w:w="200" w:type="dxa"/>
            <w:vAlign w:val="bottom"/>
            <w:tcBorders>
              <w:right w:val="single" w:sz="8" w:color="auto"/>
            </w:tcBorders>
          </w:tcPr>
          <w:p>
            <w:pPr>
              <w:spacing w:after="0"/>
              <w:rPr>
                <w:sz w:val="12"/>
                <w:szCs w:val="12"/>
                <w:color w:val="auto"/>
              </w:rPr>
            </w:pP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tcPr>
          <w:p>
            <w:pPr>
              <w:spacing w:after="0"/>
              <w:rPr>
                <w:sz w:val="12"/>
                <w:szCs w:val="12"/>
                <w:color w:val="auto"/>
              </w:rPr>
            </w:pPr>
          </w:p>
        </w:tc>
        <w:tc>
          <w:tcPr>
            <w:tcW w:w="3660" w:type="dxa"/>
            <w:vAlign w:val="bottom"/>
          </w:tcPr>
          <w:p>
            <w:pPr>
              <w:ind w:left="100"/>
              <w:spacing w:after="0" w:line="149" w:lineRule="exact"/>
              <w:rPr>
                <w:sz w:val="20"/>
                <w:szCs w:val="20"/>
                <w:color w:val="auto"/>
              </w:rPr>
            </w:pPr>
            <w:r>
              <w:rPr>
                <w:rFonts w:ascii="Arial" w:cs="Arial" w:eastAsia="Arial" w:hAnsi="Arial"/>
                <w:sz w:val="14"/>
                <w:szCs w:val="14"/>
                <w:color w:val="auto"/>
              </w:rPr>
              <w:t>(1) the weighted-average interest crediting rates for cash</w:t>
            </w:r>
          </w:p>
        </w:tc>
        <w:tc>
          <w:tcPr>
            <w:tcW w:w="200" w:type="dxa"/>
            <w:vAlign w:val="bottom"/>
            <w:tcBorders>
              <w:right w:val="single" w:sz="8" w:color="auto"/>
            </w:tcBorders>
          </w:tcPr>
          <w:p>
            <w:pPr>
              <w:spacing w:after="0"/>
              <w:rPr>
                <w:sz w:val="12"/>
                <w:szCs w:val="12"/>
                <w:color w:val="auto"/>
              </w:rPr>
            </w:pP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tcPr>
          <w:p>
            <w:pPr>
              <w:spacing w:after="0"/>
              <w:rPr>
                <w:sz w:val="12"/>
                <w:szCs w:val="12"/>
                <w:color w:val="auto"/>
              </w:rPr>
            </w:pPr>
          </w:p>
        </w:tc>
        <w:tc>
          <w:tcPr>
            <w:tcW w:w="3660" w:type="dxa"/>
            <w:vAlign w:val="bottom"/>
          </w:tcPr>
          <w:p>
            <w:pPr>
              <w:ind w:left="100"/>
              <w:spacing w:after="0" w:line="149" w:lineRule="exact"/>
              <w:rPr>
                <w:sz w:val="20"/>
                <w:szCs w:val="20"/>
                <w:color w:val="auto"/>
              </w:rPr>
            </w:pPr>
            <w:r>
              <w:rPr>
                <w:rFonts w:ascii="Arial" w:cs="Arial" w:eastAsia="Arial" w:hAnsi="Arial"/>
                <w:sz w:val="14"/>
                <w:szCs w:val="14"/>
                <w:color w:val="auto"/>
              </w:rPr>
              <w:t>balance plans , and (2) an explanation of the reasons for</w:t>
            </w:r>
          </w:p>
        </w:tc>
        <w:tc>
          <w:tcPr>
            <w:tcW w:w="200" w:type="dxa"/>
            <w:vAlign w:val="bottom"/>
            <w:tcBorders>
              <w:right w:val="single" w:sz="8" w:color="auto"/>
            </w:tcBorders>
          </w:tcPr>
          <w:p>
            <w:pPr>
              <w:spacing w:after="0"/>
              <w:rPr>
                <w:sz w:val="12"/>
                <w:szCs w:val="12"/>
                <w:color w:val="auto"/>
              </w:rPr>
            </w:pP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tcPr>
          <w:p>
            <w:pPr>
              <w:spacing w:after="0"/>
              <w:rPr>
                <w:sz w:val="12"/>
                <w:szCs w:val="12"/>
                <w:color w:val="auto"/>
              </w:rPr>
            </w:pPr>
          </w:p>
        </w:tc>
        <w:tc>
          <w:tcPr>
            <w:tcW w:w="3660" w:type="dxa"/>
            <w:vAlign w:val="bottom"/>
          </w:tcPr>
          <w:p>
            <w:pPr>
              <w:ind w:left="100"/>
              <w:spacing w:after="0" w:line="149" w:lineRule="exact"/>
              <w:rPr>
                <w:sz w:val="20"/>
                <w:szCs w:val="20"/>
                <w:color w:val="auto"/>
              </w:rPr>
            </w:pPr>
            <w:r>
              <w:rPr>
                <w:rFonts w:ascii="Arial" w:cs="Arial" w:eastAsia="Arial" w:hAnsi="Arial"/>
                <w:sz w:val="14"/>
                <w:szCs w:val="14"/>
                <w:color w:val="auto"/>
                <w:w w:val="94"/>
              </w:rPr>
              <w:t>significant gains and losses related to changes in the benefit</w:t>
            </w:r>
          </w:p>
        </w:tc>
        <w:tc>
          <w:tcPr>
            <w:tcW w:w="200" w:type="dxa"/>
            <w:vAlign w:val="bottom"/>
            <w:tcBorders>
              <w:right w:val="single" w:sz="8" w:color="auto"/>
            </w:tcBorders>
          </w:tcPr>
          <w:p>
            <w:pPr>
              <w:spacing w:after="0"/>
              <w:rPr>
                <w:sz w:val="12"/>
                <w:szCs w:val="12"/>
                <w:color w:val="auto"/>
              </w:rPr>
            </w:pP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680" w:type="dxa"/>
            <w:vAlign w:val="bottom"/>
            <w:tcBorders>
              <w:left w:val="single" w:sz="8" w:color="auto"/>
              <w:bottom w:val="single" w:sz="8" w:color="auto"/>
              <w:right w:val="single" w:sz="8" w:color="auto"/>
            </w:tcBorders>
          </w:tcPr>
          <w:p>
            <w:pPr>
              <w:spacing w:after="0"/>
              <w:rPr>
                <w:sz w:val="14"/>
                <w:szCs w:val="14"/>
                <w:color w:val="auto"/>
              </w:rPr>
            </w:pPr>
          </w:p>
        </w:tc>
        <w:tc>
          <w:tcPr>
            <w:tcW w:w="366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obligation for the period.</w:t>
            </w:r>
          </w:p>
        </w:tc>
        <w:tc>
          <w:tcPr>
            <w:tcW w:w="200" w:type="dxa"/>
            <w:vAlign w:val="bottom"/>
            <w:tcBorders>
              <w:bottom w:val="single" w:sz="8" w:color="auto"/>
              <w:right w:val="single" w:sz="8" w:color="auto"/>
            </w:tcBorders>
          </w:tcPr>
          <w:p>
            <w:pPr>
              <w:spacing w:after="0"/>
              <w:rPr>
                <w:sz w:val="14"/>
                <w:szCs w:val="14"/>
                <w:color w:val="auto"/>
              </w:rPr>
            </w:pPr>
          </w:p>
        </w:tc>
        <w:tc>
          <w:tcPr>
            <w:tcW w:w="1500" w:type="dxa"/>
            <w:vAlign w:val="bottom"/>
            <w:tcBorders>
              <w:bottom w:val="single" w:sz="8" w:color="auto"/>
              <w:right w:val="single" w:sz="8" w:color="auto"/>
            </w:tcBorders>
          </w:tcPr>
          <w:p>
            <w:pPr>
              <w:spacing w:after="0"/>
              <w:rPr>
                <w:sz w:val="14"/>
                <w:szCs w:val="14"/>
                <w:color w:val="auto"/>
              </w:rPr>
            </w:pPr>
          </w:p>
        </w:tc>
        <w:tc>
          <w:tcPr>
            <w:tcW w:w="4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1"/>
        </w:trPr>
        <w:tc>
          <w:tcPr>
            <w:tcW w:w="1680" w:type="dxa"/>
            <w:vAlign w:val="bottom"/>
            <w:tcBorders>
              <w:left w:val="single" w:sz="8" w:color="auto"/>
              <w:right w:val="single" w:sz="8" w:color="auto"/>
            </w:tcBorders>
            <w:shd w:val="clear" w:color="auto" w:fill="CFF0FC"/>
          </w:tcPr>
          <w:p>
            <w:pPr>
              <w:ind w:left="140"/>
              <w:spacing w:after="0"/>
              <w:rPr>
                <w:sz w:val="20"/>
                <w:szCs w:val="20"/>
                <w:color w:val="auto"/>
              </w:rPr>
            </w:pPr>
            <w:r>
              <w:rPr>
                <w:rFonts w:ascii="Arial" w:cs="Arial" w:eastAsia="Arial" w:hAnsi="Arial"/>
                <w:sz w:val="14"/>
                <w:szCs w:val="14"/>
                <w:color w:val="auto"/>
              </w:rPr>
              <w:t>Clarifying the</w:t>
            </w:r>
          </w:p>
        </w:tc>
        <w:tc>
          <w:tcPr>
            <w:tcW w:w="3660" w:type="dxa"/>
            <w:vAlign w:val="bottom"/>
            <w:shd w:val="clear" w:color="auto" w:fill="CFF0FC"/>
          </w:tcPr>
          <w:p>
            <w:pPr>
              <w:ind w:left="100"/>
              <w:spacing w:after="0"/>
              <w:rPr>
                <w:sz w:val="20"/>
                <w:szCs w:val="20"/>
                <w:color w:val="auto"/>
              </w:rPr>
            </w:pPr>
            <w:r>
              <w:rPr>
                <w:rFonts w:ascii="Arial" w:cs="Arial" w:eastAsia="Arial" w:hAnsi="Arial"/>
                <w:sz w:val="14"/>
                <w:szCs w:val="14"/>
                <w:color w:val="auto"/>
              </w:rPr>
              <w:t>The amendments clarify the following guidance:</w:t>
            </w:r>
          </w:p>
        </w:tc>
        <w:tc>
          <w:tcPr>
            <w:tcW w:w="200" w:type="dxa"/>
            <w:vAlign w:val="bottom"/>
            <w:tcBorders>
              <w:right w:val="single" w:sz="8" w:color="auto"/>
            </w:tcBorders>
            <w:shd w:val="clear" w:color="auto" w:fill="CFF0FC"/>
          </w:tcPr>
          <w:p>
            <w:pPr>
              <w:spacing w:after="0"/>
              <w:rPr>
                <w:sz w:val="23"/>
                <w:szCs w:val="23"/>
                <w:color w:val="auto"/>
              </w:rPr>
            </w:pPr>
          </w:p>
        </w:tc>
        <w:tc>
          <w:tcPr>
            <w:tcW w:w="1500" w:type="dxa"/>
            <w:vAlign w:val="bottom"/>
            <w:tcBorders>
              <w:right w:val="single" w:sz="8" w:color="auto"/>
            </w:tcBorders>
            <w:shd w:val="clear" w:color="auto" w:fill="CFF0FC"/>
          </w:tcPr>
          <w:p>
            <w:pPr>
              <w:jc w:val="center"/>
              <w:spacing w:after="0"/>
              <w:rPr>
                <w:sz w:val="20"/>
                <w:szCs w:val="20"/>
                <w:color w:val="auto"/>
              </w:rPr>
            </w:pPr>
            <w:r>
              <w:rPr>
                <w:rFonts w:ascii="Arial" w:cs="Arial" w:eastAsia="Arial" w:hAnsi="Arial"/>
                <w:sz w:val="14"/>
                <w:szCs w:val="14"/>
                <w:color w:val="auto"/>
                <w:w w:val="89"/>
              </w:rPr>
              <w:t>January 1, 2021</w:t>
            </w:r>
          </w:p>
        </w:tc>
        <w:tc>
          <w:tcPr>
            <w:tcW w:w="4200" w:type="dxa"/>
            <w:vAlign w:val="bottom"/>
            <w:tcBorders>
              <w:right w:val="single" w:sz="8" w:color="auto"/>
            </w:tcBorders>
            <w:shd w:val="clear" w:color="auto" w:fill="CFF0FC"/>
          </w:tcPr>
          <w:p>
            <w:pPr>
              <w:ind w:left="80"/>
              <w:spacing w:after="0"/>
              <w:rPr>
                <w:sz w:val="20"/>
                <w:szCs w:val="20"/>
                <w:color w:val="auto"/>
              </w:rPr>
            </w:pPr>
            <w:r>
              <w:rPr>
                <w:rFonts w:ascii="Arial" w:cs="Arial" w:eastAsia="Arial" w:hAnsi="Arial"/>
                <w:sz w:val="14"/>
                <w:szCs w:val="14"/>
                <w:color w:val="auto"/>
              </w:rPr>
              <w:t>The amendments should be applied on a prospective basis. The</w:t>
            </w: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shd w:val="clear" w:color="auto" w:fill="CFF0FC"/>
          </w:tcPr>
          <w:p>
            <w:pPr>
              <w:ind w:left="140"/>
              <w:spacing w:after="0" w:line="149" w:lineRule="exact"/>
              <w:rPr>
                <w:sz w:val="20"/>
                <w:szCs w:val="20"/>
                <w:color w:val="auto"/>
              </w:rPr>
            </w:pPr>
            <w:r>
              <w:rPr>
                <w:rFonts w:ascii="Arial" w:cs="Arial" w:eastAsia="Arial" w:hAnsi="Arial"/>
                <w:sz w:val="14"/>
                <w:szCs w:val="14"/>
                <w:color w:val="auto"/>
              </w:rPr>
              <w:t>Interactions Between</w:t>
            </w:r>
          </w:p>
        </w:tc>
        <w:tc>
          <w:tcPr>
            <w:tcW w:w="3660" w:type="dxa"/>
            <w:vAlign w:val="bottom"/>
            <w:shd w:val="clear" w:color="auto" w:fill="CFF0FC"/>
          </w:tcPr>
          <w:p>
            <w:pPr>
              <w:ind w:left="100"/>
              <w:spacing w:after="0" w:line="149" w:lineRule="exact"/>
              <w:rPr>
                <w:sz w:val="20"/>
                <w:szCs w:val="20"/>
                <w:color w:val="auto"/>
              </w:rPr>
            </w:pPr>
            <w:r>
              <w:rPr>
                <w:rFonts w:ascii="Arial" w:cs="Arial" w:eastAsia="Arial" w:hAnsi="Arial"/>
                <w:sz w:val="14"/>
                <w:szCs w:val="14"/>
                <w:color w:val="auto"/>
                <w:w w:val="99"/>
              </w:rPr>
              <w:t>1. That an entity should consider observable transactions</w:t>
            </w:r>
          </w:p>
        </w:tc>
        <w:tc>
          <w:tcPr>
            <w:tcW w:w="200" w:type="dxa"/>
            <w:vAlign w:val="bottom"/>
            <w:tcBorders>
              <w:right w:val="single" w:sz="8" w:color="auto"/>
            </w:tcBorders>
            <w:shd w:val="clear" w:color="auto" w:fill="CFF0FC"/>
          </w:tcPr>
          <w:p>
            <w:pPr>
              <w:spacing w:after="0"/>
              <w:rPr>
                <w:sz w:val="12"/>
                <w:szCs w:val="12"/>
                <w:color w:val="auto"/>
              </w:rPr>
            </w:pP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ind w:left="80"/>
              <w:spacing w:after="0" w:line="149" w:lineRule="exact"/>
              <w:rPr>
                <w:sz w:val="20"/>
                <w:szCs w:val="20"/>
                <w:color w:val="auto"/>
              </w:rPr>
            </w:pPr>
            <w:r>
              <w:rPr>
                <w:rFonts w:ascii="Arial" w:cs="Arial" w:eastAsia="Arial" w:hAnsi="Arial"/>
                <w:sz w:val="14"/>
                <w:szCs w:val="14"/>
                <w:color w:val="auto"/>
                <w:w w:val="98"/>
              </w:rPr>
              <w:t>Company does not expect the guidance will have a material impact</w:t>
            </w: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shd w:val="clear" w:color="auto" w:fill="CFF0FC"/>
          </w:tcPr>
          <w:p>
            <w:pPr>
              <w:ind w:left="140"/>
              <w:spacing w:after="0" w:line="149" w:lineRule="exact"/>
              <w:rPr>
                <w:sz w:val="20"/>
                <w:szCs w:val="20"/>
                <w:color w:val="auto"/>
              </w:rPr>
            </w:pPr>
            <w:r>
              <w:rPr>
                <w:rFonts w:ascii="Arial" w:cs="Arial" w:eastAsia="Arial" w:hAnsi="Arial"/>
                <w:sz w:val="14"/>
                <w:szCs w:val="14"/>
                <w:color w:val="auto"/>
              </w:rPr>
              <w:t>Equity Securities,</w:t>
            </w:r>
          </w:p>
        </w:tc>
        <w:tc>
          <w:tcPr>
            <w:tcW w:w="3660" w:type="dxa"/>
            <w:vAlign w:val="bottom"/>
            <w:shd w:val="clear" w:color="auto" w:fill="CFF0FC"/>
          </w:tcPr>
          <w:p>
            <w:pPr>
              <w:ind w:left="100"/>
              <w:spacing w:after="0" w:line="149" w:lineRule="exact"/>
              <w:rPr>
                <w:sz w:val="20"/>
                <w:szCs w:val="20"/>
                <w:color w:val="auto"/>
              </w:rPr>
            </w:pPr>
            <w:r>
              <w:rPr>
                <w:rFonts w:ascii="Arial" w:cs="Arial" w:eastAsia="Arial" w:hAnsi="Arial"/>
                <w:sz w:val="14"/>
                <w:szCs w:val="14"/>
                <w:color w:val="auto"/>
              </w:rPr>
              <w:t>that require it to either apply or discontinue the equity</w:t>
            </w:r>
          </w:p>
        </w:tc>
        <w:tc>
          <w:tcPr>
            <w:tcW w:w="200" w:type="dxa"/>
            <w:vAlign w:val="bottom"/>
            <w:tcBorders>
              <w:right w:val="single" w:sz="8" w:color="auto"/>
            </w:tcBorders>
            <w:shd w:val="clear" w:color="auto" w:fill="CFF0FC"/>
          </w:tcPr>
          <w:p>
            <w:pPr>
              <w:spacing w:after="0"/>
              <w:rPr>
                <w:sz w:val="12"/>
                <w:szCs w:val="12"/>
                <w:color w:val="auto"/>
              </w:rPr>
            </w:pPr>
          </w:p>
        </w:tc>
        <w:tc>
          <w:tcPr>
            <w:tcW w:w="1500" w:type="dxa"/>
            <w:vAlign w:val="bottom"/>
            <w:tcBorders>
              <w:right w:val="single" w:sz="8" w:color="auto"/>
            </w:tcBorders>
            <w:shd w:val="clear" w:color="auto" w:fill="CFF0FC"/>
          </w:tcPr>
          <w:p>
            <w:pPr>
              <w:jc w:val="center"/>
              <w:spacing w:after="0" w:line="149" w:lineRule="exact"/>
              <w:rPr>
                <w:sz w:val="20"/>
                <w:szCs w:val="20"/>
                <w:color w:val="auto"/>
              </w:rPr>
            </w:pPr>
            <w:r>
              <w:rPr>
                <w:rFonts w:ascii="Arial" w:cs="Arial" w:eastAsia="Arial" w:hAnsi="Arial"/>
                <w:sz w:val="14"/>
                <w:szCs w:val="14"/>
                <w:color w:val="auto"/>
                <w:w w:val="96"/>
              </w:rPr>
              <w:t>Early adoption</w:t>
            </w:r>
          </w:p>
        </w:tc>
        <w:tc>
          <w:tcPr>
            <w:tcW w:w="4200" w:type="dxa"/>
            <w:vAlign w:val="bottom"/>
            <w:tcBorders>
              <w:right w:val="single" w:sz="8" w:color="auto"/>
            </w:tcBorders>
            <w:shd w:val="clear" w:color="auto" w:fill="CFF0FC"/>
          </w:tcPr>
          <w:p>
            <w:pPr>
              <w:ind w:left="80"/>
              <w:spacing w:after="0" w:line="149" w:lineRule="exact"/>
              <w:rPr>
                <w:sz w:val="20"/>
                <w:szCs w:val="20"/>
                <w:color w:val="auto"/>
              </w:rPr>
            </w:pPr>
            <w:r>
              <w:rPr>
                <w:rFonts w:ascii="Arial" w:cs="Arial" w:eastAsia="Arial" w:hAnsi="Arial"/>
                <w:sz w:val="14"/>
                <w:szCs w:val="14"/>
                <w:color w:val="auto"/>
              </w:rPr>
              <w:t>on its consolidated financial statements.</w:t>
            </w: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shd w:val="clear" w:color="auto" w:fill="CFF0FC"/>
          </w:tcPr>
          <w:p>
            <w:pPr>
              <w:ind w:left="140"/>
              <w:spacing w:after="0" w:line="149" w:lineRule="exact"/>
              <w:rPr>
                <w:sz w:val="20"/>
                <w:szCs w:val="20"/>
                <w:color w:val="auto"/>
              </w:rPr>
            </w:pPr>
            <w:r>
              <w:rPr>
                <w:rFonts w:ascii="Arial" w:cs="Arial" w:eastAsia="Arial" w:hAnsi="Arial"/>
                <w:sz w:val="14"/>
                <w:szCs w:val="14"/>
                <w:color w:val="auto"/>
              </w:rPr>
              <w:t>Equity Method and</w:t>
            </w:r>
          </w:p>
        </w:tc>
        <w:tc>
          <w:tcPr>
            <w:tcW w:w="3660" w:type="dxa"/>
            <w:vAlign w:val="bottom"/>
            <w:shd w:val="clear" w:color="auto" w:fill="CFF0FC"/>
          </w:tcPr>
          <w:p>
            <w:pPr>
              <w:ind w:left="100"/>
              <w:spacing w:after="0" w:line="149" w:lineRule="exact"/>
              <w:rPr>
                <w:sz w:val="20"/>
                <w:szCs w:val="20"/>
                <w:color w:val="auto"/>
              </w:rPr>
            </w:pPr>
            <w:r>
              <w:rPr>
                <w:rFonts w:ascii="Arial" w:cs="Arial" w:eastAsia="Arial" w:hAnsi="Arial"/>
                <w:sz w:val="14"/>
                <w:szCs w:val="14"/>
                <w:color w:val="auto"/>
              </w:rPr>
              <w:t>method of accounting for the purposes of applying the</w:t>
            </w:r>
          </w:p>
        </w:tc>
        <w:tc>
          <w:tcPr>
            <w:tcW w:w="200" w:type="dxa"/>
            <w:vAlign w:val="bottom"/>
            <w:tcBorders>
              <w:right w:val="single" w:sz="8" w:color="auto"/>
            </w:tcBorders>
            <w:shd w:val="clear" w:color="auto" w:fill="CFF0FC"/>
          </w:tcPr>
          <w:p>
            <w:pPr>
              <w:spacing w:after="0"/>
              <w:rPr>
                <w:sz w:val="12"/>
                <w:szCs w:val="12"/>
                <w:color w:val="auto"/>
              </w:rPr>
            </w:pPr>
          </w:p>
        </w:tc>
        <w:tc>
          <w:tcPr>
            <w:tcW w:w="1500" w:type="dxa"/>
            <w:vAlign w:val="bottom"/>
            <w:tcBorders>
              <w:right w:val="single" w:sz="8" w:color="auto"/>
            </w:tcBorders>
            <w:shd w:val="clear" w:color="auto" w:fill="CFF0FC"/>
          </w:tcPr>
          <w:p>
            <w:pPr>
              <w:jc w:val="center"/>
              <w:spacing w:after="0" w:line="149" w:lineRule="exact"/>
              <w:rPr>
                <w:sz w:val="20"/>
                <w:szCs w:val="20"/>
                <w:color w:val="auto"/>
              </w:rPr>
            </w:pPr>
            <w:r>
              <w:rPr>
                <w:rFonts w:ascii="Arial" w:cs="Arial" w:eastAsia="Arial" w:hAnsi="Arial"/>
                <w:sz w:val="14"/>
                <w:szCs w:val="14"/>
                <w:color w:val="auto"/>
                <w:w w:val="92"/>
              </w:rPr>
              <w:t>permitted</w:t>
            </w: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shd w:val="clear" w:color="auto" w:fill="CFF0FC"/>
          </w:tcPr>
          <w:p>
            <w:pPr>
              <w:ind w:left="140"/>
              <w:spacing w:after="0" w:line="149" w:lineRule="exact"/>
              <w:rPr>
                <w:sz w:val="20"/>
                <w:szCs w:val="20"/>
                <w:color w:val="auto"/>
              </w:rPr>
            </w:pPr>
            <w:r>
              <w:rPr>
                <w:rFonts w:ascii="Arial" w:cs="Arial" w:eastAsia="Arial" w:hAnsi="Arial"/>
                <w:sz w:val="14"/>
                <w:szCs w:val="14"/>
                <w:color w:val="auto"/>
              </w:rPr>
              <w:t>Joint Ventures, and</w:t>
            </w:r>
          </w:p>
        </w:tc>
        <w:tc>
          <w:tcPr>
            <w:tcW w:w="3660" w:type="dxa"/>
            <w:vAlign w:val="bottom"/>
            <w:shd w:val="clear" w:color="auto" w:fill="CFF0FC"/>
          </w:tcPr>
          <w:p>
            <w:pPr>
              <w:ind w:left="100"/>
              <w:spacing w:after="0" w:line="149" w:lineRule="exact"/>
              <w:rPr>
                <w:sz w:val="20"/>
                <w:szCs w:val="20"/>
                <w:color w:val="auto"/>
              </w:rPr>
            </w:pPr>
            <w:r>
              <w:rPr>
                <w:rFonts w:ascii="Arial" w:cs="Arial" w:eastAsia="Arial" w:hAnsi="Arial"/>
                <w:sz w:val="14"/>
                <w:szCs w:val="14"/>
                <w:color w:val="auto"/>
                <w:w w:val="94"/>
              </w:rPr>
              <w:t>measurement alternative in the equity securities investments</w:t>
            </w:r>
          </w:p>
        </w:tc>
        <w:tc>
          <w:tcPr>
            <w:tcW w:w="200" w:type="dxa"/>
            <w:vAlign w:val="bottom"/>
            <w:tcBorders>
              <w:right w:val="single" w:sz="8" w:color="auto"/>
            </w:tcBorders>
            <w:shd w:val="clear" w:color="auto" w:fill="CFF0FC"/>
          </w:tcPr>
          <w:p>
            <w:pPr>
              <w:spacing w:after="0"/>
              <w:rPr>
                <w:sz w:val="12"/>
                <w:szCs w:val="12"/>
                <w:color w:val="auto"/>
              </w:rPr>
            </w:pP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shd w:val="clear" w:color="auto" w:fill="CFF0FC"/>
          </w:tcPr>
          <w:p>
            <w:pPr>
              <w:ind w:left="140"/>
              <w:spacing w:after="0" w:line="149" w:lineRule="exact"/>
              <w:rPr>
                <w:sz w:val="20"/>
                <w:szCs w:val="20"/>
                <w:color w:val="auto"/>
              </w:rPr>
            </w:pPr>
            <w:r>
              <w:rPr>
                <w:rFonts w:ascii="Arial" w:cs="Arial" w:eastAsia="Arial" w:hAnsi="Arial"/>
                <w:sz w:val="14"/>
                <w:szCs w:val="14"/>
                <w:color w:val="auto"/>
              </w:rPr>
              <w:t>Derivatives and</w:t>
            </w:r>
          </w:p>
        </w:tc>
        <w:tc>
          <w:tcPr>
            <w:tcW w:w="3660" w:type="dxa"/>
            <w:vAlign w:val="bottom"/>
            <w:shd w:val="clear" w:color="auto" w:fill="CFF0FC"/>
          </w:tcPr>
          <w:p>
            <w:pPr>
              <w:ind w:left="100"/>
              <w:spacing w:after="0" w:line="149" w:lineRule="exact"/>
              <w:rPr>
                <w:sz w:val="20"/>
                <w:szCs w:val="20"/>
                <w:color w:val="auto"/>
              </w:rPr>
            </w:pPr>
            <w:r>
              <w:rPr>
                <w:rFonts w:ascii="Arial" w:cs="Arial" w:eastAsia="Arial" w:hAnsi="Arial"/>
                <w:sz w:val="14"/>
                <w:szCs w:val="14"/>
                <w:color w:val="auto"/>
              </w:rPr>
              <w:t>guidance immediately before applying or upon</w:t>
            </w:r>
          </w:p>
        </w:tc>
        <w:tc>
          <w:tcPr>
            <w:tcW w:w="200" w:type="dxa"/>
            <w:vAlign w:val="bottom"/>
            <w:tcBorders>
              <w:right w:val="single" w:sz="8" w:color="auto"/>
            </w:tcBorders>
            <w:shd w:val="clear" w:color="auto" w:fill="CFF0FC"/>
          </w:tcPr>
          <w:p>
            <w:pPr>
              <w:spacing w:after="0"/>
              <w:rPr>
                <w:sz w:val="12"/>
                <w:szCs w:val="12"/>
                <w:color w:val="auto"/>
              </w:rPr>
            </w:pP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shd w:val="clear" w:color="auto" w:fill="CFF0FC"/>
          </w:tcPr>
          <w:p>
            <w:pPr>
              <w:ind w:left="140"/>
              <w:spacing w:after="0" w:line="149" w:lineRule="exact"/>
              <w:rPr>
                <w:sz w:val="20"/>
                <w:szCs w:val="20"/>
                <w:color w:val="auto"/>
              </w:rPr>
            </w:pPr>
            <w:r>
              <w:rPr>
                <w:rFonts w:ascii="Arial" w:cs="Arial" w:eastAsia="Arial" w:hAnsi="Arial"/>
                <w:sz w:val="14"/>
                <w:szCs w:val="14"/>
                <w:color w:val="auto"/>
              </w:rPr>
              <w:t>Hedging</w:t>
            </w:r>
          </w:p>
        </w:tc>
        <w:tc>
          <w:tcPr>
            <w:tcW w:w="3660" w:type="dxa"/>
            <w:vAlign w:val="bottom"/>
            <w:shd w:val="clear" w:color="auto" w:fill="CFF0FC"/>
          </w:tcPr>
          <w:p>
            <w:pPr>
              <w:ind w:left="100"/>
              <w:spacing w:after="0" w:line="149" w:lineRule="exact"/>
              <w:rPr>
                <w:sz w:val="20"/>
                <w:szCs w:val="20"/>
                <w:color w:val="auto"/>
              </w:rPr>
            </w:pPr>
            <w:r>
              <w:rPr>
                <w:rFonts w:ascii="Arial" w:cs="Arial" w:eastAsia="Arial" w:hAnsi="Arial"/>
                <w:sz w:val="14"/>
                <w:szCs w:val="14"/>
                <w:color w:val="auto"/>
              </w:rPr>
              <w:t>discontinuing the equity method of accounting.</w:t>
            </w:r>
          </w:p>
        </w:tc>
        <w:tc>
          <w:tcPr>
            <w:tcW w:w="200" w:type="dxa"/>
            <w:vAlign w:val="bottom"/>
            <w:tcBorders>
              <w:right w:val="single" w:sz="8" w:color="auto"/>
            </w:tcBorders>
            <w:shd w:val="clear" w:color="auto" w:fill="CFF0FC"/>
          </w:tcPr>
          <w:p>
            <w:pPr>
              <w:spacing w:after="0"/>
              <w:rPr>
                <w:sz w:val="12"/>
                <w:szCs w:val="12"/>
                <w:color w:val="auto"/>
              </w:rPr>
            </w:pP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660" w:type="dxa"/>
            <w:vAlign w:val="bottom"/>
            <w:shd w:val="clear" w:color="auto" w:fill="CFF0FC"/>
          </w:tcPr>
          <w:p>
            <w:pPr>
              <w:ind w:left="100"/>
              <w:spacing w:after="0" w:line="149" w:lineRule="exact"/>
              <w:rPr>
                <w:sz w:val="20"/>
                <w:szCs w:val="20"/>
                <w:color w:val="auto"/>
              </w:rPr>
            </w:pPr>
            <w:r>
              <w:rPr>
                <w:rFonts w:ascii="Arial" w:cs="Arial" w:eastAsia="Arial" w:hAnsi="Arial"/>
                <w:sz w:val="14"/>
                <w:szCs w:val="14"/>
                <w:color w:val="auto"/>
                <w:w w:val="98"/>
              </w:rPr>
              <w:t>2. For the purpose of applying the derivatives and hedging</w:t>
            </w:r>
          </w:p>
        </w:tc>
        <w:tc>
          <w:tcPr>
            <w:tcW w:w="200" w:type="dxa"/>
            <w:vAlign w:val="bottom"/>
            <w:tcBorders>
              <w:right w:val="single" w:sz="8" w:color="auto"/>
            </w:tcBorders>
            <w:shd w:val="clear" w:color="auto" w:fill="CFF0FC"/>
          </w:tcPr>
          <w:p>
            <w:pPr>
              <w:spacing w:after="0"/>
              <w:rPr>
                <w:sz w:val="12"/>
                <w:szCs w:val="12"/>
                <w:color w:val="auto"/>
              </w:rPr>
            </w:pP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660" w:type="dxa"/>
            <w:vAlign w:val="bottom"/>
            <w:shd w:val="clear" w:color="auto" w:fill="CFF0FC"/>
          </w:tcPr>
          <w:p>
            <w:pPr>
              <w:ind w:left="100"/>
              <w:spacing w:after="0" w:line="149" w:lineRule="exact"/>
              <w:rPr>
                <w:sz w:val="20"/>
                <w:szCs w:val="20"/>
                <w:color w:val="auto"/>
              </w:rPr>
            </w:pPr>
            <w:r>
              <w:rPr>
                <w:rFonts w:ascii="Arial" w:cs="Arial" w:eastAsia="Arial" w:hAnsi="Arial"/>
                <w:sz w:val="14"/>
                <w:szCs w:val="14"/>
                <w:color w:val="auto"/>
                <w:w w:val="99"/>
              </w:rPr>
              <w:t>guidance an entity should not consider whether, upon the</w:t>
            </w:r>
          </w:p>
        </w:tc>
        <w:tc>
          <w:tcPr>
            <w:tcW w:w="200" w:type="dxa"/>
            <w:vAlign w:val="bottom"/>
            <w:tcBorders>
              <w:right w:val="single" w:sz="8" w:color="auto"/>
            </w:tcBorders>
            <w:shd w:val="clear" w:color="auto" w:fill="CFF0FC"/>
          </w:tcPr>
          <w:p>
            <w:pPr>
              <w:spacing w:after="0"/>
              <w:rPr>
                <w:sz w:val="12"/>
                <w:szCs w:val="12"/>
                <w:color w:val="auto"/>
              </w:rPr>
            </w:pP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660" w:type="dxa"/>
            <w:vAlign w:val="bottom"/>
            <w:shd w:val="clear" w:color="auto" w:fill="CFF0FC"/>
          </w:tcPr>
          <w:p>
            <w:pPr>
              <w:ind w:left="100"/>
              <w:spacing w:after="0" w:line="149" w:lineRule="exact"/>
              <w:rPr>
                <w:sz w:val="20"/>
                <w:szCs w:val="20"/>
                <w:color w:val="auto"/>
              </w:rPr>
            </w:pPr>
            <w:r>
              <w:rPr>
                <w:rFonts w:ascii="Arial" w:cs="Arial" w:eastAsia="Arial" w:hAnsi="Arial"/>
                <w:sz w:val="14"/>
                <w:szCs w:val="14"/>
                <w:color w:val="auto"/>
                <w:w w:val="96"/>
              </w:rPr>
              <w:t>settlement of a forward contract or exercise of a purchased</w:t>
            </w:r>
          </w:p>
        </w:tc>
        <w:tc>
          <w:tcPr>
            <w:tcW w:w="200" w:type="dxa"/>
            <w:vAlign w:val="bottom"/>
            <w:tcBorders>
              <w:right w:val="single" w:sz="8" w:color="auto"/>
            </w:tcBorders>
            <w:shd w:val="clear" w:color="auto" w:fill="CFF0FC"/>
          </w:tcPr>
          <w:p>
            <w:pPr>
              <w:spacing w:after="0"/>
              <w:rPr>
                <w:sz w:val="12"/>
                <w:szCs w:val="12"/>
                <w:color w:val="auto"/>
              </w:rPr>
            </w:pP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660" w:type="dxa"/>
            <w:vAlign w:val="bottom"/>
            <w:shd w:val="clear" w:color="auto" w:fill="CFF0FC"/>
          </w:tcPr>
          <w:p>
            <w:pPr>
              <w:ind w:left="100"/>
              <w:spacing w:after="0" w:line="149" w:lineRule="exact"/>
              <w:rPr>
                <w:sz w:val="20"/>
                <w:szCs w:val="20"/>
                <w:color w:val="auto"/>
              </w:rPr>
            </w:pPr>
            <w:r>
              <w:rPr>
                <w:rFonts w:ascii="Arial" w:cs="Arial" w:eastAsia="Arial" w:hAnsi="Arial"/>
                <w:sz w:val="14"/>
                <w:szCs w:val="14"/>
                <w:color w:val="auto"/>
              </w:rPr>
              <w:t>option, individually or with existing investments, the</w:t>
            </w:r>
          </w:p>
        </w:tc>
        <w:tc>
          <w:tcPr>
            <w:tcW w:w="200" w:type="dxa"/>
            <w:vAlign w:val="bottom"/>
            <w:tcBorders>
              <w:right w:val="single" w:sz="8" w:color="auto"/>
            </w:tcBorders>
            <w:shd w:val="clear" w:color="auto" w:fill="CFF0FC"/>
          </w:tcPr>
          <w:p>
            <w:pPr>
              <w:spacing w:after="0"/>
              <w:rPr>
                <w:sz w:val="12"/>
                <w:szCs w:val="12"/>
                <w:color w:val="auto"/>
              </w:rPr>
            </w:pP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660" w:type="dxa"/>
            <w:vAlign w:val="bottom"/>
            <w:shd w:val="clear" w:color="auto" w:fill="CFF0FC"/>
          </w:tcPr>
          <w:p>
            <w:pPr>
              <w:ind w:left="100"/>
              <w:spacing w:after="0" w:line="149" w:lineRule="exact"/>
              <w:rPr>
                <w:sz w:val="20"/>
                <w:szCs w:val="20"/>
                <w:color w:val="auto"/>
              </w:rPr>
            </w:pPr>
            <w:r>
              <w:rPr>
                <w:rFonts w:ascii="Arial" w:cs="Arial" w:eastAsia="Arial" w:hAnsi="Arial"/>
                <w:sz w:val="14"/>
                <w:szCs w:val="14"/>
                <w:color w:val="auto"/>
              </w:rPr>
              <w:t>underlying securities would be accounted for under the</w:t>
            </w:r>
          </w:p>
        </w:tc>
        <w:tc>
          <w:tcPr>
            <w:tcW w:w="200" w:type="dxa"/>
            <w:vAlign w:val="bottom"/>
            <w:tcBorders>
              <w:right w:val="single" w:sz="8" w:color="auto"/>
            </w:tcBorders>
            <w:shd w:val="clear" w:color="auto" w:fill="CFF0FC"/>
          </w:tcPr>
          <w:p>
            <w:pPr>
              <w:spacing w:after="0"/>
              <w:rPr>
                <w:sz w:val="12"/>
                <w:szCs w:val="12"/>
                <w:color w:val="auto"/>
              </w:rPr>
            </w:pP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660" w:type="dxa"/>
            <w:vAlign w:val="bottom"/>
            <w:shd w:val="clear" w:color="auto" w:fill="CFF0FC"/>
          </w:tcPr>
          <w:p>
            <w:pPr>
              <w:ind w:left="100"/>
              <w:spacing w:after="0" w:line="149" w:lineRule="exact"/>
              <w:rPr>
                <w:sz w:val="20"/>
                <w:szCs w:val="20"/>
                <w:color w:val="auto"/>
              </w:rPr>
            </w:pPr>
            <w:r>
              <w:rPr>
                <w:rFonts w:ascii="Arial" w:cs="Arial" w:eastAsia="Arial" w:hAnsi="Arial"/>
                <w:sz w:val="14"/>
                <w:szCs w:val="14"/>
                <w:color w:val="auto"/>
              </w:rPr>
              <w:t>equity method of accounting or the fair value option in</w:t>
            </w:r>
          </w:p>
        </w:tc>
        <w:tc>
          <w:tcPr>
            <w:tcW w:w="200" w:type="dxa"/>
            <w:vAlign w:val="bottom"/>
            <w:tcBorders>
              <w:right w:val="single" w:sz="8" w:color="auto"/>
            </w:tcBorders>
            <w:shd w:val="clear" w:color="auto" w:fill="CFF0FC"/>
          </w:tcPr>
          <w:p>
            <w:pPr>
              <w:spacing w:after="0"/>
              <w:rPr>
                <w:sz w:val="12"/>
                <w:szCs w:val="12"/>
                <w:color w:val="auto"/>
              </w:rPr>
            </w:pP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660" w:type="dxa"/>
            <w:vAlign w:val="bottom"/>
            <w:shd w:val="clear" w:color="auto" w:fill="CFF0FC"/>
          </w:tcPr>
          <w:p>
            <w:pPr>
              <w:ind w:left="100"/>
              <w:spacing w:after="0" w:line="149" w:lineRule="exact"/>
              <w:rPr>
                <w:sz w:val="20"/>
                <w:szCs w:val="20"/>
                <w:color w:val="auto"/>
              </w:rPr>
            </w:pPr>
            <w:r>
              <w:rPr>
                <w:rFonts w:ascii="Arial" w:cs="Arial" w:eastAsia="Arial" w:hAnsi="Arial"/>
                <w:sz w:val="14"/>
                <w:szCs w:val="14"/>
                <w:color w:val="auto"/>
              </w:rPr>
              <w:t>accordance with the financial instruments guidance. An</w:t>
            </w:r>
          </w:p>
        </w:tc>
        <w:tc>
          <w:tcPr>
            <w:tcW w:w="200" w:type="dxa"/>
            <w:vAlign w:val="bottom"/>
            <w:tcBorders>
              <w:right w:val="single" w:sz="8" w:color="auto"/>
            </w:tcBorders>
            <w:shd w:val="clear" w:color="auto" w:fill="CFF0FC"/>
          </w:tcPr>
          <w:p>
            <w:pPr>
              <w:spacing w:after="0"/>
              <w:rPr>
                <w:sz w:val="12"/>
                <w:szCs w:val="12"/>
                <w:color w:val="auto"/>
              </w:rPr>
            </w:pP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660" w:type="dxa"/>
            <w:vAlign w:val="bottom"/>
            <w:shd w:val="clear" w:color="auto" w:fill="CFF0FC"/>
          </w:tcPr>
          <w:p>
            <w:pPr>
              <w:ind w:left="100"/>
              <w:spacing w:after="0" w:line="149" w:lineRule="exact"/>
              <w:rPr>
                <w:sz w:val="20"/>
                <w:szCs w:val="20"/>
                <w:color w:val="auto"/>
              </w:rPr>
            </w:pPr>
            <w:r>
              <w:rPr>
                <w:rFonts w:ascii="Arial" w:cs="Arial" w:eastAsia="Arial" w:hAnsi="Arial"/>
                <w:sz w:val="14"/>
                <w:szCs w:val="14"/>
                <w:color w:val="auto"/>
                <w:w w:val="99"/>
              </w:rPr>
              <w:t>entity also would evaluate the remaining characteristics in</w:t>
            </w:r>
          </w:p>
        </w:tc>
        <w:tc>
          <w:tcPr>
            <w:tcW w:w="200" w:type="dxa"/>
            <w:vAlign w:val="bottom"/>
            <w:tcBorders>
              <w:right w:val="single" w:sz="8" w:color="auto"/>
            </w:tcBorders>
            <w:shd w:val="clear" w:color="auto" w:fill="CFF0FC"/>
          </w:tcPr>
          <w:p>
            <w:pPr>
              <w:spacing w:after="0"/>
              <w:rPr>
                <w:sz w:val="12"/>
                <w:szCs w:val="12"/>
                <w:color w:val="auto"/>
              </w:rPr>
            </w:pP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660" w:type="dxa"/>
            <w:vAlign w:val="bottom"/>
            <w:shd w:val="clear" w:color="auto" w:fill="CFF0FC"/>
          </w:tcPr>
          <w:p>
            <w:pPr>
              <w:ind w:left="100"/>
              <w:spacing w:after="0" w:line="149" w:lineRule="exact"/>
              <w:rPr>
                <w:sz w:val="20"/>
                <w:szCs w:val="20"/>
                <w:color w:val="auto"/>
              </w:rPr>
            </w:pPr>
            <w:r>
              <w:rPr>
                <w:rFonts w:ascii="Arial" w:cs="Arial" w:eastAsia="Arial" w:hAnsi="Arial"/>
                <w:sz w:val="14"/>
                <w:szCs w:val="14"/>
                <w:color w:val="auto"/>
              </w:rPr>
              <w:t>the derivatives and hedging guidance to determine the</w:t>
            </w:r>
          </w:p>
        </w:tc>
        <w:tc>
          <w:tcPr>
            <w:tcW w:w="200" w:type="dxa"/>
            <w:vAlign w:val="bottom"/>
            <w:tcBorders>
              <w:right w:val="single" w:sz="8" w:color="auto"/>
            </w:tcBorders>
            <w:shd w:val="clear" w:color="auto" w:fill="CFF0FC"/>
          </w:tcPr>
          <w:p>
            <w:pPr>
              <w:spacing w:after="0"/>
              <w:rPr>
                <w:sz w:val="12"/>
                <w:szCs w:val="12"/>
                <w:color w:val="auto"/>
              </w:rPr>
            </w:pP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shd w:val="clear" w:color="auto" w:fill="CFF0FC"/>
          </w:tcPr>
          <w:p>
            <w:pPr>
              <w:spacing w:after="0"/>
              <w:rPr>
                <w:sz w:val="12"/>
                <w:szCs w:val="12"/>
                <w:color w:val="auto"/>
              </w:rPr>
            </w:pPr>
          </w:p>
        </w:tc>
        <w:tc>
          <w:tcPr>
            <w:tcW w:w="3660" w:type="dxa"/>
            <w:vAlign w:val="bottom"/>
            <w:shd w:val="clear" w:color="auto" w:fill="CFF0FC"/>
          </w:tcPr>
          <w:p>
            <w:pPr>
              <w:ind w:left="100"/>
              <w:spacing w:after="0" w:line="149" w:lineRule="exact"/>
              <w:rPr>
                <w:sz w:val="20"/>
                <w:szCs w:val="20"/>
                <w:color w:val="auto"/>
              </w:rPr>
            </w:pPr>
            <w:r>
              <w:rPr>
                <w:rFonts w:ascii="Arial" w:cs="Arial" w:eastAsia="Arial" w:hAnsi="Arial"/>
                <w:sz w:val="14"/>
                <w:szCs w:val="14"/>
                <w:color w:val="auto"/>
              </w:rPr>
              <w:t>accounting for those forward contracts and purchased</w:t>
            </w:r>
          </w:p>
        </w:tc>
        <w:tc>
          <w:tcPr>
            <w:tcW w:w="200" w:type="dxa"/>
            <w:vAlign w:val="bottom"/>
            <w:tcBorders>
              <w:right w:val="single" w:sz="8" w:color="auto"/>
            </w:tcBorders>
            <w:shd w:val="clear" w:color="auto" w:fill="CFF0FC"/>
          </w:tcPr>
          <w:p>
            <w:pPr>
              <w:spacing w:after="0"/>
              <w:rPr>
                <w:sz w:val="12"/>
                <w:szCs w:val="12"/>
                <w:color w:val="auto"/>
              </w:rPr>
            </w:pP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680" w:type="dxa"/>
            <w:vAlign w:val="bottom"/>
            <w:tcBorders>
              <w:left w:val="single" w:sz="8" w:color="auto"/>
              <w:bottom w:val="single" w:sz="8" w:color="auto"/>
              <w:right w:val="single" w:sz="8" w:color="auto"/>
            </w:tcBorders>
            <w:shd w:val="clear" w:color="auto" w:fill="CFF0FC"/>
          </w:tcPr>
          <w:p>
            <w:pPr>
              <w:spacing w:after="0"/>
              <w:rPr>
                <w:sz w:val="14"/>
                <w:szCs w:val="14"/>
                <w:color w:val="auto"/>
              </w:rPr>
            </w:pPr>
          </w:p>
        </w:tc>
        <w:tc>
          <w:tcPr>
            <w:tcW w:w="3660" w:type="dxa"/>
            <w:vAlign w:val="bottom"/>
            <w:tcBorders>
              <w:bottom w:val="single" w:sz="8" w:color="auto"/>
            </w:tcBorders>
            <w:shd w:val="clear" w:color="auto" w:fill="CFF0FC"/>
          </w:tcPr>
          <w:p>
            <w:pPr>
              <w:ind w:left="100"/>
              <w:spacing w:after="0"/>
              <w:rPr>
                <w:sz w:val="20"/>
                <w:szCs w:val="20"/>
                <w:color w:val="auto"/>
              </w:rPr>
            </w:pPr>
            <w:r>
              <w:rPr>
                <w:rFonts w:ascii="Arial" w:cs="Arial" w:eastAsia="Arial" w:hAnsi="Arial"/>
                <w:sz w:val="14"/>
                <w:szCs w:val="14"/>
                <w:color w:val="auto"/>
              </w:rPr>
              <w:t>options.</w:t>
            </w:r>
          </w:p>
        </w:tc>
        <w:tc>
          <w:tcPr>
            <w:tcW w:w="200" w:type="dxa"/>
            <w:vAlign w:val="bottom"/>
            <w:tcBorders>
              <w:bottom w:val="single" w:sz="8" w:color="auto"/>
              <w:right w:val="single" w:sz="8" w:color="auto"/>
            </w:tcBorders>
            <w:shd w:val="clear" w:color="auto" w:fill="CFF0FC"/>
          </w:tcPr>
          <w:p>
            <w:pPr>
              <w:spacing w:after="0"/>
              <w:rPr>
                <w:sz w:val="14"/>
                <w:szCs w:val="14"/>
                <w:color w:val="auto"/>
              </w:rPr>
            </w:pPr>
          </w:p>
        </w:tc>
        <w:tc>
          <w:tcPr>
            <w:tcW w:w="1500" w:type="dxa"/>
            <w:vAlign w:val="bottom"/>
            <w:tcBorders>
              <w:bottom w:val="single" w:sz="8" w:color="auto"/>
              <w:right w:val="single" w:sz="8" w:color="auto"/>
            </w:tcBorders>
            <w:shd w:val="clear" w:color="auto" w:fill="CFF0FC"/>
          </w:tcPr>
          <w:p>
            <w:pPr>
              <w:spacing w:after="0"/>
              <w:rPr>
                <w:sz w:val="14"/>
                <w:szCs w:val="14"/>
                <w:color w:val="auto"/>
              </w:rPr>
            </w:pPr>
          </w:p>
        </w:tc>
        <w:tc>
          <w:tcPr>
            <w:tcW w:w="4200" w:type="dxa"/>
            <w:vAlign w:val="bottom"/>
            <w:tcBorders>
              <w:bottom w:val="single" w:sz="8" w:color="auto"/>
              <w:right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425"/>
        </w:trPr>
        <w:tc>
          <w:tcPr>
            <w:tcW w:w="16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700" w:type="dxa"/>
            <w:vAlign w:val="bottom"/>
            <w:gridSpan w:val="2"/>
          </w:tcPr>
          <w:p>
            <w:pPr>
              <w:jc w:val="right"/>
              <w:ind w:right="1148"/>
              <w:spacing w:after="0"/>
              <w:rPr>
                <w:sz w:val="20"/>
                <w:szCs w:val="20"/>
                <w:color w:val="auto"/>
              </w:rPr>
            </w:pPr>
            <w:r>
              <w:rPr>
                <w:rFonts w:ascii="Arial" w:cs="Arial" w:eastAsia="Arial" w:hAnsi="Arial"/>
                <w:sz w:val="18"/>
                <w:szCs w:val="18"/>
                <w:color w:val="auto"/>
              </w:rPr>
              <w:t>-43-</w:t>
            </w:r>
          </w:p>
        </w:tc>
        <w:tc>
          <w:tcPr>
            <w:tcW w:w="4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680" w:type="dxa"/>
            <w:vAlign w:val="bottom"/>
            <w:tcBorders>
              <w:bottom w:val="single" w:sz="8" w:color="9A9A9A"/>
            </w:tcBorders>
          </w:tcPr>
          <w:p>
            <w:pPr>
              <w:spacing w:after="0"/>
              <w:rPr>
                <w:sz w:val="9"/>
                <w:szCs w:val="9"/>
                <w:color w:val="auto"/>
              </w:rPr>
            </w:pPr>
          </w:p>
        </w:tc>
        <w:tc>
          <w:tcPr>
            <w:tcW w:w="36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42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-7620</wp:posOffset>
            </wp:positionV>
            <wp:extent cx="825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25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t>NOTES TO FINANCIAL STATEMENTS, CONTINUED</w:t>
      </w:r>
    </w:p>
    <w:p>
      <w:pPr>
        <w:spacing w:after="0" w:line="21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15. Recent accounting developments, continued</w:t>
      </w:r>
    </w:p>
    <w:p>
      <w:pPr>
        <w:spacing w:after="0" w:line="216" w:lineRule="exact"/>
        <w:rPr>
          <w:sz w:val="20"/>
          <w:szCs w:val="20"/>
          <w:color w:val="auto"/>
        </w:rPr>
      </w:pPr>
    </w:p>
    <w:tbl>
      <w:tblPr>
        <w:tblLayout w:type="fixed"/>
        <w:tblInd w:w="10" w:type="dxa"/>
        <w:tblCellMar>
          <w:top w:w="0" w:type="dxa"/>
          <w:left w:w="0" w:type="dxa"/>
          <w:bottom w:w="0" w:type="dxa"/>
          <w:right w:w="0" w:type="dxa"/>
        </w:tblCellMar>
      </w:tblPr>
      <w:tr>
        <w:trPr>
          <w:trHeight w:val="139"/>
        </w:trPr>
        <w:tc>
          <w:tcPr>
            <w:tcW w:w="1640" w:type="dxa"/>
            <w:vAlign w:val="bottom"/>
            <w:tcBorders>
              <w:top w:val="single" w:sz="8" w:color="auto"/>
              <w:left w:val="single" w:sz="8" w:color="auto"/>
              <w:right w:val="single" w:sz="8" w:color="auto"/>
            </w:tcBorders>
            <w:vMerge w:val="restart"/>
          </w:tcPr>
          <w:p>
            <w:pPr>
              <w:ind w:left="520"/>
              <w:spacing w:after="0"/>
              <w:rPr>
                <w:sz w:val="20"/>
                <w:szCs w:val="20"/>
                <w:color w:val="auto"/>
              </w:rPr>
            </w:pPr>
            <w:r>
              <w:rPr>
                <w:rFonts w:ascii="Arial" w:cs="Arial" w:eastAsia="Arial" w:hAnsi="Arial"/>
                <w:sz w:val="14"/>
                <w:szCs w:val="14"/>
                <w:b w:val="1"/>
                <w:bCs w:val="1"/>
                <w:color w:val="auto"/>
              </w:rPr>
              <w:t>Standard</w:t>
            </w:r>
          </w:p>
        </w:tc>
        <w:tc>
          <w:tcPr>
            <w:tcW w:w="3880" w:type="dxa"/>
            <w:vAlign w:val="bottom"/>
            <w:tcBorders>
              <w:top w:val="single" w:sz="8" w:color="auto"/>
              <w:right w:val="single" w:sz="8" w:color="auto"/>
            </w:tcBorders>
            <w:vMerge w:val="restart"/>
          </w:tcPr>
          <w:p>
            <w:pPr>
              <w:ind w:left="1500"/>
              <w:spacing w:after="0"/>
              <w:rPr>
                <w:sz w:val="20"/>
                <w:szCs w:val="20"/>
                <w:color w:val="auto"/>
              </w:rPr>
            </w:pPr>
            <w:r>
              <w:rPr>
                <w:rFonts w:ascii="Arial" w:cs="Arial" w:eastAsia="Arial" w:hAnsi="Arial"/>
                <w:sz w:val="14"/>
                <w:szCs w:val="14"/>
                <w:b w:val="1"/>
                <w:bCs w:val="1"/>
                <w:color w:val="auto"/>
              </w:rPr>
              <w:t>Description</w:t>
            </w:r>
          </w:p>
        </w:tc>
        <w:tc>
          <w:tcPr>
            <w:tcW w:w="1500" w:type="dxa"/>
            <w:vAlign w:val="bottom"/>
            <w:tcBorders>
              <w:top w:val="single" w:sz="8" w:color="auto"/>
              <w:right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94"/>
              </w:rPr>
              <w:t>Required date</w:t>
            </w:r>
          </w:p>
        </w:tc>
        <w:tc>
          <w:tcPr>
            <w:tcW w:w="4340" w:type="dxa"/>
            <w:vAlign w:val="bottom"/>
            <w:tcBorders>
              <w:top w:val="single" w:sz="8" w:color="auto"/>
              <w:right w:val="single" w:sz="8" w:color="auto"/>
            </w:tcBorders>
            <w:vMerge w:val="restart"/>
          </w:tcPr>
          <w:p>
            <w:pPr>
              <w:ind w:left="760"/>
              <w:spacing w:after="0"/>
              <w:rPr>
                <w:sz w:val="20"/>
                <w:szCs w:val="20"/>
                <w:color w:val="auto"/>
              </w:rPr>
            </w:pPr>
            <w:r>
              <w:rPr>
                <w:rFonts w:ascii="Arial" w:cs="Arial" w:eastAsia="Arial" w:hAnsi="Arial"/>
                <w:sz w:val="14"/>
                <w:szCs w:val="14"/>
                <w:b w:val="1"/>
                <w:bCs w:val="1"/>
                <w:color w:val="auto"/>
              </w:rPr>
              <w:t>Effect on consolidated financial statements</w:t>
            </w:r>
          </w:p>
        </w:tc>
        <w:tc>
          <w:tcPr>
            <w:tcW w:w="0" w:type="dxa"/>
            <w:vAlign w:val="bottom"/>
          </w:tcPr>
          <w:p>
            <w:pPr>
              <w:spacing w:after="0"/>
              <w:rPr>
                <w:sz w:val="1"/>
                <w:szCs w:val="1"/>
                <w:color w:val="auto"/>
              </w:rPr>
            </w:pPr>
          </w:p>
        </w:tc>
      </w:tr>
      <w:tr>
        <w:trPr>
          <w:trHeight w:val="171"/>
        </w:trPr>
        <w:tc>
          <w:tcPr>
            <w:tcW w:w="164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3880" w:type="dxa"/>
            <w:vAlign w:val="bottom"/>
            <w:tcBorders>
              <w:bottom w:val="single" w:sz="8" w:color="auto"/>
              <w:right w:val="single" w:sz="8" w:color="auto"/>
            </w:tcBorders>
            <w:vMerge w:val="continue"/>
          </w:tcPr>
          <w:p>
            <w:pPr>
              <w:spacing w:after="0"/>
              <w:rPr>
                <w:sz w:val="14"/>
                <w:szCs w:val="14"/>
                <w:color w:val="auto"/>
              </w:rPr>
            </w:pP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of adoption</w:t>
            </w:r>
          </w:p>
        </w:tc>
        <w:tc>
          <w:tcPr>
            <w:tcW w:w="43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520" w:type="dxa"/>
            <w:vAlign w:val="bottom"/>
            <w:tcBorders>
              <w:left w:val="single" w:sz="8" w:color="auto"/>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Standards Not Yet Adopted as of March 31, 2020</w:t>
            </w:r>
          </w:p>
        </w:tc>
        <w:tc>
          <w:tcPr>
            <w:tcW w:w="1500" w:type="dxa"/>
            <w:vAlign w:val="bottom"/>
            <w:tcBorders>
              <w:bottom w:val="single" w:sz="8" w:color="auto"/>
            </w:tcBorders>
          </w:tcPr>
          <w:p>
            <w:pPr>
              <w:spacing w:after="0"/>
              <w:rPr>
                <w:sz w:val="19"/>
                <w:szCs w:val="19"/>
                <w:color w:val="auto"/>
              </w:rPr>
            </w:pPr>
          </w:p>
        </w:tc>
        <w:tc>
          <w:tcPr>
            <w:tcW w:w="43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23"/>
        </w:trPr>
        <w:tc>
          <w:tcPr>
            <w:tcW w:w="1640" w:type="dxa"/>
            <w:vAlign w:val="bottom"/>
            <w:tcBorders>
              <w:left w:val="single" w:sz="8" w:color="auto"/>
              <w:right w:val="single" w:sz="8" w:color="auto"/>
            </w:tcBorders>
          </w:tcPr>
          <w:p>
            <w:pPr>
              <w:ind w:left="140"/>
              <w:spacing w:after="0" w:line="123" w:lineRule="exact"/>
              <w:rPr>
                <w:sz w:val="20"/>
                <w:szCs w:val="20"/>
                <w:color w:val="auto"/>
              </w:rPr>
            </w:pPr>
            <w:r>
              <w:rPr>
                <w:rFonts w:ascii="Arial" w:cs="Arial" w:eastAsia="Arial" w:hAnsi="Arial"/>
                <w:sz w:val="14"/>
                <w:szCs w:val="14"/>
                <w:color w:val="auto"/>
              </w:rPr>
              <w:t>Simplifying the</w:t>
            </w:r>
          </w:p>
        </w:tc>
        <w:tc>
          <w:tcPr>
            <w:tcW w:w="3880" w:type="dxa"/>
            <w:vAlign w:val="bottom"/>
            <w:tcBorders>
              <w:right w:val="single" w:sz="8" w:color="auto"/>
            </w:tcBorders>
          </w:tcPr>
          <w:p>
            <w:pPr>
              <w:spacing w:after="0"/>
              <w:rPr>
                <w:sz w:val="10"/>
                <w:szCs w:val="10"/>
                <w:color w:val="auto"/>
              </w:rPr>
            </w:pPr>
          </w:p>
        </w:tc>
        <w:tc>
          <w:tcPr>
            <w:tcW w:w="1500" w:type="dxa"/>
            <w:vAlign w:val="bottom"/>
            <w:tcBorders>
              <w:right w:val="single" w:sz="8" w:color="auto"/>
            </w:tcBorders>
          </w:tcPr>
          <w:p>
            <w:pPr>
              <w:jc w:val="center"/>
              <w:spacing w:after="0" w:line="123" w:lineRule="exact"/>
              <w:rPr>
                <w:sz w:val="20"/>
                <w:szCs w:val="20"/>
                <w:color w:val="auto"/>
              </w:rPr>
            </w:pPr>
            <w:r>
              <w:rPr>
                <w:rFonts w:ascii="Arial" w:cs="Arial" w:eastAsia="Arial" w:hAnsi="Arial"/>
                <w:sz w:val="14"/>
                <w:szCs w:val="14"/>
                <w:color w:val="auto"/>
                <w:w w:val="91"/>
              </w:rPr>
              <w:t>January 1, 2021</w:t>
            </w:r>
          </w:p>
        </w:tc>
        <w:tc>
          <w:tcPr>
            <w:tcW w:w="4340" w:type="dxa"/>
            <w:vAlign w:val="bottom"/>
            <w:tcBorders>
              <w:right w:val="single" w:sz="8" w:color="auto"/>
            </w:tcBorders>
          </w:tcPr>
          <w:p>
            <w:pPr>
              <w:ind w:left="80"/>
              <w:spacing w:after="0" w:line="123" w:lineRule="exact"/>
              <w:rPr>
                <w:sz w:val="20"/>
                <w:szCs w:val="20"/>
                <w:color w:val="auto"/>
              </w:rPr>
            </w:pPr>
            <w:r>
              <w:rPr>
                <w:rFonts w:ascii="Arial" w:cs="Arial" w:eastAsia="Arial" w:hAnsi="Arial"/>
                <w:sz w:val="14"/>
                <w:szCs w:val="14"/>
                <w:color w:val="auto"/>
              </w:rPr>
              <w:t>The amendments related to separate financial statements of legal</w:t>
            </w: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tcPr>
          <w:p>
            <w:pPr>
              <w:ind w:left="140"/>
              <w:spacing w:after="0" w:line="149" w:lineRule="exact"/>
              <w:rPr>
                <w:sz w:val="20"/>
                <w:szCs w:val="20"/>
                <w:color w:val="auto"/>
              </w:rPr>
            </w:pPr>
            <w:r>
              <w:rPr>
                <w:rFonts w:ascii="Arial" w:cs="Arial" w:eastAsia="Arial" w:hAnsi="Arial"/>
                <w:sz w:val="14"/>
                <w:szCs w:val="14"/>
                <w:color w:val="auto"/>
              </w:rPr>
              <w:t>Accounting for</w:t>
            </w:r>
          </w:p>
        </w:tc>
        <w:tc>
          <w:tcPr>
            <w:tcW w:w="388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The amendments remove the following exceptions for</w:t>
            </w:r>
          </w:p>
        </w:tc>
        <w:tc>
          <w:tcPr>
            <w:tcW w:w="1500" w:type="dxa"/>
            <w:vAlign w:val="bottom"/>
            <w:tcBorders>
              <w:right w:val="single" w:sz="8" w:color="auto"/>
            </w:tcBorders>
          </w:tcPr>
          <w:p>
            <w:pPr>
              <w:spacing w:after="0"/>
              <w:rPr>
                <w:sz w:val="12"/>
                <w:szCs w:val="12"/>
                <w:color w:val="auto"/>
              </w:rPr>
            </w:pPr>
          </w:p>
        </w:tc>
        <w:tc>
          <w:tcPr>
            <w:tcW w:w="4340" w:type="dxa"/>
            <w:vAlign w:val="bottom"/>
            <w:tcBorders>
              <w:right w:val="single" w:sz="8" w:color="auto"/>
            </w:tcBorders>
          </w:tcPr>
          <w:p>
            <w:pPr>
              <w:ind w:left="80"/>
              <w:spacing w:after="0" w:line="149" w:lineRule="exact"/>
              <w:rPr>
                <w:sz w:val="20"/>
                <w:szCs w:val="20"/>
                <w:color w:val="auto"/>
              </w:rPr>
            </w:pPr>
            <w:r>
              <w:rPr>
                <w:rFonts w:ascii="Arial" w:cs="Arial" w:eastAsia="Arial" w:hAnsi="Arial"/>
                <w:sz w:val="14"/>
                <w:szCs w:val="14"/>
                <w:color w:val="auto"/>
              </w:rPr>
              <w:t>entities that are not subject to tax should be applied on a</w:t>
            </w: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tcPr>
          <w:p>
            <w:pPr>
              <w:ind w:left="140"/>
              <w:spacing w:after="0" w:line="149" w:lineRule="exact"/>
              <w:rPr>
                <w:sz w:val="20"/>
                <w:szCs w:val="20"/>
                <w:color w:val="auto"/>
              </w:rPr>
            </w:pPr>
            <w:r>
              <w:rPr>
                <w:rFonts w:ascii="Arial" w:cs="Arial" w:eastAsia="Arial" w:hAnsi="Arial"/>
                <w:sz w:val="14"/>
                <w:szCs w:val="14"/>
                <w:color w:val="auto"/>
              </w:rPr>
              <w:t>Income Taxes</w:t>
            </w:r>
          </w:p>
        </w:tc>
        <w:tc>
          <w:tcPr>
            <w:tcW w:w="388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accounting for income taxes:</w:t>
            </w:r>
          </w:p>
        </w:tc>
        <w:tc>
          <w:tcPr>
            <w:tcW w:w="15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Early adoption</w:t>
            </w:r>
          </w:p>
        </w:tc>
        <w:tc>
          <w:tcPr>
            <w:tcW w:w="4340" w:type="dxa"/>
            <w:vAlign w:val="bottom"/>
            <w:tcBorders>
              <w:right w:val="single" w:sz="8" w:color="auto"/>
            </w:tcBorders>
          </w:tcPr>
          <w:p>
            <w:pPr>
              <w:ind w:left="80"/>
              <w:spacing w:after="0" w:line="149" w:lineRule="exact"/>
              <w:rPr>
                <w:sz w:val="20"/>
                <w:szCs w:val="20"/>
                <w:color w:val="auto"/>
              </w:rPr>
            </w:pPr>
            <w:r>
              <w:rPr>
                <w:rFonts w:ascii="Arial" w:cs="Arial" w:eastAsia="Arial" w:hAnsi="Arial"/>
                <w:sz w:val="14"/>
                <w:szCs w:val="14"/>
                <w:color w:val="auto"/>
                <w:w w:val="97"/>
              </w:rPr>
              <w:t>retrospective basis for all periods presented. The amendments related</w:t>
            </w: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1. Exception to the incremental approach for intraperiod tax</w:t>
            </w:r>
          </w:p>
        </w:tc>
        <w:tc>
          <w:tcPr>
            <w:tcW w:w="15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permitted</w:t>
            </w:r>
          </w:p>
        </w:tc>
        <w:tc>
          <w:tcPr>
            <w:tcW w:w="4340" w:type="dxa"/>
            <w:vAlign w:val="bottom"/>
            <w:tcBorders>
              <w:right w:val="single" w:sz="8" w:color="auto"/>
            </w:tcBorders>
          </w:tcPr>
          <w:p>
            <w:pPr>
              <w:ind w:left="80"/>
              <w:spacing w:after="0" w:line="149" w:lineRule="exact"/>
              <w:rPr>
                <w:sz w:val="20"/>
                <w:szCs w:val="20"/>
                <w:color w:val="auto"/>
              </w:rPr>
            </w:pPr>
            <w:r>
              <w:rPr>
                <w:rFonts w:ascii="Arial" w:cs="Arial" w:eastAsia="Arial" w:hAnsi="Arial"/>
                <w:sz w:val="14"/>
                <w:szCs w:val="14"/>
                <w:color w:val="auto"/>
              </w:rPr>
              <w:t>to changes in ownership of foreign equity method investments or</w:t>
            </w: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allocation when there is a loss from continuing operations</w:t>
            </w:r>
          </w:p>
        </w:tc>
        <w:tc>
          <w:tcPr>
            <w:tcW w:w="1500" w:type="dxa"/>
            <w:vAlign w:val="bottom"/>
            <w:tcBorders>
              <w:right w:val="single" w:sz="8" w:color="auto"/>
            </w:tcBorders>
          </w:tcPr>
          <w:p>
            <w:pPr>
              <w:spacing w:after="0"/>
              <w:rPr>
                <w:sz w:val="12"/>
                <w:szCs w:val="12"/>
                <w:color w:val="auto"/>
              </w:rPr>
            </w:pPr>
          </w:p>
        </w:tc>
        <w:tc>
          <w:tcPr>
            <w:tcW w:w="4340" w:type="dxa"/>
            <w:vAlign w:val="bottom"/>
            <w:tcBorders>
              <w:right w:val="single" w:sz="8" w:color="auto"/>
            </w:tcBorders>
          </w:tcPr>
          <w:p>
            <w:pPr>
              <w:ind w:left="80"/>
              <w:spacing w:after="0" w:line="149" w:lineRule="exact"/>
              <w:rPr>
                <w:sz w:val="20"/>
                <w:szCs w:val="20"/>
                <w:color w:val="auto"/>
              </w:rPr>
            </w:pPr>
            <w:r>
              <w:rPr>
                <w:rFonts w:ascii="Arial" w:cs="Arial" w:eastAsia="Arial" w:hAnsi="Arial"/>
                <w:sz w:val="14"/>
                <w:szCs w:val="14"/>
                <w:color w:val="auto"/>
              </w:rPr>
              <w:t>foreign subsidiaries should be applied on a modified retrospective</w:t>
            </w: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and income or a gain from other items (for example,</w:t>
            </w:r>
          </w:p>
        </w:tc>
        <w:tc>
          <w:tcPr>
            <w:tcW w:w="1500" w:type="dxa"/>
            <w:vAlign w:val="bottom"/>
            <w:tcBorders>
              <w:right w:val="single" w:sz="8" w:color="auto"/>
            </w:tcBorders>
          </w:tcPr>
          <w:p>
            <w:pPr>
              <w:spacing w:after="0"/>
              <w:rPr>
                <w:sz w:val="12"/>
                <w:szCs w:val="12"/>
                <w:color w:val="auto"/>
              </w:rPr>
            </w:pPr>
          </w:p>
        </w:tc>
        <w:tc>
          <w:tcPr>
            <w:tcW w:w="4340" w:type="dxa"/>
            <w:vAlign w:val="bottom"/>
            <w:tcBorders>
              <w:right w:val="single" w:sz="8" w:color="auto"/>
            </w:tcBorders>
          </w:tcPr>
          <w:p>
            <w:pPr>
              <w:ind w:left="80"/>
              <w:spacing w:after="0" w:line="149" w:lineRule="exact"/>
              <w:rPr>
                <w:sz w:val="20"/>
                <w:szCs w:val="20"/>
                <w:color w:val="auto"/>
              </w:rPr>
            </w:pPr>
            <w:r>
              <w:rPr>
                <w:rFonts w:ascii="Arial" w:cs="Arial" w:eastAsia="Arial" w:hAnsi="Arial"/>
                <w:sz w:val="14"/>
                <w:szCs w:val="14"/>
                <w:color w:val="auto"/>
                <w:w w:val="99"/>
              </w:rPr>
              <w:t>basis through a cumulative-effect adjustment to retained earnings as</w:t>
            </w: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discontinued operations or other comprehensive income)</w:t>
            </w:r>
          </w:p>
        </w:tc>
        <w:tc>
          <w:tcPr>
            <w:tcW w:w="1500" w:type="dxa"/>
            <w:vAlign w:val="bottom"/>
            <w:tcBorders>
              <w:right w:val="single" w:sz="8" w:color="auto"/>
            </w:tcBorders>
          </w:tcPr>
          <w:p>
            <w:pPr>
              <w:spacing w:after="0"/>
              <w:rPr>
                <w:sz w:val="12"/>
                <w:szCs w:val="12"/>
                <w:color w:val="auto"/>
              </w:rPr>
            </w:pPr>
          </w:p>
        </w:tc>
        <w:tc>
          <w:tcPr>
            <w:tcW w:w="4340" w:type="dxa"/>
            <w:vAlign w:val="bottom"/>
            <w:tcBorders>
              <w:right w:val="single" w:sz="8" w:color="auto"/>
            </w:tcBorders>
          </w:tcPr>
          <w:p>
            <w:pPr>
              <w:ind w:left="80"/>
              <w:spacing w:after="0" w:line="149" w:lineRule="exact"/>
              <w:rPr>
                <w:sz w:val="20"/>
                <w:szCs w:val="20"/>
                <w:color w:val="auto"/>
              </w:rPr>
            </w:pPr>
            <w:r>
              <w:rPr>
                <w:rFonts w:ascii="Arial" w:cs="Arial" w:eastAsia="Arial" w:hAnsi="Arial"/>
                <w:sz w:val="14"/>
                <w:szCs w:val="14"/>
                <w:color w:val="auto"/>
              </w:rPr>
              <w:t>of the beginning of the fiscal year of adoption. The amendments</w:t>
            </w: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2. Exception to the requirement to recognize a deferred tax</w:t>
            </w:r>
          </w:p>
        </w:tc>
        <w:tc>
          <w:tcPr>
            <w:tcW w:w="1500" w:type="dxa"/>
            <w:vAlign w:val="bottom"/>
            <w:tcBorders>
              <w:right w:val="single" w:sz="8" w:color="auto"/>
            </w:tcBorders>
          </w:tcPr>
          <w:p>
            <w:pPr>
              <w:spacing w:after="0"/>
              <w:rPr>
                <w:sz w:val="12"/>
                <w:szCs w:val="12"/>
                <w:color w:val="auto"/>
              </w:rPr>
            </w:pPr>
          </w:p>
        </w:tc>
        <w:tc>
          <w:tcPr>
            <w:tcW w:w="4340" w:type="dxa"/>
            <w:vAlign w:val="bottom"/>
            <w:tcBorders>
              <w:right w:val="single" w:sz="8" w:color="auto"/>
            </w:tcBorders>
          </w:tcPr>
          <w:p>
            <w:pPr>
              <w:ind w:left="80"/>
              <w:spacing w:after="0" w:line="149" w:lineRule="exact"/>
              <w:rPr>
                <w:sz w:val="20"/>
                <w:szCs w:val="20"/>
                <w:color w:val="auto"/>
              </w:rPr>
            </w:pPr>
            <w:r>
              <w:rPr>
                <w:rFonts w:ascii="Arial" w:cs="Arial" w:eastAsia="Arial" w:hAnsi="Arial"/>
                <w:sz w:val="14"/>
                <w:szCs w:val="14"/>
                <w:color w:val="auto"/>
              </w:rPr>
              <w:t>related to franchise taxes that are partially based on income should</w:t>
            </w: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liability for equity method investments when a foreign</w:t>
            </w:r>
          </w:p>
        </w:tc>
        <w:tc>
          <w:tcPr>
            <w:tcW w:w="1500" w:type="dxa"/>
            <w:vAlign w:val="bottom"/>
            <w:tcBorders>
              <w:right w:val="single" w:sz="8" w:color="auto"/>
            </w:tcBorders>
          </w:tcPr>
          <w:p>
            <w:pPr>
              <w:spacing w:after="0"/>
              <w:rPr>
                <w:sz w:val="12"/>
                <w:szCs w:val="12"/>
                <w:color w:val="auto"/>
              </w:rPr>
            </w:pPr>
          </w:p>
        </w:tc>
        <w:tc>
          <w:tcPr>
            <w:tcW w:w="4340" w:type="dxa"/>
            <w:vAlign w:val="bottom"/>
            <w:tcBorders>
              <w:right w:val="single" w:sz="8" w:color="auto"/>
            </w:tcBorders>
          </w:tcPr>
          <w:p>
            <w:pPr>
              <w:ind w:left="80"/>
              <w:spacing w:after="0" w:line="149" w:lineRule="exact"/>
              <w:rPr>
                <w:sz w:val="20"/>
                <w:szCs w:val="20"/>
                <w:color w:val="auto"/>
              </w:rPr>
            </w:pPr>
            <w:r>
              <w:rPr>
                <w:rFonts w:ascii="Arial" w:cs="Arial" w:eastAsia="Arial" w:hAnsi="Arial"/>
                <w:sz w:val="14"/>
                <w:szCs w:val="14"/>
                <w:color w:val="auto"/>
                <w:w w:val="99"/>
              </w:rPr>
              <w:t>be applied on either a retrospective basis for all periods presented or</w:t>
            </w: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subsidiary becomes an equity method investment</w:t>
            </w:r>
          </w:p>
        </w:tc>
        <w:tc>
          <w:tcPr>
            <w:tcW w:w="1500" w:type="dxa"/>
            <w:vAlign w:val="bottom"/>
            <w:tcBorders>
              <w:right w:val="single" w:sz="8" w:color="auto"/>
            </w:tcBorders>
          </w:tcPr>
          <w:p>
            <w:pPr>
              <w:spacing w:after="0"/>
              <w:rPr>
                <w:sz w:val="12"/>
                <w:szCs w:val="12"/>
                <w:color w:val="auto"/>
              </w:rPr>
            </w:pPr>
          </w:p>
        </w:tc>
        <w:tc>
          <w:tcPr>
            <w:tcW w:w="4340" w:type="dxa"/>
            <w:vAlign w:val="bottom"/>
            <w:tcBorders>
              <w:right w:val="single" w:sz="8" w:color="auto"/>
            </w:tcBorders>
          </w:tcPr>
          <w:p>
            <w:pPr>
              <w:ind w:left="80"/>
              <w:spacing w:after="0" w:line="149" w:lineRule="exact"/>
              <w:rPr>
                <w:sz w:val="20"/>
                <w:szCs w:val="20"/>
                <w:color w:val="auto"/>
              </w:rPr>
            </w:pPr>
            <w:r>
              <w:rPr>
                <w:rFonts w:ascii="Arial" w:cs="Arial" w:eastAsia="Arial" w:hAnsi="Arial"/>
                <w:sz w:val="14"/>
                <w:szCs w:val="14"/>
                <w:color w:val="auto"/>
              </w:rPr>
              <w:t>a modified retrospective basis through a cumulative-effect</w:t>
            </w: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3. Exception to the ability not to recognize a deferred tax</w:t>
            </w:r>
          </w:p>
        </w:tc>
        <w:tc>
          <w:tcPr>
            <w:tcW w:w="1500" w:type="dxa"/>
            <w:vAlign w:val="bottom"/>
            <w:tcBorders>
              <w:right w:val="single" w:sz="8" w:color="auto"/>
            </w:tcBorders>
          </w:tcPr>
          <w:p>
            <w:pPr>
              <w:spacing w:after="0"/>
              <w:rPr>
                <w:sz w:val="12"/>
                <w:szCs w:val="12"/>
                <w:color w:val="auto"/>
              </w:rPr>
            </w:pPr>
          </w:p>
        </w:tc>
        <w:tc>
          <w:tcPr>
            <w:tcW w:w="4340" w:type="dxa"/>
            <w:vAlign w:val="bottom"/>
            <w:tcBorders>
              <w:right w:val="single" w:sz="8" w:color="auto"/>
            </w:tcBorders>
          </w:tcPr>
          <w:p>
            <w:pPr>
              <w:ind w:left="80"/>
              <w:spacing w:after="0" w:line="149" w:lineRule="exact"/>
              <w:rPr>
                <w:sz w:val="20"/>
                <w:szCs w:val="20"/>
                <w:color w:val="auto"/>
              </w:rPr>
            </w:pPr>
            <w:r>
              <w:rPr>
                <w:rFonts w:ascii="Arial" w:cs="Arial" w:eastAsia="Arial" w:hAnsi="Arial"/>
                <w:sz w:val="14"/>
                <w:szCs w:val="14"/>
                <w:color w:val="auto"/>
                <w:w w:val="99"/>
              </w:rPr>
              <w:t>adjustment to retained earnings as of the beginning of the fiscal year</w:t>
            </w: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liability for a foreign subsidiary when a foreign equity</w:t>
            </w:r>
          </w:p>
        </w:tc>
        <w:tc>
          <w:tcPr>
            <w:tcW w:w="1500" w:type="dxa"/>
            <w:vAlign w:val="bottom"/>
            <w:tcBorders>
              <w:right w:val="single" w:sz="8" w:color="auto"/>
            </w:tcBorders>
          </w:tcPr>
          <w:p>
            <w:pPr>
              <w:spacing w:after="0"/>
              <w:rPr>
                <w:sz w:val="12"/>
                <w:szCs w:val="12"/>
                <w:color w:val="auto"/>
              </w:rPr>
            </w:pPr>
          </w:p>
        </w:tc>
        <w:tc>
          <w:tcPr>
            <w:tcW w:w="4340" w:type="dxa"/>
            <w:vAlign w:val="bottom"/>
            <w:tcBorders>
              <w:right w:val="single" w:sz="8" w:color="auto"/>
            </w:tcBorders>
          </w:tcPr>
          <w:p>
            <w:pPr>
              <w:ind w:left="80"/>
              <w:spacing w:after="0" w:line="149" w:lineRule="exact"/>
              <w:rPr>
                <w:sz w:val="20"/>
                <w:szCs w:val="20"/>
                <w:color w:val="auto"/>
              </w:rPr>
            </w:pPr>
            <w:r>
              <w:rPr>
                <w:rFonts w:ascii="Arial" w:cs="Arial" w:eastAsia="Arial" w:hAnsi="Arial"/>
                <w:sz w:val="14"/>
                <w:szCs w:val="14"/>
                <w:color w:val="auto"/>
              </w:rPr>
              <w:t>of adoption. All other amendments should be applied on a</w:t>
            </w: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method investment becomes a subsidiary</w:t>
            </w:r>
          </w:p>
        </w:tc>
        <w:tc>
          <w:tcPr>
            <w:tcW w:w="1500" w:type="dxa"/>
            <w:vAlign w:val="bottom"/>
            <w:tcBorders>
              <w:right w:val="single" w:sz="8" w:color="auto"/>
            </w:tcBorders>
          </w:tcPr>
          <w:p>
            <w:pPr>
              <w:spacing w:after="0"/>
              <w:rPr>
                <w:sz w:val="12"/>
                <w:szCs w:val="12"/>
                <w:color w:val="auto"/>
              </w:rPr>
            </w:pPr>
          </w:p>
        </w:tc>
        <w:tc>
          <w:tcPr>
            <w:tcW w:w="4340" w:type="dxa"/>
            <w:vAlign w:val="bottom"/>
            <w:tcBorders>
              <w:right w:val="single" w:sz="8" w:color="auto"/>
            </w:tcBorders>
          </w:tcPr>
          <w:p>
            <w:pPr>
              <w:ind w:left="80"/>
              <w:spacing w:after="0" w:line="149" w:lineRule="exact"/>
              <w:rPr>
                <w:sz w:val="20"/>
                <w:szCs w:val="20"/>
                <w:color w:val="auto"/>
              </w:rPr>
            </w:pPr>
            <w:r>
              <w:rPr>
                <w:rFonts w:ascii="Arial" w:cs="Arial" w:eastAsia="Arial" w:hAnsi="Arial"/>
                <w:sz w:val="14"/>
                <w:szCs w:val="14"/>
                <w:color w:val="auto"/>
              </w:rPr>
              <w:t>prospective basis.</w:t>
            </w: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4. Exception to the general methodology for calculating</w:t>
            </w:r>
          </w:p>
        </w:tc>
        <w:tc>
          <w:tcPr>
            <w:tcW w:w="1500" w:type="dxa"/>
            <w:vAlign w:val="bottom"/>
            <w:tcBorders>
              <w:right w:val="single" w:sz="8" w:color="auto"/>
            </w:tcBorders>
          </w:tcPr>
          <w:p>
            <w:pPr>
              <w:spacing w:after="0"/>
              <w:rPr>
                <w:sz w:val="12"/>
                <w:szCs w:val="12"/>
                <w:color w:val="auto"/>
              </w:rPr>
            </w:pPr>
          </w:p>
        </w:tc>
        <w:tc>
          <w:tcPr>
            <w:tcW w:w="4340" w:type="dxa"/>
            <w:vAlign w:val="bottom"/>
            <w:tcBorders>
              <w:right w:val="single" w:sz="8" w:color="auto"/>
            </w:tcBorders>
          </w:tcPr>
          <w:p>
            <w:pPr>
              <w:ind w:left="80"/>
              <w:spacing w:after="0" w:line="149" w:lineRule="exact"/>
              <w:rPr>
                <w:sz w:val="20"/>
                <w:szCs w:val="20"/>
                <w:color w:val="auto"/>
              </w:rPr>
            </w:pPr>
            <w:r>
              <w:rPr>
                <w:rFonts w:ascii="Arial" w:cs="Arial" w:eastAsia="Arial" w:hAnsi="Arial"/>
                <w:sz w:val="14"/>
                <w:szCs w:val="14"/>
                <w:color w:val="auto"/>
              </w:rPr>
              <w:t>Early adoption of the amendments in an interim period would</w:t>
            </w: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income taxes in an interim period when a year-to-date loss</w:t>
            </w:r>
          </w:p>
        </w:tc>
        <w:tc>
          <w:tcPr>
            <w:tcW w:w="1500" w:type="dxa"/>
            <w:vAlign w:val="bottom"/>
            <w:tcBorders>
              <w:right w:val="single" w:sz="8" w:color="auto"/>
            </w:tcBorders>
          </w:tcPr>
          <w:p>
            <w:pPr>
              <w:spacing w:after="0"/>
              <w:rPr>
                <w:sz w:val="12"/>
                <w:szCs w:val="12"/>
                <w:color w:val="auto"/>
              </w:rPr>
            </w:pPr>
          </w:p>
        </w:tc>
        <w:tc>
          <w:tcPr>
            <w:tcW w:w="4340" w:type="dxa"/>
            <w:vAlign w:val="bottom"/>
            <w:tcBorders>
              <w:right w:val="single" w:sz="8" w:color="auto"/>
            </w:tcBorders>
          </w:tcPr>
          <w:p>
            <w:pPr>
              <w:ind w:left="80"/>
              <w:spacing w:after="0" w:line="149" w:lineRule="exact"/>
              <w:rPr>
                <w:sz w:val="20"/>
                <w:szCs w:val="20"/>
                <w:color w:val="auto"/>
              </w:rPr>
            </w:pPr>
            <w:r>
              <w:rPr>
                <w:rFonts w:ascii="Arial" w:cs="Arial" w:eastAsia="Arial" w:hAnsi="Arial"/>
                <w:sz w:val="14"/>
                <w:szCs w:val="14"/>
                <w:color w:val="auto"/>
              </w:rPr>
              <w:t>require recognition of any adjustments as of the beginning of the</w:t>
            </w: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exceeds the anticipated loss for the year.</w:t>
            </w:r>
          </w:p>
        </w:tc>
        <w:tc>
          <w:tcPr>
            <w:tcW w:w="1500" w:type="dxa"/>
            <w:vAlign w:val="bottom"/>
            <w:tcBorders>
              <w:right w:val="single" w:sz="8" w:color="auto"/>
            </w:tcBorders>
          </w:tcPr>
          <w:p>
            <w:pPr>
              <w:spacing w:after="0"/>
              <w:rPr>
                <w:sz w:val="12"/>
                <w:szCs w:val="12"/>
                <w:color w:val="auto"/>
              </w:rPr>
            </w:pPr>
          </w:p>
        </w:tc>
        <w:tc>
          <w:tcPr>
            <w:tcW w:w="4340" w:type="dxa"/>
            <w:vAlign w:val="bottom"/>
            <w:tcBorders>
              <w:right w:val="single" w:sz="8" w:color="auto"/>
            </w:tcBorders>
          </w:tcPr>
          <w:p>
            <w:pPr>
              <w:ind w:left="80"/>
              <w:spacing w:after="0" w:line="149" w:lineRule="exact"/>
              <w:rPr>
                <w:sz w:val="20"/>
                <w:szCs w:val="20"/>
                <w:color w:val="auto"/>
              </w:rPr>
            </w:pPr>
            <w:r>
              <w:rPr>
                <w:rFonts w:ascii="Arial" w:cs="Arial" w:eastAsia="Arial" w:hAnsi="Arial"/>
                <w:sz w:val="14"/>
                <w:szCs w:val="14"/>
                <w:color w:val="auto"/>
              </w:rPr>
              <w:t>annual period that includes that interim period. Additionally, an early</w:t>
            </w: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spacing w:after="0"/>
              <w:rPr>
                <w:sz w:val="12"/>
                <w:szCs w:val="12"/>
                <w:color w:val="auto"/>
              </w:rPr>
            </w:pPr>
          </w:p>
        </w:tc>
        <w:tc>
          <w:tcPr>
            <w:tcW w:w="1500" w:type="dxa"/>
            <w:vAlign w:val="bottom"/>
            <w:tcBorders>
              <w:right w:val="single" w:sz="8" w:color="auto"/>
            </w:tcBorders>
          </w:tcPr>
          <w:p>
            <w:pPr>
              <w:spacing w:after="0"/>
              <w:rPr>
                <w:sz w:val="12"/>
                <w:szCs w:val="12"/>
                <w:color w:val="auto"/>
              </w:rPr>
            </w:pPr>
          </w:p>
        </w:tc>
        <w:tc>
          <w:tcPr>
            <w:tcW w:w="4340" w:type="dxa"/>
            <w:vAlign w:val="bottom"/>
            <w:tcBorders>
              <w:right w:val="single" w:sz="8" w:color="auto"/>
            </w:tcBorders>
          </w:tcPr>
          <w:p>
            <w:pPr>
              <w:ind w:left="80"/>
              <w:spacing w:after="0" w:line="149" w:lineRule="exact"/>
              <w:rPr>
                <w:sz w:val="20"/>
                <w:szCs w:val="20"/>
                <w:color w:val="auto"/>
              </w:rPr>
            </w:pPr>
            <w:r>
              <w:rPr>
                <w:rFonts w:ascii="Arial" w:cs="Arial" w:eastAsia="Arial" w:hAnsi="Arial"/>
                <w:sz w:val="14"/>
                <w:szCs w:val="14"/>
                <w:color w:val="auto"/>
              </w:rPr>
              <w:t>adoption election would require adoption of all the amendments in</w:t>
            </w: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The amendments also simplify the accounting for income</w:t>
            </w:r>
          </w:p>
        </w:tc>
        <w:tc>
          <w:tcPr>
            <w:tcW w:w="1500" w:type="dxa"/>
            <w:vAlign w:val="bottom"/>
            <w:tcBorders>
              <w:right w:val="single" w:sz="8" w:color="auto"/>
            </w:tcBorders>
          </w:tcPr>
          <w:p>
            <w:pPr>
              <w:spacing w:after="0"/>
              <w:rPr>
                <w:sz w:val="12"/>
                <w:szCs w:val="12"/>
                <w:color w:val="auto"/>
              </w:rPr>
            </w:pPr>
          </w:p>
        </w:tc>
        <w:tc>
          <w:tcPr>
            <w:tcW w:w="4340" w:type="dxa"/>
            <w:vAlign w:val="bottom"/>
            <w:tcBorders>
              <w:right w:val="single" w:sz="8" w:color="auto"/>
            </w:tcBorders>
          </w:tcPr>
          <w:p>
            <w:pPr>
              <w:ind w:left="80"/>
              <w:spacing w:after="0" w:line="149" w:lineRule="exact"/>
              <w:rPr>
                <w:sz w:val="20"/>
                <w:szCs w:val="20"/>
                <w:color w:val="auto"/>
              </w:rPr>
            </w:pPr>
            <w:r>
              <w:rPr>
                <w:rFonts w:ascii="Arial" w:cs="Arial" w:eastAsia="Arial" w:hAnsi="Arial"/>
                <w:sz w:val="14"/>
                <w:szCs w:val="14"/>
                <w:color w:val="auto"/>
              </w:rPr>
              <w:t>the same period. The Company is evaluating the impact that the</w:t>
            </w: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taxes by doing the following:</w:t>
            </w:r>
          </w:p>
        </w:tc>
        <w:tc>
          <w:tcPr>
            <w:tcW w:w="1500" w:type="dxa"/>
            <w:vAlign w:val="bottom"/>
            <w:tcBorders>
              <w:right w:val="single" w:sz="8" w:color="auto"/>
            </w:tcBorders>
          </w:tcPr>
          <w:p>
            <w:pPr>
              <w:spacing w:after="0"/>
              <w:rPr>
                <w:sz w:val="12"/>
                <w:szCs w:val="12"/>
                <w:color w:val="auto"/>
              </w:rPr>
            </w:pPr>
          </w:p>
        </w:tc>
        <w:tc>
          <w:tcPr>
            <w:tcW w:w="4340" w:type="dxa"/>
            <w:vAlign w:val="bottom"/>
            <w:tcBorders>
              <w:right w:val="single" w:sz="8" w:color="auto"/>
            </w:tcBorders>
          </w:tcPr>
          <w:p>
            <w:pPr>
              <w:ind w:left="80"/>
              <w:spacing w:after="0" w:line="149" w:lineRule="exact"/>
              <w:rPr>
                <w:sz w:val="20"/>
                <w:szCs w:val="20"/>
                <w:color w:val="auto"/>
              </w:rPr>
            </w:pPr>
            <w:r>
              <w:rPr>
                <w:rFonts w:ascii="Arial" w:cs="Arial" w:eastAsia="Arial" w:hAnsi="Arial"/>
                <w:sz w:val="14"/>
                <w:szCs w:val="14"/>
                <w:color w:val="auto"/>
              </w:rPr>
              <w:t>guidance will have on its consolidated financial statements.</w:t>
            </w: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1. Requiring that an entity recognize a franchise tax (or</w:t>
            </w:r>
          </w:p>
        </w:tc>
        <w:tc>
          <w:tcPr>
            <w:tcW w:w="1500" w:type="dxa"/>
            <w:vAlign w:val="bottom"/>
            <w:tcBorders>
              <w:right w:val="single" w:sz="8" w:color="auto"/>
            </w:tcBorders>
          </w:tcPr>
          <w:p>
            <w:pPr>
              <w:spacing w:after="0"/>
              <w:rPr>
                <w:sz w:val="12"/>
                <w:szCs w:val="12"/>
                <w:color w:val="auto"/>
              </w:rPr>
            </w:pPr>
          </w:p>
        </w:tc>
        <w:tc>
          <w:tcPr>
            <w:tcW w:w="43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similar tax) that is partially based on income as an income-</w:t>
            </w:r>
          </w:p>
        </w:tc>
        <w:tc>
          <w:tcPr>
            <w:tcW w:w="1500" w:type="dxa"/>
            <w:vAlign w:val="bottom"/>
            <w:tcBorders>
              <w:right w:val="single" w:sz="8" w:color="auto"/>
            </w:tcBorders>
          </w:tcPr>
          <w:p>
            <w:pPr>
              <w:spacing w:after="0"/>
              <w:rPr>
                <w:sz w:val="12"/>
                <w:szCs w:val="12"/>
                <w:color w:val="auto"/>
              </w:rPr>
            </w:pPr>
          </w:p>
        </w:tc>
        <w:tc>
          <w:tcPr>
            <w:tcW w:w="43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based tax and account for any incremental amount incurred</w:t>
            </w:r>
          </w:p>
        </w:tc>
        <w:tc>
          <w:tcPr>
            <w:tcW w:w="1500" w:type="dxa"/>
            <w:vAlign w:val="bottom"/>
            <w:tcBorders>
              <w:right w:val="single" w:sz="8" w:color="auto"/>
            </w:tcBorders>
          </w:tcPr>
          <w:p>
            <w:pPr>
              <w:spacing w:after="0"/>
              <w:rPr>
                <w:sz w:val="12"/>
                <w:szCs w:val="12"/>
                <w:color w:val="auto"/>
              </w:rPr>
            </w:pPr>
          </w:p>
        </w:tc>
        <w:tc>
          <w:tcPr>
            <w:tcW w:w="43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as a non-income-based tax.</w:t>
            </w:r>
          </w:p>
        </w:tc>
        <w:tc>
          <w:tcPr>
            <w:tcW w:w="1500" w:type="dxa"/>
            <w:vAlign w:val="bottom"/>
            <w:tcBorders>
              <w:right w:val="single" w:sz="8" w:color="auto"/>
            </w:tcBorders>
          </w:tcPr>
          <w:p>
            <w:pPr>
              <w:spacing w:after="0"/>
              <w:rPr>
                <w:sz w:val="12"/>
                <w:szCs w:val="12"/>
                <w:color w:val="auto"/>
              </w:rPr>
            </w:pPr>
          </w:p>
        </w:tc>
        <w:tc>
          <w:tcPr>
            <w:tcW w:w="43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2. Requiring that an entity evaluate when a step up in the</w:t>
            </w:r>
          </w:p>
        </w:tc>
        <w:tc>
          <w:tcPr>
            <w:tcW w:w="1500" w:type="dxa"/>
            <w:vAlign w:val="bottom"/>
            <w:tcBorders>
              <w:right w:val="single" w:sz="8" w:color="auto"/>
            </w:tcBorders>
          </w:tcPr>
          <w:p>
            <w:pPr>
              <w:spacing w:after="0"/>
              <w:rPr>
                <w:sz w:val="12"/>
                <w:szCs w:val="12"/>
                <w:color w:val="auto"/>
              </w:rPr>
            </w:pPr>
          </w:p>
        </w:tc>
        <w:tc>
          <w:tcPr>
            <w:tcW w:w="43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tax basis of goodwill should be considered part of the</w:t>
            </w:r>
          </w:p>
        </w:tc>
        <w:tc>
          <w:tcPr>
            <w:tcW w:w="1500" w:type="dxa"/>
            <w:vAlign w:val="bottom"/>
            <w:tcBorders>
              <w:right w:val="single" w:sz="8" w:color="auto"/>
            </w:tcBorders>
          </w:tcPr>
          <w:p>
            <w:pPr>
              <w:spacing w:after="0"/>
              <w:rPr>
                <w:sz w:val="12"/>
                <w:szCs w:val="12"/>
                <w:color w:val="auto"/>
              </w:rPr>
            </w:pPr>
          </w:p>
        </w:tc>
        <w:tc>
          <w:tcPr>
            <w:tcW w:w="43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business combination in which the book goodwill was</w:t>
            </w:r>
          </w:p>
        </w:tc>
        <w:tc>
          <w:tcPr>
            <w:tcW w:w="1500" w:type="dxa"/>
            <w:vAlign w:val="bottom"/>
            <w:tcBorders>
              <w:right w:val="single" w:sz="8" w:color="auto"/>
            </w:tcBorders>
          </w:tcPr>
          <w:p>
            <w:pPr>
              <w:spacing w:after="0"/>
              <w:rPr>
                <w:sz w:val="12"/>
                <w:szCs w:val="12"/>
                <w:color w:val="auto"/>
              </w:rPr>
            </w:pPr>
          </w:p>
        </w:tc>
        <w:tc>
          <w:tcPr>
            <w:tcW w:w="43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originally recognized and when it should be considered a</w:t>
            </w:r>
          </w:p>
        </w:tc>
        <w:tc>
          <w:tcPr>
            <w:tcW w:w="1500" w:type="dxa"/>
            <w:vAlign w:val="bottom"/>
            <w:tcBorders>
              <w:right w:val="single" w:sz="8" w:color="auto"/>
            </w:tcBorders>
          </w:tcPr>
          <w:p>
            <w:pPr>
              <w:spacing w:after="0"/>
              <w:rPr>
                <w:sz w:val="12"/>
                <w:szCs w:val="12"/>
                <w:color w:val="auto"/>
              </w:rPr>
            </w:pPr>
          </w:p>
        </w:tc>
        <w:tc>
          <w:tcPr>
            <w:tcW w:w="43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separate transaction.</w:t>
            </w:r>
          </w:p>
        </w:tc>
        <w:tc>
          <w:tcPr>
            <w:tcW w:w="1500" w:type="dxa"/>
            <w:vAlign w:val="bottom"/>
            <w:tcBorders>
              <w:right w:val="single" w:sz="8" w:color="auto"/>
            </w:tcBorders>
          </w:tcPr>
          <w:p>
            <w:pPr>
              <w:spacing w:after="0"/>
              <w:rPr>
                <w:sz w:val="12"/>
                <w:szCs w:val="12"/>
                <w:color w:val="auto"/>
              </w:rPr>
            </w:pPr>
          </w:p>
        </w:tc>
        <w:tc>
          <w:tcPr>
            <w:tcW w:w="43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3. Specifying that an entity is not required to allocate the</w:t>
            </w:r>
          </w:p>
        </w:tc>
        <w:tc>
          <w:tcPr>
            <w:tcW w:w="1500" w:type="dxa"/>
            <w:vAlign w:val="bottom"/>
            <w:tcBorders>
              <w:right w:val="single" w:sz="8" w:color="auto"/>
            </w:tcBorders>
          </w:tcPr>
          <w:p>
            <w:pPr>
              <w:spacing w:after="0"/>
              <w:rPr>
                <w:sz w:val="12"/>
                <w:szCs w:val="12"/>
                <w:color w:val="auto"/>
              </w:rPr>
            </w:pPr>
          </w:p>
        </w:tc>
        <w:tc>
          <w:tcPr>
            <w:tcW w:w="43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consolidated amount of current and deferred tax expense to</w:t>
            </w:r>
          </w:p>
        </w:tc>
        <w:tc>
          <w:tcPr>
            <w:tcW w:w="1500" w:type="dxa"/>
            <w:vAlign w:val="bottom"/>
            <w:tcBorders>
              <w:right w:val="single" w:sz="8" w:color="auto"/>
            </w:tcBorders>
          </w:tcPr>
          <w:p>
            <w:pPr>
              <w:spacing w:after="0"/>
              <w:rPr>
                <w:sz w:val="12"/>
                <w:szCs w:val="12"/>
                <w:color w:val="auto"/>
              </w:rPr>
            </w:pPr>
          </w:p>
        </w:tc>
        <w:tc>
          <w:tcPr>
            <w:tcW w:w="43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a legal entity that is not subject to tax in its separate</w:t>
            </w:r>
          </w:p>
        </w:tc>
        <w:tc>
          <w:tcPr>
            <w:tcW w:w="1500" w:type="dxa"/>
            <w:vAlign w:val="bottom"/>
            <w:tcBorders>
              <w:right w:val="single" w:sz="8" w:color="auto"/>
            </w:tcBorders>
          </w:tcPr>
          <w:p>
            <w:pPr>
              <w:spacing w:after="0"/>
              <w:rPr>
                <w:sz w:val="12"/>
                <w:szCs w:val="12"/>
                <w:color w:val="auto"/>
              </w:rPr>
            </w:pPr>
          </w:p>
        </w:tc>
        <w:tc>
          <w:tcPr>
            <w:tcW w:w="43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financial statements. However, an entity may elect to do so</w:t>
            </w:r>
          </w:p>
        </w:tc>
        <w:tc>
          <w:tcPr>
            <w:tcW w:w="1500" w:type="dxa"/>
            <w:vAlign w:val="bottom"/>
            <w:tcBorders>
              <w:right w:val="single" w:sz="8" w:color="auto"/>
            </w:tcBorders>
          </w:tcPr>
          <w:p>
            <w:pPr>
              <w:spacing w:after="0"/>
              <w:rPr>
                <w:sz w:val="12"/>
                <w:szCs w:val="12"/>
                <w:color w:val="auto"/>
              </w:rPr>
            </w:pPr>
          </w:p>
        </w:tc>
        <w:tc>
          <w:tcPr>
            <w:tcW w:w="43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(on an entity-by-entity basis) for a legal entity that is both</w:t>
            </w:r>
          </w:p>
        </w:tc>
        <w:tc>
          <w:tcPr>
            <w:tcW w:w="1500" w:type="dxa"/>
            <w:vAlign w:val="bottom"/>
            <w:tcBorders>
              <w:right w:val="single" w:sz="8" w:color="auto"/>
            </w:tcBorders>
          </w:tcPr>
          <w:p>
            <w:pPr>
              <w:spacing w:after="0"/>
              <w:rPr>
                <w:sz w:val="12"/>
                <w:szCs w:val="12"/>
                <w:color w:val="auto"/>
              </w:rPr>
            </w:pPr>
          </w:p>
        </w:tc>
        <w:tc>
          <w:tcPr>
            <w:tcW w:w="43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not subject to tax and disregarded by the taxing authority.</w:t>
            </w:r>
          </w:p>
        </w:tc>
        <w:tc>
          <w:tcPr>
            <w:tcW w:w="1500" w:type="dxa"/>
            <w:vAlign w:val="bottom"/>
            <w:tcBorders>
              <w:right w:val="single" w:sz="8" w:color="auto"/>
            </w:tcBorders>
          </w:tcPr>
          <w:p>
            <w:pPr>
              <w:spacing w:after="0"/>
              <w:rPr>
                <w:sz w:val="12"/>
                <w:szCs w:val="12"/>
                <w:color w:val="auto"/>
              </w:rPr>
            </w:pPr>
          </w:p>
        </w:tc>
        <w:tc>
          <w:tcPr>
            <w:tcW w:w="43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4. Requiring that an entity reflect the effect of an enacted</w:t>
            </w:r>
          </w:p>
        </w:tc>
        <w:tc>
          <w:tcPr>
            <w:tcW w:w="1500" w:type="dxa"/>
            <w:vAlign w:val="bottom"/>
            <w:tcBorders>
              <w:right w:val="single" w:sz="8" w:color="auto"/>
            </w:tcBorders>
          </w:tcPr>
          <w:p>
            <w:pPr>
              <w:spacing w:after="0"/>
              <w:rPr>
                <w:sz w:val="12"/>
                <w:szCs w:val="12"/>
                <w:color w:val="auto"/>
              </w:rPr>
            </w:pPr>
          </w:p>
        </w:tc>
        <w:tc>
          <w:tcPr>
            <w:tcW w:w="43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change in tax laws or rates in the annual effective tax rate</w:t>
            </w:r>
          </w:p>
        </w:tc>
        <w:tc>
          <w:tcPr>
            <w:tcW w:w="1500" w:type="dxa"/>
            <w:vAlign w:val="bottom"/>
            <w:tcBorders>
              <w:right w:val="single" w:sz="8" w:color="auto"/>
            </w:tcBorders>
          </w:tcPr>
          <w:p>
            <w:pPr>
              <w:spacing w:after="0"/>
              <w:rPr>
                <w:sz w:val="12"/>
                <w:szCs w:val="12"/>
                <w:color w:val="auto"/>
              </w:rPr>
            </w:pPr>
          </w:p>
        </w:tc>
        <w:tc>
          <w:tcPr>
            <w:tcW w:w="43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computation in the interim period that includes the</w:t>
            </w:r>
          </w:p>
        </w:tc>
        <w:tc>
          <w:tcPr>
            <w:tcW w:w="1500" w:type="dxa"/>
            <w:vAlign w:val="bottom"/>
            <w:tcBorders>
              <w:right w:val="single" w:sz="8" w:color="auto"/>
            </w:tcBorders>
          </w:tcPr>
          <w:p>
            <w:pPr>
              <w:spacing w:after="0"/>
              <w:rPr>
                <w:sz w:val="12"/>
                <w:szCs w:val="12"/>
                <w:color w:val="auto"/>
              </w:rPr>
            </w:pPr>
          </w:p>
        </w:tc>
        <w:tc>
          <w:tcPr>
            <w:tcW w:w="43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enactment date.</w:t>
            </w:r>
          </w:p>
        </w:tc>
        <w:tc>
          <w:tcPr>
            <w:tcW w:w="1500" w:type="dxa"/>
            <w:vAlign w:val="bottom"/>
            <w:tcBorders>
              <w:right w:val="single" w:sz="8" w:color="auto"/>
            </w:tcBorders>
          </w:tcPr>
          <w:p>
            <w:pPr>
              <w:spacing w:after="0"/>
              <w:rPr>
                <w:sz w:val="12"/>
                <w:szCs w:val="12"/>
                <w:color w:val="auto"/>
              </w:rPr>
            </w:pPr>
          </w:p>
        </w:tc>
        <w:tc>
          <w:tcPr>
            <w:tcW w:w="43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5. Making minor Codification improvements for income</w:t>
            </w:r>
          </w:p>
        </w:tc>
        <w:tc>
          <w:tcPr>
            <w:tcW w:w="1500" w:type="dxa"/>
            <w:vAlign w:val="bottom"/>
            <w:tcBorders>
              <w:right w:val="single" w:sz="8" w:color="auto"/>
            </w:tcBorders>
          </w:tcPr>
          <w:p>
            <w:pPr>
              <w:spacing w:after="0"/>
              <w:rPr>
                <w:sz w:val="12"/>
                <w:szCs w:val="12"/>
                <w:color w:val="auto"/>
              </w:rPr>
            </w:pPr>
          </w:p>
        </w:tc>
        <w:tc>
          <w:tcPr>
            <w:tcW w:w="43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taxes related to employee stock ownership plans and</w:t>
            </w:r>
          </w:p>
        </w:tc>
        <w:tc>
          <w:tcPr>
            <w:tcW w:w="1500" w:type="dxa"/>
            <w:vAlign w:val="bottom"/>
            <w:tcBorders>
              <w:right w:val="single" w:sz="8" w:color="auto"/>
            </w:tcBorders>
          </w:tcPr>
          <w:p>
            <w:pPr>
              <w:spacing w:after="0"/>
              <w:rPr>
                <w:sz w:val="12"/>
                <w:szCs w:val="12"/>
                <w:color w:val="auto"/>
              </w:rPr>
            </w:pPr>
          </w:p>
        </w:tc>
        <w:tc>
          <w:tcPr>
            <w:tcW w:w="43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investments in qualified affordable housing projects</w:t>
            </w:r>
          </w:p>
        </w:tc>
        <w:tc>
          <w:tcPr>
            <w:tcW w:w="1500" w:type="dxa"/>
            <w:vAlign w:val="bottom"/>
            <w:tcBorders>
              <w:right w:val="single" w:sz="8" w:color="auto"/>
            </w:tcBorders>
          </w:tcPr>
          <w:p>
            <w:pPr>
              <w:spacing w:after="0"/>
              <w:rPr>
                <w:sz w:val="12"/>
                <w:szCs w:val="12"/>
                <w:color w:val="auto"/>
              </w:rPr>
            </w:pPr>
          </w:p>
        </w:tc>
        <w:tc>
          <w:tcPr>
            <w:tcW w:w="43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640" w:type="dxa"/>
            <w:vAlign w:val="bottom"/>
            <w:tcBorders>
              <w:left w:val="single" w:sz="8" w:color="auto"/>
              <w:bottom w:val="single" w:sz="8" w:color="auto"/>
              <w:right w:val="single" w:sz="8" w:color="auto"/>
            </w:tcBorders>
          </w:tcPr>
          <w:p>
            <w:pPr>
              <w:spacing w:after="0"/>
              <w:rPr>
                <w:sz w:val="14"/>
                <w:szCs w:val="14"/>
                <w:color w:val="auto"/>
              </w:rPr>
            </w:pPr>
          </w:p>
        </w:tc>
        <w:tc>
          <w:tcPr>
            <w:tcW w:w="3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accounted for using the equity method.</w:t>
            </w:r>
          </w:p>
        </w:tc>
        <w:tc>
          <w:tcPr>
            <w:tcW w:w="1500" w:type="dxa"/>
            <w:vAlign w:val="bottom"/>
            <w:tcBorders>
              <w:bottom w:val="single" w:sz="8" w:color="auto"/>
              <w:right w:val="single" w:sz="8" w:color="auto"/>
            </w:tcBorders>
          </w:tcPr>
          <w:p>
            <w:pPr>
              <w:spacing w:after="0"/>
              <w:rPr>
                <w:sz w:val="14"/>
                <w:szCs w:val="14"/>
                <w:color w:val="auto"/>
              </w:rPr>
            </w:pPr>
          </w:p>
        </w:tc>
        <w:tc>
          <w:tcPr>
            <w:tcW w:w="43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40"/>
          </w:cols>
          <w:pgMar w:left="320" w:top="125"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t>NOTES TO FINANCIAL STATEMENTS, CONTINUED</w:t>
      </w:r>
    </w:p>
    <w:p>
      <w:pPr>
        <w:spacing w:after="0" w:line="21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15. Recent accounting developments, continued</w:t>
      </w:r>
    </w:p>
    <w:p>
      <w:pPr>
        <w:spacing w:after="0" w:line="216" w:lineRule="exact"/>
        <w:rPr>
          <w:sz w:val="20"/>
          <w:szCs w:val="20"/>
          <w:color w:val="auto"/>
        </w:rPr>
      </w:pPr>
    </w:p>
    <w:tbl>
      <w:tblPr>
        <w:tblLayout w:type="fixed"/>
        <w:tblInd w:w="10" w:type="dxa"/>
        <w:tblCellMar>
          <w:top w:w="0" w:type="dxa"/>
          <w:left w:w="0" w:type="dxa"/>
          <w:bottom w:w="0" w:type="dxa"/>
          <w:right w:w="0" w:type="dxa"/>
        </w:tblCellMar>
      </w:tblPr>
      <w:tr>
        <w:trPr>
          <w:trHeight w:val="139"/>
        </w:trPr>
        <w:tc>
          <w:tcPr>
            <w:tcW w:w="1660" w:type="dxa"/>
            <w:vAlign w:val="bottom"/>
            <w:tcBorders>
              <w:top w:val="single" w:sz="8" w:color="auto"/>
              <w:left w:val="single" w:sz="8" w:color="auto"/>
              <w:right w:val="single" w:sz="8" w:color="auto"/>
            </w:tcBorders>
            <w:vMerge w:val="restart"/>
          </w:tcPr>
          <w:p>
            <w:pPr>
              <w:ind w:left="520"/>
              <w:spacing w:after="0"/>
              <w:rPr>
                <w:sz w:val="20"/>
                <w:szCs w:val="20"/>
                <w:color w:val="auto"/>
              </w:rPr>
            </w:pPr>
            <w:r>
              <w:rPr>
                <w:rFonts w:ascii="Arial" w:cs="Arial" w:eastAsia="Arial" w:hAnsi="Arial"/>
                <w:sz w:val="14"/>
                <w:szCs w:val="14"/>
                <w:b w:val="1"/>
                <w:bCs w:val="1"/>
                <w:color w:val="auto"/>
              </w:rPr>
              <w:t>Standard</w:t>
            </w:r>
          </w:p>
        </w:tc>
        <w:tc>
          <w:tcPr>
            <w:tcW w:w="3880" w:type="dxa"/>
            <w:vAlign w:val="bottom"/>
            <w:tcBorders>
              <w:top w:val="single" w:sz="8" w:color="auto"/>
              <w:right w:val="single" w:sz="8" w:color="auto"/>
            </w:tcBorders>
            <w:vMerge w:val="restart"/>
          </w:tcPr>
          <w:p>
            <w:pPr>
              <w:ind w:left="1500"/>
              <w:spacing w:after="0"/>
              <w:rPr>
                <w:sz w:val="20"/>
                <w:szCs w:val="20"/>
                <w:color w:val="auto"/>
              </w:rPr>
            </w:pPr>
            <w:r>
              <w:rPr>
                <w:rFonts w:ascii="Arial" w:cs="Arial" w:eastAsia="Arial" w:hAnsi="Arial"/>
                <w:sz w:val="14"/>
                <w:szCs w:val="14"/>
                <w:b w:val="1"/>
                <w:bCs w:val="1"/>
                <w:color w:val="auto"/>
              </w:rPr>
              <w:t>Description</w:t>
            </w:r>
          </w:p>
        </w:tc>
        <w:tc>
          <w:tcPr>
            <w:tcW w:w="1500" w:type="dxa"/>
            <w:vAlign w:val="bottom"/>
            <w:tcBorders>
              <w:top w:val="single" w:sz="8" w:color="auto"/>
              <w:right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92"/>
              </w:rPr>
              <w:t>Required date</w:t>
            </w:r>
          </w:p>
        </w:tc>
        <w:tc>
          <w:tcPr>
            <w:tcW w:w="4200" w:type="dxa"/>
            <w:vAlign w:val="bottom"/>
            <w:tcBorders>
              <w:top w:val="single" w:sz="8" w:color="auto"/>
              <w:right w:val="single" w:sz="8" w:color="auto"/>
            </w:tcBorders>
            <w:vMerge w:val="restart"/>
          </w:tcPr>
          <w:p>
            <w:pPr>
              <w:ind w:left="760"/>
              <w:spacing w:after="0"/>
              <w:rPr>
                <w:sz w:val="20"/>
                <w:szCs w:val="20"/>
                <w:color w:val="auto"/>
              </w:rPr>
            </w:pPr>
            <w:r>
              <w:rPr>
                <w:rFonts w:ascii="Arial" w:cs="Arial" w:eastAsia="Arial" w:hAnsi="Arial"/>
                <w:sz w:val="14"/>
                <w:szCs w:val="14"/>
                <w:b w:val="1"/>
                <w:bCs w:val="1"/>
                <w:color w:val="auto"/>
              </w:rPr>
              <w:t>Effect on consolidated financial statements</w:t>
            </w:r>
          </w:p>
        </w:tc>
        <w:tc>
          <w:tcPr>
            <w:tcW w:w="0" w:type="dxa"/>
            <w:vAlign w:val="bottom"/>
          </w:tcPr>
          <w:p>
            <w:pPr>
              <w:spacing w:after="0"/>
              <w:rPr>
                <w:sz w:val="1"/>
                <w:szCs w:val="1"/>
                <w:color w:val="auto"/>
              </w:rPr>
            </w:pPr>
          </w:p>
        </w:tc>
      </w:tr>
      <w:tr>
        <w:trPr>
          <w:trHeight w:val="171"/>
        </w:trPr>
        <w:tc>
          <w:tcPr>
            <w:tcW w:w="16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3880" w:type="dxa"/>
            <w:vAlign w:val="bottom"/>
            <w:tcBorders>
              <w:bottom w:val="single" w:sz="8" w:color="auto"/>
              <w:right w:val="single" w:sz="8" w:color="auto"/>
            </w:tcBorders>
            <w:vMerge w:val="continue"/>
          </w:tcPr>
          <w:p>
            <w:pPr>
              <w:spacing w:after="0"/>
              <w:rPr>
                <w:sz w:val="14"/>
                <w:szCs w:val="14"/>
                <w:color w:val="auto"/>
              </w:rPr>
            </w:pP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of adoption</w:t>
            </w:r>
          </w:p>
        </w:tc>
        <w:tc>
          <w:tcPr>
            <w:tcW w:w="420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540" w:type="dxa"/>
            <w:vAlign w:val="bottom"/>
            <w:tcBorders>
              <w:left w:val="single" w:sz="8" w:color="auto"/>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Standards Not Yet Adopted as of March 31, 2020</w:t>
            </w:r>
          </w:p>
        </w:tc>
        <w:tc>
          <w:tcPr>
            <w:tcW w:w="1500" w:type="dxa"/>
            <w:vAlign w:val="bottom"/>
            <w:tcBorders>
              <w:bottom w:val="single" w:sz="8" w:color="auto"/>
            </w:tcBorders>
          </w:tcPr>
          <w:p>
            <w:pPr>
              <w:spacing w:after="0"/>
              <w:rPr>
                <w:sz w:val="19"/>
                <w:szCs w:val="19"/>
                <w:color w:val="auto"/>
              </w:rPr>
            </w:pPr>
          </w:p>
        </w:tc>
        <w:tc>
          <w:tcPr>
            <w:tcW w:w="42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23"/>
        </w:trPr>
        <w:tc>
          <w:tcPr>
            <w:tcW w:w="1660" w:type="dxa"/>
            <w:vAlign w:val="bottom"/>
            <w:tcBorders>
              <w:left w:val="single" w:sz="8" w:color="auto"/>
              <w:right w:val="single" w:sz="8" w:color="auto"/>
            </w:tcBorders>
            <w:shd w:val="clear" w:color="auto" w:fill="CFF0FC"/>
          </w:tcPr>
          <w:p>
            <w:pPr>
              <w:ind w:left="140"/>
              <w:spacing w:after="0" w:line="123" w:lineRule="exact"/>
              <w:rPr>
                <w:sz w:val="20"/>
                <w:szCs w:val="20"/>
                <w:color w:val="auto"/>
              </w:rPr>
            </w:pPr>
            <w:r>
              <w:rPr>
                <w:rFonts w:ascii="Arial" w:cs="Arial" w:eastAsia="Arial" w:hAnsi="Arial"/>
                <w:sz w:val="14"/>
                <w:szCs w:val="14"/>
                <w:color w:val="auto"/>
              </w:rPr>
              <w:t>Reference Rate</w:t>
            </w:r>
          </w:p>
        </w:tc>
        <w:tc>
          <w:tcPr>
            <w:tcW w:w="3880" w:type="dxa"/>
            <w:vAlign w:val="bottom"/>
            <w:tcBorders>
              <w:right w:val="single" w:sz="8" w:color="auto"/>
            </w:tcBorders>
            <w:shd w:val="clear" w:color="auto" w:fill="CFF0FC"/>
          </w:tcPr>
          <w:p>
            <w:pPr>
              <w:ind w:left="120"/>
              <w:spacing w:after="0" w:line="123" w:lineRule="exact"/>
              <w:rPr>
                <w:sz w:val="20"/>
                <w:szCs w:val="20"/>
                <w:color w:val="auto"/>
              </w:rPr>
            </w:pPr>
            <w:r>
              <w:rPr>
                <w:rFonts w:ascii="Arial" w:cs="Arial" w:eastAsia="Arial" w:hAnsi="Arial"/>
                <w:sz w:val="14"/>
                <w:szCs w:val="14"/>
                <w:color w:val="auto"/>
              </w:rPr>
              <w:t>The amendments provide optional expedients and</w:t>
            </w:r>
          </w:p>
        </w:tc>
        <w:tc>
          <w:tcPr>
            <w:tcW w:w="1500" w:type="dxa"/>
            <w:vAlign w:val="bottom"/>
            <w:tcBorders>
              <w:right w:val="single" w:sz="8" w:color="auto"/>
            </w:tcBorders>
            <w:shd w:val="clear" w:color="auto" w:fill="CFF0FC"/>
          </w:tcPr>
          <w:p>
            <w:pPr>
              <w:jc w:val="center"/>
              <w:spacing w:after="0" w:line="123" w:lineRule="exact"/>
              <w:rPr>
                <w:sz w:val="20"/>
                <w:szCs w:val="20"/>
                <w:color w:val="auto"/>
              </w:rPr>
            </w:pPr>
            <w:r>
              <w:rPr>
                <w:rFonts w:ascii="Arial" w:cs="Arial" w:eastAsia="Arial" w:hAnsi="Arial"/>
                <w:sz w:val="14"/>
                <w:szCs w:val="14"/>
                <w:color w:val="auto"/>
                <w:w w:val="96"/>
              </w:rPr>
              <w:t>Beginning</w:t>
            </w:r>
          </w:p>
        </w:tc>
        <w:tc>
          <w:tcPr>
            <w:tcW w:w="4200" w:type="dxa"/>
            <w:vAlign w:val="bottom"/>
            <w:tcBorders>
              <w:right w:val="single" w:sz="8" w:color="auto"/>
            </w:tcBorders>
            <w:shd w:val="clear" w:color="auto" w:fill="CFF0FC"/>
          </w:tcPr>
          <w:p>
            <w:pPr>
              <w:ind w:left="80"/>
              <w:spacing w:after="0" w:line="123" w:lineRule="exact"/>
              <w:rPr>
                <w:sz w:val="20"/>
                <w:szCs w:val="20"/>
                <w:color w:val="auto"/>
              </w:rPr>
            </w:pPr>
            <w:r>
              <w:rPr>
                <w:rFonts w:ascii="Arial" w:cs="Arial" w:eastAsia="Arial" w:hAnsi="Arial"/>
                <w:sz w:val="14"/>
                <w:szCs w:val="14"/>
                <w:color w:val="auto"/>
              </w:rPr>
              <w:t>The amendments for contract modifications can be elected to be</w:t>
            </w: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ind w:left="140"/>
              <w:spacing w:after="0" w:line="149" w:lineRule="exact"/>
              <w:rPr>
                <w:sz w:val="20"/>
                <w:szCs w:val="20"/>
                <w:color w:val="auto"/>
              </w:rPr>
            </w:pPr>
            <w:r>
              <w:rPr>
                <w:rFonts w:ascii="Arial" w:cs="Arial" w:eastAsia="Arial" w:hAnsi="Arial"/>
                <w:sz w:val="14"/>
                <w:szCs w:val="14"/>
                <w:color w:val="auto"/>
              </w:rPr>
              <w:t>Reform</w:t>
            </w: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exceptions for applying generally accepted accounting</w:t>
            </w:r>
          </w:p>
        </w:tc>
        <w:tc>
          <w:tcPr>
            <w:tcW w:w="1500" w:type="dxa"/>
            <w:vAlign w:val="bottom"/>
            <w:tcBorders>
              <w:right w:val="single" w:sz="8" w:color="auto"/>
            </w:tcBorders>
            <w:shd w:val="clear" w:color="auto" w:fill="CFF0FC"/>
          </w:tcPr>
          <w:p>
            <w:pPr>
              <w:jc w:val="center"/>
              <w:spacing w:after="0" w:line="149" w:lineRule="exact"/>
              <w:rPr>
                <w:sz w:val="20"/>
                <w:szCs w:val="20"/>
                <w:color w:val="auto"/>
              </w:rPr>
            </w:pPr>
            <w:r>
              <w:rPr>
                <w:rFonts w:ascii="Arial" w:cs="Arial" w:eastAsia="Arial" w:hAnsi="Arial"/>
                <w:sz w:val="14"/>
                <w:szCs w:val="14"/>
                <w:color w:val="auto"/>
                <w:w w:val="92"/>
              </w:rPr>
              <w:t>March 12, 2020</w:t>
            </w:r>
          </w:p>
        </w:tc>
        <w:tc>
          <w:tcPr>
            <w:tcW w:w="4200" w:type="dxa"/>
            <w:vAlign w:val="bottom"/>
            <w:tcBorders>
              <w:right w:val="single" w:sz="8" w:color="auto"/>
            </w:tcBorders>
            <w:shd w:val="clear" w:color="auto" w:fill="CFF0FC"/>
          </w:tcPr>
          <w:p>
            <w:pPr>
              <w:ind w:left="80"/>
              <w:spacing w:after="0" w:line="149" w:lineRule="exact"/>
              <w:rPr>
                <w:sz w:val="20"/>
                <w:szCs w:val="20"/>
                <w:color w:val="auto"/>
              </w:rPr>
            </w:pPr>
            <w:r>
              <w:rPr>
                <w:rFonts w:ascii="Arial" w:cs="Arial" w:eastAsia="Arial" w:hAnsi="Arial"/>
                <w:sz w:val="14"/>
                <w:szCs w:val="14"/>
                <w:color w:val="auto"/>
              </w:rPr>
              <w:t>applied as of any date from the beginning of an interim period that</w:t>
            </w: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principles (GAAP) to contracts, hedging</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ind w:left="80"/>
              <w:spacing w:after="0" w:line="149" w:lineRule="exact"/>
              <w:rPr>
                <w:sz w:val="20"/>
                <w:szCs w:val="20"/>
                <w:color w:val="auto"/>
              </w:rPr>
            </w:pPr>
            <w:r>
              <w:rPr>
                <w:rFonts w:ascii="Arial" w:cs="Arial" w:eastAsia="Arial" w:hAnsi="Arial"/>
                <w:sz w:val="14"/>
                <w:szCs w:val="14"/>
                <w:color w:val="auto"/>
                <w:w w:val="96"/>
              </w:rPr>
              <w:t>includes or is subsequent to March 12, 2020, or prospectively from a</w:t>
            </w: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relationships, and other transactions affected by reference</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ind w:left="80"/>
              <w:spacing w:after="0" w:line="149" w:lineRule="exact"/>
              <w:rPr>
                <w:sz w:val="20"/>
                <w:szCs w:val="20"/>
                <w:color w:val="auto"/>
              </w:rPr>
            </w:pPr>
            <w:r>
              <w:rPr>
                <w:rFonts w:ascii="Arial" w:cs="Arial" w:eastAsia="Arial" w:hAnsi="Arial"/>
                <w:sz w:val="14"/>
                <w:szCs w:val="14"/>
                <w:color w:val="auto"/>
                <w:w w:val="96"/>
              </w:rPr>
              <w:t>date within an interim period that includes or is subsequent to March</w:t>
            </w: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rate reform. The amendments apply only to contracts,</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ind w:left="80"/>
              <w:spacing w:after="0" w:line="149" w:lineRule="exact"/>
              <w:rPr>
                <w:sz w:val="20"/>
                <w:szCs w:val="20"/>
                <w:color w:val="auto"/>
              </w:rPr>
            </w:pPr>
            <w:r>
              <w:rPr>
                <w:rFonts w:ascii="Arial" w:cs="Arial" w:eastAsia="Arial" w:hAnsi="Arial"/>
                <w:sz w:val="14"/>
                <w:szCs w:val="14"/>
                <w:color w:val="auto"/>
                <w:w w:val="96"/>
              </w:rPr>
              <w:t>12, 2020. The amendments for existing hedging relationships can be</w:t>
            </w: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hedging relationships, and other transactions that reference</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ind w:left="80"/>
              <w:spacing w:after="0" w:line="149" w:lineRule="exact"/>
              <w:rPr>
                <w:sz w:val="20"/>
                <w:szCs w:val="20"/>
                <w:color w:val="auto"/>
              </w:rPr>
            </w:pPr>
            <w:r>
              <w:rPr>
                <w:rFonts w:ascii="Arial" w:cs="Arial" w:eastAsia="Arial" w:hAnsi="Arial"/>
                <w:sz w:val="14"/>
                <w:szCs w:val="14"/>
                <w:color w:val="auto"/>
              </w:rPr>
              <w:t>elected to be applied as of the beginning of the interim period that</w:t>
            </w: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LIBOR or another reference rate expected to be</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ind w:left="80"/>
              <w:spacing w:after="0" w:line="149" w:lineRule="exact"/>
              <w:rPr>
                <w:sz w:val="20"/>
                <w:szCs w:val="20"/>
                <w:color w:val="auto"/>
              </w:rPr>
            </w:pPr>
            <w:r>
              <w:rPr>
                <w:rFonts w:ascii="Arial" w:cs="Arial" w:eastAsia="Arial" w:hAnsi="Arial"/>
                <w:sz w:val="14"/>
                <w:szCs w:val="14"/>
                <w:color w:val="auto"/>
                <w:w w:val="99"/>
              </w:rPr>
              <w:t>includes March 12, 2020 and to new eligible hedging relationships</w:t>
            </w: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discontinued because of reference rate reform. The</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ind w:left="80"/>
              <w:spacing w:after="0" w:line="149" w:lineRule="exact"/>
              <w:rPr>
                <w:sz w:val="20"/>
                <w:szCs w:val="20"/>
                <w:color w:val="auto"/>
              </w:rPr>
            </w:pPr>
            <w:r>
              <w:rPr>
                <w:rFonts w:ascii="Arial" w:cs="Arial" w:eastAsia="Arial" w:hAnsi="Arial"/>
                <w:sz w:val="14"/>
                <w:szCs w:val="14"/>
                <w:color w:val="auto"/>
              </w:rPr>
              <w:t>entered into after the beginning of the interim period that includes</w:t>
            </w: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amendments (1) apply to contract modifications that replace</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ind w:left="80"/>
              <w:spacing w:after="0" w:line="149" w:lineRule="exact"/>
              <w:rPr>
                <w:sz w:val="20"/>
                <w:szCs w:val="20"/>
                <w:color w:val="auto"/>
              </w:rPr>
            </w:pPr>
            <w:r>
              <w:rPr>
                <w:rFonts w:ascii="Arial" w:cs="Arial" w:eastAsia="Arial" w:hAnsi="Arial"/>
                <w:sz w:val="14"/>
                <w:szCs w:val="14"/>
                <w:color w:val="auto"/>
              </w:rPr>
              <w:t>March 12, 2020. The Company is evaluating the impact that the</w:t>
            </w: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a reference rate affected by reference rate reform,</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ind w:left="80"/>
              <w:spacing w:after="0" w:line="149" w:lineRule="exact"/>
              <w:rPr>
                <w:sz w:val="20"/>
                <w:szCs w:val="20"/>
                <w:color w:val="auto"/>
              </w:rPr>
            </w:pPr>
            <w:r>
              <w:rPr>
                <w:rFonts w:ascii="Arial" w:cs="Arial" w:eastAsia="Arial" w:hAnsi="Arial"/>
                <w:sz w:val="14"/>
                <w:szCs w:val="14"/>
                <w:color w:val="auto"/>
              </w:rPr>
              <w:t>guidance will have on its consolidated financial statements.</w:t>
            </w: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(2) provide exceptions to existing guidance related to</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changes to the critical terms of a hedging relationship due</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to reference rate reform (3) provide optional expedients for</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fair value hedging relationships, cash flow hedging</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w w:val="99"/>
              </w:rPr>
              <w:t>relationships, and net investment hedging relationships, and</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(4) provide a onetime election to sell, transfer, or both sell</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and transfer debt securities classified as held to maturity</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that reference a rate affected by reference rate reform and</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that are classified as held to maturity before January 1,</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660" w:type="dxa"/>
            <w:vAlign w:val="bottom"/>
            <w:tcBorders>
              <w:left w:val="single" w:sz="8" w:color="auto"/>
              <w:bottom w:val="single" w:sz="8" w:color="auto"/>
              <w:right w:val="single" w:sz="8" w:color="auto"/>
            </w:tcBorders>
            <w:shd w:val="clear" w:color="auto" w:fill="CFF0FC"/>
          </w:tcPr>
          <w:p>
            <w:pPr>
              <w:spacing w:after="0"/>
              <w:rPr>
                <w:sz w:val="14"/>
                <w:szCs w:val="14"/>
                <w:color w:val="auto"/>
              </w:rPr>
            </w:pPr>
          </w:p>
        </w:tc>
        <w:tc>
          <w:tcPr>
            <w:tcW w:w="3880" w:type="dxa"/>
            <w:vAlign w:val="bottom"/>
            <w:tcBorders>
              <w:bottom w:val="single" w:sz="8" w:color="auto"/>
              <w:right w:val="single" w:sz="8" w:color="auto"/>
            </w:tcBorders>
            <w:shd w:val="clear" w:color="auto" w:fill="CFF0FC"/>
          </w:tcPr>
          <w:p>
            <w:pPr>
              <w:ind w:left="120"/>
              <w:spacing w:after="0"/>
              <w:rPr>
                <w:sz w:val="20"/>
                <w:szCs w:val="20"/>
                <w:color w:val="auto"/>
              </w:rPr>
            </w:pPr>
            <w:r>
              <w:rPr>
                <w:rFonts w:ascii="Arial" w:cs="Arial" w:eastAsia="Arial" w:hAnsi="Arial"/>
                <w:sz w:val="14"/>
                <w:szCs w:val="14"/>
                <w:color w:val="auto"/>
              </w:rPr>
              <w:t>2020.</w:t>
            </w:r>
          </w:p>
        </w:tc>
        <w:tc>
          <w:tcPr>
            <w:tcW w:w="1500" w:type="dxa"/>
            <w:vAlign w:val="bottom"/>
            <w:tcBorders>
              <w:bottom w:val="single" w:sz="8" w:color="auto"/>
              <w:right w:val="single" w:sz="8" w:color="auto"/>
            </w:tcBorders>
            <w:shd w:val="clear" w:color="auto" w:fill="CFF0FC"/>
          </w:tcPr>
          <w:p>
            <w:pPr>
              <w:spacing w:after="0"/>
              <w:rPr>
                <w:sz w:val="14"/>
                <w:szCs w:val="14"/>
                <w:color w:val="auto"/>
              </w:rPr>
            </w:pPr>
          </w:p>
        </w:tc>
        <w:tc>
          <w:tcPr>
            <w:tcW w:w="4200" w:type="dxa"/>
            <w:vAlign w:val="bottom"/>
            <w:tcBorders>
              <w:bottom w:val="single" w:sz="8" w:color="auto"/>
              <w:right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tabs>
          <w:tab w:leader="none" w:pos="1000" w:val="left"/>
        </w:tabs>
        <w:rPr>
          <w:sz w:val="20"/>
          <w:szCs w:val="20"/>
          <w:color w:val="auto"/>
        </w:rPr>
      </w:pPr>
      <w:r>
        <w:rPr>
          <w:rFonts w:ascii="Arial" w:cs="Arial" w:eastAsia="Arial" w:hAnsi="Arial"/>
          <w:sz w:val="21"/>
          <w:szCs w:val="21"/>
          <w:color w:val="auto"/>
        </w:rPr>
        <w:t>Item 2.</w:t>
      </w:r>
      <w:r>
        <w:rPr>
          <w:sz w:val="20"/>
          <w:szCs w:val="20"/>
          <w:color w:val="auto"/>
        </w:rPr>
        <w:tab/>
      </w:r>
      <w:r>
        <w:rPr>
          <w:rFonts w:ascii="Arial" w:cs="Arial" w:eastAsia="Arial" w:hAnsi="Arial"/>
          <w:sz w:val="18"/>
          <w:szCs w:val="18"/>
          <w:color w:val="auto"/>
        </w:rPr>
        <w:t>Management’s Discussion and Analysis of Financial Condition and Results of Operations.</w:t>
      </w:r>
    </w:p>
    <w:p>
      <w:pPr>
        <w:spacing w:after="0" w:line="21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Overview</w:t>
      </w:r>
    </w:p>
    <w:p>
      <w:pPr>
        <w:spacing w:after="0" w:line="115"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M&amp;T Bank Corporation (“M&amp;T”) recorded net income in the first quarter of 2020 of $269 million or $1.93 of diluted earnings per common share, compared with $483 million or $3.35 of diluted earnings per common share in the similar 2019 quarter. During the final quarter of 2019, net income and diluted earnings per common share were $493 million and $3.60, respectively. Basic earnings per common share were $1.93 in the recent quarter, compared with $3.35 and $3.60 in the first and fourth quarters of 2019, respectively. The annualized rate of return on average total assets for M&amp;T and its consolidated subsidiaries (“the Company”) in the initial quarter of 2020 was .90%, compared with 1.68% in the year-earlier quarter and 1.60% in the final quarter of 2019. The annualized rate of return on average common shareholders’ equity was 7.00% in the recent quarter, compared with 13.14% in the corresponding 2019 quarter and 12.95% in 2019’s the fourth quarter of 2019.</w:t>
      </w:r>
    </w:p>
    <w:p>
      <w:pPr>
        <w:spacing w:after="0" w:line="72" w:lineRule="exact"/>
        <w:rPr>
          <w:sz w:val="20"/>
          <w:szCs w:val="20"/>
          <w:color w:val="auto"/>
        </w:rPr>
      </w:pPr>
    </w:p>
    <w:p>
      <w:pPr>
        <w:jc w:val="both"/>
        <w:ind w:firstLine="510"/>
        <w:spacing w:after="0" w:line="244" w:lineRule="auto"/>
        <w:rPr>
          <w:sz w:val="20"/>
          <w:szCs w:val="20"/>
          <w:color w:val="auto"/>
        </w:rPr>
      </w:pPr>
      <w:r>
        <w:rPr>
          <w:rFonts w:ascii="Arial" w:cs="Arial" w:eastAsia="Arial" w:hAnsi="Arial"/>
          <w:sz w:val="21"/>
          <w:szCs w:val="21"/>
          <w:color w:val="auto"/>
        </w:rPr>
        <w:t>Effective January 1, 2020, M&amp;T adopted amended accounting guidance for the measurement of credit losses on financial instruments. That guidance requires an allowance for credit losses to be deducted from the amortized cost basis of financial assets to present the net carrying value that is expected to be collected over the contractual term of the assets considering relevant information about past events, current conditions, and reasonable and supportable forecasts that affect the collectibility of the reported amount. The new accounting guidance replaces the previous incurred loss model for determining the allowance for credit losses. The adoption of the amended guidance resulted in a $132 million increase in the allowance for credit losses as of January 1, 2020. Additional information on the new accounting guidance is provided under the heading “Provision for Credit Losses” and in note 3 of Notes to Financial Statements.</w:t>
      </w:r>
    </w:p>
    <w:p>
      <w:pPr>
        <w:spacing w:after="0" w:line="86"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9"/>
          <w:szCs w:val="19"/>
          <w:color w:val="auto"/>
        </w:rPr>
        <w:t>M&amp;T’s first quarter 2020 results were adversely impacted by the Coronavirus Disease 2019 (“COVID-19”) pandemic, as the United States operates under a state of emergency. Economic forecasts of the impact of COVID-19 as of the end of the recent quarter resulted in higher estimates of expected credit losses in M&amp;T’s loan portfolio as compared with that estimated as of January 1, 2020. While the full impact of COVID-19 on M&amp;T’s future financial results is uncertain and not currently estimable, M&amp;T believes that impact could be material. A provision for credit losses of $250 million was recorded in the first quarter of 2020.</w:t>
      </w:r>
    </w:p>
    <w:p>
      <w:pPr>
        <w:spacing w:after="0" w:line="51"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20"/>
          <w:szCs w:val="20"/>
          <w:color w:val="auto"/>
        </w:rPr>
        <w:t>On March 27, 2020, the Coronavirus Aid, Relief, and Economic Security Act (“CARES Act”) was signed into law. Among other things, the CARES Act provides relief to borrowers, including the opportunity to defer loan payments while not negatively affecting their credit standing, and also provides funding opportunities for small businesses under the Paycheck Protection Program (“PPP”) from approved Small Business Administration (“SBA”) lenders, including M&amp;T Bank, which is one of the top ten SBA lenders in the country. For commercial and consumer customers, M&amp;T has provided a host of relief options, including loan maturity extensions, payment deferrals, fee waivers and low interest rate loan products. On April 6, 2020, M&amp;T provided an online application solution for small business customers and began accepting loan applications under the PPP.</w:t>
      </w:r>
    </w:p>
    <w:p>
      <w:pPr>
        <w:spacing w:after="0" w:line="177" w:lineRule="exact"/>
        <w:rPr>
          <w:sz w:val="20"/>
          <w:szCs w:val="20"/>
          <w:color w:val="auto"/>
        </w:rPr>
      </w:pPr>
    </w:p>
    <w:p>
      <w:pPr>
        <w:ind w:right="340" w:firstLine="374"/>
        <w:spacing w:after="0" w:line="244" w:lineRule="auto"/>
        <w:rPr>
          <w:sz w:val="20"/>
          <w:szCs w:val="20"/>
          <w:color w:val="auto"/>
        </w:rPr>
      </w:pPr>
      <w:r>
        <w:rPr>
          <w:rFonts w:ascii="Arial" w:cs="Arial" w:eastAsia="Arial" w:hAnsi="Arial"/>
          <w:sz w:val="21"/>
          <w:szCs w:val="21"/>
          <w:color w:val="auto"/>
        </w:rPr>
        <w:t>While the updated economic forecasts at the end of the first quarter resulted in higher estimates of expected credit losses in the Company’s loan portfolio, resulting in a significant increase in the provision for credit losses, the Company will continue to be negatively impacted by the COVID-19 pandemic after March 31, 2020. The Company believes that the COVID-19 pandemic could have a material impact on its future financial results. Specifically, the Company expects the following balance sheet and income statement categories to be affected:</w:t>
      </w:r>
    </w:p>
    <w:p>
      <w:pPr>
        <w:spacing w:after="0" w:line="4" w:lineRule="exact"/>
        <w:rPr>
          <w:sz w:val="20"/>
          <w:szCs w:val="20"/>
          <w:color w:val="auto"/>
        </w:rPr>
      </w:pPr>
    </w:p>
    <w:p>
      <w:pPr>
        <w:ind w:left="800" w:right="160" w:hanging="361"/>
        <w:spacing w:after="0" w:line="241" w:lineRule="auto"/>
        <w:tabs>
          <w:tab w:leader="none" w:pos="800" w:val="left"/>
        </w:tabs>
        <w:numPr>
          <w:ilvl w:val="0"/>
          <w:numId w:val="18"/>
        </w:numPr>
        <w:rPr>
          <w:rFonts w:ascii="Arial" w:cs="Arial" w:eastAsia="Arial" w:hAnsi="Arial"/>
          <w:sz w:val="21"/>
          <w:szCs w:val="21"/>
          <w:color w:val="auto"/>
        </w:rPr>
      </w:pPr>
      <w:r>
        <w:rPr>
          <w:rFonts w:ascii="Arial" w:cs="Arial" w:eastAsia="Arial" w:hAnsi="Arial"/>
          <w:sz w:val="21"/>
          <w:szCs w:val="21"/>
          <w:color w:val="auto"/>
        </w:rPr>
        <w:t>Average loan balances are expected to rise, as commercial customers drew on available lines of credit in late March and as a result of the loans associated with the PPP being funded. Details of the Main Street Lending Program, a provision of the CARES Act, are being finalized so that potential impact is not determinable;</w:t>
      </w:r>
    </w:p>
    <w:p>
      <w:pPr>
        <w:ind w:left="800" w:right="220" w:hanging="361"/>
        <w:spacing w:after="0" w:line="326" w:lineRule="auto"/>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Net interest income and net interest margin – while the higher loan balances will add to net interest income, the low interest rate environment and the 1% rate earned on the PPP loans will negatively affect the Company’s net interest margin;</w:t>
      </w: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5540" w:hanging="111"/>
        <w:spacing w:after="0"/>
        <w:tabs>
          <w:tab w:leader="none" w:pos="55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46" w:name="page47"/>
    <w:bookmarkEnd w:id="46"/>
    <w:p>
      <w:pPr>
        <w:ind w:left="800" w:right="40" w:hanging="361"/>
        <w:spacing w:after="0" w:line="245" w:lineRule="auto"/>
        <w:tabs>
          <w:tab w:leader="none" w:pos="800" w:val="left"/>
        </w:tabs>
        <w:numPr>
          <w:ilvl w:val="0"/>
          <w:numId w:val="19"/>
        </w:numPr>
        <w:rPr>
          <w:rFonts w:ascii="Arial" w:cs="Arial" w:eastAsia="Arial" w:hAnsi="Arial"/>
          <w:sz w:val="21"/>
          <w:szCs w:val="21"/>
          <w:color w:val="auto"/>
        </w:rPr>
      </w:pPr>
      <w:r>
        <w:rPr>
          <w:rFonts w:ascii="Arial" w:cs="Arial" w:eastAsia="Arial" w:hAnsi="Arial"/>
          <w:sz w:val="21"/>
          <w:szCs w:val="21"/>
          <w:color w:val="auto"/>
        </w:rPr>
        <w:t>Provision for credit losses – deteriorating economic assumptions used to calculate the allowance for credit losses at the end of future reporting periods could result in higher levels of the provision and allowance for credit losses than have been historically experienced. In addition, the impact on borrowers’ ability to repay loans could be negatively affected, potentially leading to increased charge-offs;</w:t>
      </w:r>
    </w:p>
    <w:p>
      <w:pPr>
        <w:spacing w:after="0" w:line="2" w:lineRule="exact"/>
        <w:rPr>
          <w:rFonts w:ascii="Arial" w:cs="Arial" w:eastAsia="Arial" w:hAnsi="Arial"/>
          <w:sz w:val="21"/>
          <w:szCs w:val="21"/>
          <w:color w:val="auto"/>
        </w:rPr>
      </w:pPr>
    </w:p>
    <w:p>
      <w:pPr>
        <w:ind w:left="800" w:right="220" w:hanging="361"/>
        <w:spacing w:after="0" w:line="253" w:lineRule="auto"/>
        <w:tabs>
          <w:tab w:leader="none" w:pos="800" w:val="left"/>
        </w:tabs>
        <w:numPr>
          <w:ilvl w:val="0"/>
          <w:numId w:val="19"/>
        </w:numPr>
        <w:rPr>
          <w:rFonts w:ascii="Arial" w:cs="Arial" w:eastAsia="Arial" w:hAnsi="Arial"/>
          <w:sz w:val="20"/>
          <w:szCs w:val="20"/>
          <w:color w:val="auto"/>
        </w:rPr>
      </w:pPr>
      <w:r>
        <w:rPr>
          <w:rFonts w:ascii="Arial" w:cs="Arial" w:eastAsia="Arial" w:hAnsi="Arial"/>
          <w:sz w:val="20"/>
          <w:szCs w:val="20"/>
          <w:color w:val="auto"/>
        </w:rPr>
        <w:t>Noninterest income will likely be lower as it relates to the trust businesses, as some of that income is derived from equity market performance, and it is likely that fee waivers will resume for proprietary money market mutual fund management fees. The potential for a prolonged slowdown in debt capital market activities also exists. Consumer deposit service charge fees are expected to decline due to fee waivers and lower debit card transactions. Credit card interchange volumes are also expected to be lower, resulting in lower fees. Residential mortgage applications are expected to continue to be strong given the low interest rate environment; and</w:t>
      </w:r>
    </w:p>
    <w:p>
      <w:pPr>
        <w:spacing w:after="0" w:line="1" w:lineRule="exact"/>
        <w:rPr>
          <w:rFonts w:ascii="Arial" w:cs="Arial" w:eastAsia="Arial" w:hAnsi="Arial"/>
          <w:sz w:val="20"/>
          <w:szCs w:val="20"/>
          <w:color w:val="auto"/>
        </w:rPr>
      </w:pPr>
    </w:p>
    <w:p>
      <w:pPr>
        <w:ind w:left="800" w:right="140" w:hanging="361"/>
        <w:spacing w:after="0" w:line="242" w:lineRule="auto"/>
        <w:tabs>
          <w:tab w:leader="none" w:pos="800" w:val="left"/>
        </w:tabs>
        <w:numPr>
          <w:ilvl w:val="0"/>
          <w:numId w:val="19"/>
        </w:numPr>
        <w:rPr>
          <w:rFonts w:ascii="Arial" w:cs="Arial" w:eastAsia="Arial" w:hAnsi="Arial"/>
          <w:sz w:val="21"/>
          <w:szCs w:val="21"/>
          <w:color w:val="auto"/>
        </w:rPr>
      </w:pPr>
      <w:r>
        <w:rPr>
          <w:rFonts w:ascii="Arial" w:cs="Arial" w:eastAsia="Arial" w:hAnsi="Arial"/>
          <w:sz w:val="21"/>
          <w:szCs w:val="21"/>
          <w:color w:val="auto"/>
        </w:rPr>
        <w:t>The shelter in place and stay at home mandates around the country will impact aspects of the Company’s expense base, such as the use of contractors, travel and entertainment costs, and other types of discretionary expenditures. In addition, the Company has curtailed hiring and has redeployed employees to address the changing dynamics of the business given the current environment.</w:t>
      </w:r>
    </w:p>
    <w:p>
      <w:pPr>
        <w:spacing w:after="0" w:line="127" w:lineRule="exact"/>
        <w:rPr>
          <w:sz w:val="20"/>
          <w:szCs w:val="20"/>
          <w:color w:val="auto"/>
        </w:rPr>
      </w:pPr>
    </w:p>
    <w:p>
      <w:pPr>
        <w:ind w:right="60" w:firstLine="468"/>
        <w:spacing w:after="0" w:line="247" w:lineRule="auto"/>
        <w:rPr>
          <w:sz w:val="20"/>
          <w:szCs w:val="20"/>
          <w:color w:val="auto"/>
        </w:rPr>
      </w:pPr>
      <w:r>
        <w:rPr>
          <w:rFonts w:ascii="Arial" w:cs="Arial" w:eastAsia="Arial" w:hAnsi="Arial"/>
          <w:sz w:val="21"/>
          <w:szCs w:val="21"/>
          <w:color w:val="auto"/>
        </w:rPr>
        <w:t>The national effort to mitigate the pandemic has resulted in a widespread and deep contraction of the economy, challenging businesses and their employees. The Company has taken actions to provide a safe environment for its customers and employees and to provide relief to customers in a variety of ways. Examples of those actions include:</w:t>
      </w:r>
    </w:p>
    <w:p>
      <w:pPr>
        <w:spacing w:after="0" w:line="1" w:lineRule="exact"/>
        <w:rPr>
          <w:sz w:val="20"/>
          <w:szCs w:val="20"/>
          <w:color w:val="auto"/>
        </w:rPr>
      </w:pPr>
    </w:p>
    <w:p>
      <w:pPr>
        <w:ind w:left="740" w:right="40" w:hanging="368"/>
        <w:spacing w:after="0" w:line="253" w:lineRule="auto"/>
        <w:tabs>
          <w:tab w:leader="none" w:pos="740"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The deployment of a Pandemic Response Plan to manage the pandemic’s effects on operations, employees and customers, including seeking to ensure employee safety, maintain continuity of operations and service levels for customers, preserve the Company’s financial strength, and comply with applicable laws and regulations. Actions have included placing restrictions on travel, implementing a limited branch service model, implementing social distancing requirements, and mandating for all employees whose jobs can be performed remotely to work from home indefinitely;</w:t>
      </w:r>
    </w:p>
    <w:p>
      <w:pPr>
        <w:spacing w:after="0" w:line="1" w:lineRule="exact"/>
        <w:rPr>
          <w:rFonts w:ascii="Arial" w:cs="Arial" w:eastAsia="Arial" w:hAnsi="Arial"/>
          <w:sz w:val="20"/>
          <w:szCs w:val="20"/>
          <w:color w:val="auto"/>
        </w:rPr>
      </w:pPr>
    </w:p>
    <w:p>
      <w:pPr>
        <w:ind w:left="740" w:right="700" w:hanging="368"/>
        <w:spacing w:after="0" w:line="241" w:lineRule="auto"/>
        <w:tabs>
          <w:tab w:leader="none" w:pos="740" w:val="left"/>
        </w:tabs>
        <w:numPr>
          <w:ilvl w:val="0"/>
          <w:numId w:val="20"/>
        </w:numPr>
        <w:rPr>
          <w:rFonts w:ascii="Arial" w:cs="Arial" w:eastAsia="Arial" w:hAnsi="Arial"/>
          <w:sz w:val="21"/>
          <w:szCs w:val="21"/>
          <w:color w:val="auto"/>
        </w:rPr>
      </w:pPr>
      <w:r>
        <w:rPr>
          <w:rFonts w:ascii="Arial" w:cs="Arial" w:eastAsia="Arial" w:hAnsi="Arial"/>
          <w:sz w:val="21"/>
          <w:szCs w:val="21"/>
          <w:color w:val="auto"/>
        </w:rPr>
        <w:t>Nearly all M&amp;T Bank branches remain open, with in-person visits by appointment and normal access to drive-through windows and ATMs;</w:t>
      </w:r>
    </w:p>
    <w:p>
      <w:pPr>
        <w:ind w:left="740" w:hanging="368"/>
        <w:spacing w:after="0"/>
        <w:tabs>
          <w:tab w:leader="none" w:pos="740" w:val="left"/>
        </w:tabs>
        <w:numPr>
          <w:ilvl w:val="0"/>
          <w:numId w:val="20"/>
        </w:numPr>
        <w:rPr>
          <w:rFonts w:ascii="Arial" w:cs="Arial" w:eastAsia="Arial" w:hAnsi="Arial"/>
          <w:sz w:val="21"/>
          <w:szCs w:val="21"/>
          <w:color w:val="auto"/>
        </w:rPr>
      </w:pPr>
      <w:r>
        <w:rPr>
          <w:rFonts w:ascii="Arial" w:cs="Arial" w:eastAsia="Arial" w:hAnsi="Arial"/>
          <w:sz w:val="21"/>
          <w:szCs w:val="21"/>
          <w:color w:val="auto"/>
        </w:rPr>
        <w:t>Approximately 90% of the Company’s non-branch employees are working remotely;</w:t>
      </w:r>
    </w:p>
    <w:p>
      <w:pPr>
        <w:spacing w:after="0" w:line="1" w:lineRule="exact"/>
        <w:rPr>
          <w:rFonts w:ascii="Arial" w:cs="Arial" w:eastAsia="Arial" w:hAnsi="Arial"/>
          <w:sz w:val="21"/>
          <w:szCs w:val="21"/>
          <w:color w:val="auto"/>
        </w:rPr>
      </w:pPr>
    </w:p>
    <w:p>
      <w:pPr>
        <w:ind w:left="740" w:right="20" w:hanging="368"/>
        <w:spacing w:after="0" w:line="241" w:lineRule="auto"/>
        <w:tabs>
          <w:tab w:leader="none" w:pos="740" w:val="left"/>
        </w:tabs>
        <w:numPr>
          <w:ilvl w:val="0"/>
          <w:numId w:val="20"/>
        </w:numPr>
        <w:rPr>
          <w:rFonts w:ascii="Arial" w:cs="Arial" w:eastAsia="Arial" w:hAnsi="Arial"/>
          <w:sz w:val="21"/>
          <w:szCs w:val="21"/>
          <w:color w:val="auto"/>
        </w:rPr>
      </w:pPr>
      <w:r>
        <w:rPr>
          <w:rFonts w:ascii="Arial" w:cs="Arial" w:eastAsia="Arial" w:hAnsi="Arial"/>
          <w:sz w:val="21"/>
          <w:szCs w:val="21"/>
          <w:color w:val="auto"/>
        </w:rPr>
        <w:t>Loan customers are receiving COVID-19 related relief in various forms, including modification and forebearance requests that have been approved through April 30, 2020 as follows:</w:t>
      </w:r>
    </w:p>
    <w:p>
      <w:pPr>
        <w:ind w:left="1500" w:hanging="373"/>
        <w:spacing w:after="0"/>
        <w:tabs>
          <w:tab w:leader="none" w:pos="1500" w:val="left"/>
        </w:tabs>
        <w:numPr>
          <w:ilvl w:val="1"/>
          <w:numId w:val="20"/>
        </w:numPr>
        <w:rPr>
          <w:rFonts w:ascii="Arial" w:cs="Arial" w:eastAsia="Arial" w:hAnsi="Arial"/>
          <w:sz w:val="21"/>
          <w:szCs w:val="21"/>
          <w:color w:val="auto"/>
        </w:rPr>
      </w:pPr>
      <w:r>
        <w:rPr>
          <w:rFonts w:ascii="Arial" w:cs="Arial" w:eastAsia="Arial" w:hAnsi="Arial"/>
          <w:sz w:val="21"/>
          <w:szCs w:val="21"/>
          <w:color w:val="auto"/>
        </w:rPr>
        <w:t>Commercial – 6,324 customers with balances of $14.1 billion;</w:t>
      </w:r>
    </w:p>
    <w:p>
      <w:pPr>
        <w:spacing w:after="0" w:line="1" w:lineRule="exact"/>
        <w:rPr>
          <w:rFonts w:ascii="Arial" w:cs="Arial" w:eastAsia="Arial" w:hAnsi="Arial"/>
          <w:sz w:val="21"/>
          <w:szCs w:val="21"/>
          <w:color w:val="auto"/>
        </w:rPr>
      </w:pPr>
    </w:p>
    <w:p>
      <w:pPr>
        <w:ind w:left="1500" w:right="160" w:hanging="373"/>
        <w:spacing w:after="0" w:line="241" w:lineRule="auto"/>
        <w:tabs>
          <w:tab w:leader="none" w:pos="1500" w:val="left"/>
        </w:tabs>
        <w:numPr>
          <w:ilvl w:val="1"/>
          <w:numId w:val="20"/>
        </w:numPr>
        <w:rPr>
          <w:rFonts w:ascii="Arial" w:cs="Arial" w:eastAsia="Arial" w:hAnsi="Arial"/>
          <w:sz w:val="21"/>
          <w:szCs w:val="21"/>
          <w:color w:val="auto"/>
        </w:rPr>
      </w:pPr>
      <w:r>
        <w:rPr>
          <w:rFonts w:ascii="Arial" w:cs="Arial" w:eastAsia="Arial" w:hAnsi="Arial"/>
          <w:sz w:val="21"/>
          <w:szCs w:val="21"/>
          <w:color w:val="auto"/>
        </w:rPr>
        <w:t>Residential real estate – 81,587 customers with balances of $15.2 billion (including 74,989 customers with balances of $13.2 billion that are serviced for others</w:t>
      </w:r>
      <w:r>
        <w:rPr>
          <w:rFonts w:ascii="Arial" w:cs="Arial" w:eastAsia="Arial" w:hAnsi="Arial"/>
          <w:sz w:val="21"/>
          <w:szCs w:val="21"/>
          <w:b w:val="1"/>
          <w:bCs w:val="1"/>
          <w:color w:val="auto"/>
        </w:rPr>
        <w:t>)</w:t>
      </w:r>
      <w:r>
        <w:rPr>
          <w:rFonts w:ascii="Arial" w:cs="Arial" w:eastAsia="Arial" w:hAnsi="Arial"/>
          <w:sz w:val="21"/>
          <w:szCs w:val="21"/>
          <w:color w:val="auto"/>
        </w:rPr>
        <w:t>;</w:t>
      </w:r>
    </w:p>
    <w:p>
      <w:pPr>
        <w:ind w:left="1500" w:hanging="373"/>
        <w:spacing w:after="0"/>
        <w:tabs>
          <w:tab w:leader="none" w:pos="15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Consumer – including automobile, recreational finance, home equity lines and loans, credit cards and personal loans</w:t>
      </w:r>
    </w:p>
    <w:p>
      <w:pPr>
        <w:spacing w:after="0" w:line="35"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21"/>
          <w:szCs w:val="21"/>
          <w:color w:val="auto"/>
        </w:rPr>
        <w:t>– 17,834 customers with balances of $555 million.</w:t>
      </w:r>
    </w:p>
    <w:p>
      <w:pPr>
        <w:spacing w:after="0" w:line="1" w:lineRule="exact"/>
        <w:rPr>
          <w:rFonts w:ascii="Arial" w:cs="Arial" w:eastAsia="Arial" w:hAnsi="Arial"/>
          <w:sz w:val="18"/>
          <w:szCs w:val="18"/>
          <w:color w:val="auto"/>
        </w:rPr>
      </w:pPr>
    </w:p>
    <w:p>
      <w:pPr>
        <w:ind w:left="740" w:hanging="368"/>
        <w:spacing w:after="0"/>
        <w:tabs>
          <w:tab w:leader="none" w:pos="740" w:val="left"/>
        </w:tabs>
        <w:numPr>
          <w:ilvl w:val="0"/>
          <w:numId w:val="20"/>
        </w:numPr>
        <w:rPr>
          <w:rFonts w:ascii="Arial" w:cs="Arial" w:eastAsia="Arial" w:hAnsi="Arial"/>
          <w:sz w:val="19"/>
          <w:szCs w:val="19"/>
          <w:color w:val="auto"/>
        </w:rPr>
      </w:pPr>
      <w:r>
        <w:rPr>
          <w:rFonts w:ascii="Arial" w:cs="Arial" w:eastAsia="Arial" w:hAnsi="Arial"/>
          <w:sz w:val="19"/>
          <w:szCs w:val="19"/>
          <w:color w:val="auto"/>
        </w:rPr>
        <w:t>Paycheck Protection Program – Through April 30, 2020, 32,440 customers were approved for loans totaling $7.0 billion; and</w:t>
      </w:r>
    </w:p>
    <w:p>
      <w:pPr>
        <w:spacing w:after="0" w:line="24" w:lineRule="exact"/>
        <w:rPr>
          <w:rFonts w:ascii="Arial" w:cs="Arial" w:eastAsia="Arial" w:hAnsi="Arial"/>
          <w:sz w:val="19"/>
          <w:szCs w:val="19"/>
          <w:color w:val="auto"/>
        </w:rPr>
      </w:pPr>
    </w:p>
    <w:p>
      <w:pPr>
        <w:ind w:left="740" w:hanging="368"/>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Waiving of certain types of transaction and maintenance fees for consumer and small business deposit account relationships.</w:t>
      </w:r>
    </w:p>
    <w:p>
      <w:pPr>
        <w:spacing w:after="0" w:line="274" w:lineRule="exact"/>
        <w:rPr>
          <w:sz w:val="20"/>
          <w:szCs w:val="20"/>
          <w:color w:val="auto"/>
        </w:rPr>
      </w:pPr>
    </w:p>
    <w:p>
      <w:pPr>
        <w:jc w:val="both"/>
        <w:ind w:firstLine="510"/>
        <w:spacing w:after="0" w:line="276" w:lineRule="auto"/>
        <w:rPr>
          <w:sz w:val="20"/>
          <w:szCs w:val="20"/>
          <w:color w:val="auto"/>
        </w:rPr>
      </w:pPr>
      <w:r>
        <w:rPr>
          <w:rFonts w:ascii="Arial" w:cs="Arial" w:eastAsia="Arial" w:hAnsi="Arial"/>
          <w:sz w:val="19"/>
          <w:szCs w:val="19"/>
          <w:color w:val="auto"/>
        </w:rPr>
        <w:t>During the first quarter of 2019, the Company increased its reserve for legal matters by $50 million in conjunction with matters associated with a subsidiary’s role as trustee of Employee Stock Ownership Plans in its Institutional Client Services business. That increase, on an after-tax basis, reduced net income in that quarter by $37 million, or $.27 of diluted earnings per common share. Also during that quarter, M&amp;T realized $37 million of distributed income from Bayview Lending Group LLC (“BLG”), increasing net income by $28 million, or $.20 of diluted earnings per common share. A similar distribution of $23 million was received in the first quarter of 2020, increasing net income by $17 million, or $.13 of diluted earnings per common share.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47" w:name="page48"/>
    <w:bookmarkEnd w:id="47"/>
    <w:p>
      <w:pPr>
        <w:spacing w:after="0"/>
        <w:rPr>
          <w:sz w:val="20"/>
          <w:szCs w:val="20"/>
          <w:color w:val="auto"/>
        </w:rPr>
      </w:pPr>
      <w:r>
        <w:rPr>
          <w:rFonts w:ascii="Arial" w:cs="Arial" w:eastAsia="Arial" w:hAnsi="Arial"/>
          <w:sz w:val="21"/>
          <w:szCs w:val="21"/>
          <w:b w:val="1"/>
          <w:bCs w:val="1"/>
          <w:color w:val="auto"/>
        </w:rPr>
        <w:t>Supplemental Reporting of Non-GAAP Results of Operations</w:t>
      </w:r>
    </w:p>
    <w:p>
      <w:pPr>
        <w:spacing w:after="0" w:line="115"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M&amp;T consistently provides supplemental reporting of its results on a “net operating” or “tangible” basis, from which M&amp;T excludes the after-tax effect of amortization of core deposit and other intangible assets (and the related goodwill, core deposit intangible and other intangible asset balances, net of applicable deferred tax amounts) and expenses associated with merging acquired operations into the Company, since such items are considered by management to be “nonoperating” in nature. Although “net operating income” as defined by M&amp;T is not a GAAP measure, M&amp;T’s management believes that this information helps investors understand the effect of acquisition activity in reported results.</w:t>
      </w:r>
    </w:p>
    <w:p>
      <w:pPr>
        <w:spacing w:after="0" w:line="85" w:lineRule="exact"/>
        <w:rPr>
          <w:sz w:val="20"/>
          <w:szCs w:val="20"/>
          <w:color w:val="auto"/>
        </w:rPr>
      </w:pPr>
    </w:p>
    <w:p>
      <w:pPr>
        <w:jc w:val="both"/>
        <w:ind w:firstLine="510"/>
        <w:spacing w:after="0" w:line="248" w:lineRule="auto"/>
        <w:rPr>
          <w:sz w:val="20"/>
          <w:szCs w:val="20"/>
          <w:color w:val="auto"/>
        </w:rPr>
      </w:pPr>
      <w:r>
        <w:rPr>
          <w:rFonts w:ascii="Arial" w:cs="Arial" w:eastAsia="Arial" w:hAnsi="Arial"/>
          <w:sz w:val="21"/>
          <w:szCs w:val="21"/>
          <w:color w:val="auto"/>
        </w:rPr>
        <w:t>Net operating income aggregated $272 million in the first three months of 2020, compared with $486 million in the similar 2019 period. Diluted net operating earnings per common share for the first quarter of 2020 were $1.95, compared with $3.38 in the initial 2019 quarter. Net operating income and diluted net operating earnings per common share were $496 million and $3.62, respectively, in the fourth quarter of 2019.</w:t>
      </w:r>
    </w:p>
    <w:p>
      <w:pPr>
        <w:spacing w:after="0" w:line="81" w:lineRule="exact"/>
        <w:rPr>
          <w:sz w:val="20"/>
          <w:szCs w:val="20"/>
          <w:color w:val="auto"/>
        </w:rPr>
      </w:pPr>
    </w:p>
    <w:p>
      <w:pPr>
        <w:jc w:val="both"/>
        <w:ind w:firstLine="510"/>
        <w:spacing w:after="0" w:line="248" w:lineRule="auto"/>
        <w:rPr>
          <w:sz w:val="20"/>
          <w:szCs w:val="20"/>
          <w:color w:val="auto"/>
        </w:rPr>
      </w:pPr>
      <w:r>
        <w:rPr>
          <w:rFonts w:ascii="Arial" w:cs="Arial" w:eastAsia="Arial" w:hAnsi="Arial"/>
          <w:sz w:val="21"/>
          <w:szCs w:val="21"/>
          <w:color w:val="auto"/>
        </w:rPr>
        <w:t>Net operating income in the recent quarter expressed as an annualized rate of return on average tangible assets was 0.94%, compared with 1.76% and 1.67% in the first and fourth quarters of 2019, respectively. Net operating income represented an annualized return on average tangible common equity of 10.39% in the recent quarter, compared with 19.56% in the year-earlier quarter and 19.08% in the final 2019 quarter.</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21"/>
          <w:szCs w:val="21"/>
          <w:color w:val="auto"/>
        </w:rPr>
        <w:t>Reconciliations of GAAP amounts with corresponding non-GAAP amounts are provided in table 2.</w:t>
      </w:r>
    </w:p>
    <w:p>
      <w:pPr>
        <w:spacing w:after="0" w:line="21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Taxable-equivalent Net Interest Income</w:t>
      </w:r>
    </w:p>
    <w:p>
      <w:pPr>
        <w:spacing w:after="0" w:line="115"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Taxable-equivalent net interest income was $982 million in the initial quarter of 2020, compared with $1.06 billion in the first quarter of 2019. That decline resulted predominantly from a 39 basis point (hundredths of one percent) narrowing of the net interest margin, or taxable-equivalent net interest income expressed as an annualized percentage of average earning assets, to 3.65% in the recent quarter from 4.04% in the corresponding 2019 quarter. The narrowing in the net interest margin was largely the result of declines in rates on loans, reflecting the lower interest rate environment due to actions initiated by the Federal Reserve to decrease its target Federal funds rate three times in the second half of 2019 (each by a .25% increment) and twice in March of 2020 (first by .50%, than another by 1.0%). The impact of the recent quarter’s lower net interest margin on net interest income was partially offset by an increase in average earning assets of $2.1 billion from the year-earlier quarter, reflecting growth in loans, interest-bearing deposits at banks and short-term agreements to resell securities. Those increases were partially offset by a decline in average balances of investment securities. Taxable-equivalent net interest income in the recent quarter declined $32 million, or 3%, from the fourth quarter of 2019 primarily due to a $2.4 billion or 2% decrease in average earning assets. The lower earning assets were predominantly due to declines in average balances of interest-bearing deposits at banks and investment securities, partially offset by a rise in average outstanding loans. The recent quarter’s net interest margin was little changed from 3.64% in the final 2019 quarter.</w:t>
      </w:r>
    </w:p>
    <w:p>
      <w:pPr>
        <w:spacing w:after="0" w:line="68" w:lineRule="exact"/>
        <w:rPr>
          <w:sz w:val="20"/>
          <w:szCs w:val="20"/>
          <w:color w:val="auto"/>
        </w:rPr>
      </w:pPr>
    </w:p>
    <w:p>
      <w:pPr>
        <w:jc w:val="both"/>
        <w:ind w:firstLine="510"/>
        <w:spacing w:after="0" w:line="270" w:lineRule="auto"/>
        <w:rPr>
          <w:sz w:val="20"/>
          <w:szCs w:val="20"/>
          <w:color w:val="auto"/>
        </w:rPr>
      </w:pPr>
      <w:r>
        <w:rPr>
          <w:rFonts w:ascii="Arial" w:cs="Arial" w:eastAsia="Arial" w:hAnsi="Arial"/>
          <w:sz w:val="19"/>
          <w:szCs w:val="19"/>
          <w:color w:val="auto"/>
        </w:rPr>
        <w:t>Average loans and leases totaled $91.7 billion in the recent quarter, up $3.2 billion or 4% from $88.5 billion in the first quarter of 2019. Commercial loans and leases averaged $24.3 billion in the first quarter of 2020, $1.3 billion or 6% higher than in the year-earlier quarter. Commercial loan and lease balances at March 31, 2020 totaled $26.2 billion, up 14% from $23.1 billion a year earlier. During late March, the Company’s commercial customers began drawing on available lines of credit for liquidity purposes as the pandemic was expanding in scope. Those draws, which totaled approximately $2 billion, are expected to have a more significant effect on average balances in the second quarter of 2020, to the extent such loans amounts remain outstanding. Average commercial real estate loans were $36.0 billion in the recent quarter, up $1.5 billion, or 4%, from $34.5 billion in the initial quarter of 2019. Included in average commercial real estate loans in the first quarters of 2020 and 2019 were loans held for sale of $185 million and $280 million, respectively. Reflecting ongoing repayments of loans obtained in the 2015 acquisition of Hudson City Bancorp, Inc. (“Hudson City”), average residential real estate loans declined $1.0 billion or 6% to $15.9 billion in the first three months of 2020 from $16.9 billion in the year-earlier quarter. Included in average residential real estate loans were loans held for sale of $409 million in the recent quarter and $166 million in the first quarter of 2019. Consumer loans averaged $15.5 billion in the first quarter of 2020, up $1.4 billion, or 10%, from $14.0 billion in the initial 2019 quarter, predominantly due to growth in average recreational finance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48" w:name="page49"/>
    <w:bookmarkEnd w:id="48"/>
    <w:p>
      <w:pPr>
        <w:jc w:val="both"/>
        <w:spacing w:after="0" w:line="263" w:lineRule="auto"/>
        <w:rPr>
          <w:sz w:val="20"/>
          <w:szCs w:val="20"/>
          <w:color w:val="auto"/>
        </w:rPr>
      </w:pPr>
      <w:r>
        <w:rPr>
          <w:rFonts w:ascii="Arial" w:cs="Arial" w:eastAsia="Arial" w:hAnsi="Arial"/>
          <w:sz w:val="21"/>
          <w:szCs w:val="21"/>
          <w:color w:val="auto"/>
        </w:rPr>
        <w:t>(consisting predominantly of loans secured by recreational vehicles and boats) and automobile loans that was partially offset by declines in outstanding balances of home equity loans and lines of credit.</w:t>
      </w:r>
    </w:p>
    <w:p>
      <w:pPr>
        <w:spacing w:after="0" w:line="64"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20"/>
          <w:szCs w:val="20"/>
          <w:color w:val="auto"/>
        </w:rPr>
        <w:t>Average loan and lease balances in the first quarter of 2020 increased $1.5 billion, or 2%, from $90.2 billion in the fourth quarter of 2019. Average commercial loan and lease balances in the recent quarter were up $742 million, or 3%, from $23.5 billion in the fourth quarter of 2019. Average commercial real estate loans in the first quarter of 2020 increased $1.0 billion, or 3%, from $35.0 billion in the fourth quarter of 2019. Commercial real estate loans held for sale averaged $201 million in the fourth quarter of 2019. Average balances of residential real estate loans in the initial 2020 quarter declined $399 million, or 2%, from $16.3 billion in the fourth quarter of 2019, reflecting the continued pay down of loans obtained in the acquisition of Hudson City. Residential real estate loans held for sale averaged $382 million in the final 2019 quarter. Average consumer loans in the recent quarter increased $124 million, or 1%, from $15.3 billion in 2019’s fourth quarter. The accompanying table summarizes quarterly changes in the major components of the loan and lease portfolio.</w:t>
      </w:r>
    </w:p>
    <w:p>
      <w:pPr>
        <w:spacing w:after="0" w:line="184" w:lineRule="exact"/>
        <w:rPr>
          <w:sz w:val="20"/>
          <w:szCs w:val="20"/>
          <w:color w:val="auto"/>
        </w:rPr>
      </w:pPr>
    </w:p>
    <w:p>
      <w:pPr>
        <w:spacing w:after="0"/>
        <w:rPr>
          <w:sz w:val="20"/>
          <w:szCs w:val="20"/>
          <w:color w:val="auto"/>
        </w:rPr>
      </w:pPr>
      <w:r>
        <w:rPr>
          <w:rFonts w:ascii="Arial" w:cs="Arial" w:eastAsia="Arial" w:hAnsi="Arial"/>
          <w:sz w:val="21"/>
          <w:szCs w:val="21"/>
          <w:color w:val="auto"/>
        </w:rPr>
        <w:t>AVERAGE LOANS AND LEASES</w:t>
      </w:r>
    </w:p>
    <w:p>
      <w:pPr>
        <w:spacing w:after="0" w:line="19" w:lineRule="exact"/>
        <w:rPr>
          <w:sz w:val="20"/>
          <w:szCs w:val="20"/>
          <w:color w:val="auto"/>
        </w:rPr>
      </w:pPr>
    </w:p>
    <w:p>
      <w:pPr>
        <w:spacing w:after="0"/>
        <w:rPr>
          <w:sz w:val="20"/>
          <w:szCs w:val="20"/>
          <w:color w:val="auto"/>
        </w:rPr>
      </w:pPr>
      <w:r>
        <w:rPr>
          <w:rFonts w:ascii="Arial" w:cs="Arial" w:eastAsia="Arial" w:hAnsi="Arial"/>
          <w:sz w:val="21"/>
          <w:szCs w:val="21"/>
          <w:color w:val="auto"/>
        </w:rPr>
        <w:t>(net of unearned discount)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Percent Increase</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3"/>
              </w:rPr>
              <w:t>1st Qtr.</w:t>
            </w:r>
          </w:p>
        </w:tc>
        <w:tc>
          <w:tcPr>
            <w:tcW w:w="18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(Decrease) from</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820" w:type="dxa"/>
            <w:vAlign w:val="bottom"/>
            <w:gridSpan w:val="2"/>
          </w:tcPr>
          <w:p>
            <w:pPr>
              <w:jc w:val="right"/>
              <w:ind w:right="220"/>
              <w:spacing w:after="0" w:line="146" w:lineRule="exact"/>
              <w:rPr>
                <w:sz w:val="20"/>
                <w:szCs w:val="20"/>
                <w:color w:val="auto"/>
              </w:rPr>
            </w:pPr>
            <w:r>
              <w:rPr>
                <w:rFonts w:ascii="Arial" w:cs="Arial" w:eastAsia="Arial" w:hAnsi="Arial"/>
                <w:sz w:val="14"/>
                <w:szCs w:val="14"/>
                <w:b w:val="1"/>
                <w:bCs w:val="1"/>
                <w:color w:val="auto"/>
              </w:rPr>
              <w:t>1st Qtr.</w:t>
            </w:r>
          </w:p>
        </w:tc>
        <w:tc>
          <w:tcPr>
            <w:tcW w:w="200" w:type="dxa"/>
            <w:vAlign w:val="bottom"/>
          </w:tcPr>
          <w:p>
            <w:pPr>
              <w:spacing w:after="0"/>
              <w:rPr>
                <w:sz w:val="12"/>
                <w:szCs w:val="12"/>
                <w:color w:val="auto"/>
              </w:rPr>
            </w:pPr>
          </w:p>
        </w:tc>
        <w:tc>
          <w:tcPr>
            <w:tcW w:w="780" w:type="dxa"/>
            <w:vAlign w:val="bottom"/>
          </w:tcPr>
          <w:p>
            <w:pPr>
              <w:jc w:val="right"/>
              <w:ind w:right="73"/>
              <w:spacing w:after="0" w:line="146" w:lineRule="exact"/>
              <w:rPr>
                <w:sz w:val="20"/>
                <w:szCs w:val="20"/>
                <w:color w:val="auto"/>
              </w:rPr>
            </w:pPr>
            <w:r>
              <w:rPr>
                <w:rFonts w:ascii="Arial" w:cs="Arial" w:eastAsia="Arial" w:hAnsi="Arial"/>
                <w:sz w:val="14"/>
                <w:szCs w:val="14"/>
                <w:b w:val="1"/>
                <w:bCs w:val="1"/>
                <w:color w:val="auto"/>
              </w:rPr>
              <w:t>4th Qtr.</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89"/>
              </w:rPr>
              <w:t>2020</w:t>
            </w:r>
          </w:p>
        </w:tc>
        <w:tc>
          <w:tcPr>
            <w:tcW w:w="280" w:type="dxa"/>
            <w:vAlign w:val="bottom"/>
          </w:tcPr>
          <w:p>
            <w:pPr>
              <w:spacing w:after="0"/>
              <w:rPr>
                <w:sz w:val="14"/>
                <w:szCs w:val="14"/>
                <w:color w:val="auto"/>
              </w:rPr>
            </w:pPr>
          </w:p>
        </w:tc>
        <w:tc>
          <w:tcPr>
            <w:tcW w:w="74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6"/>
              </w:rPr>
              <w:t>(In millions)</w:t>
            </w: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Commercial, financial, etc.</w:t>
            </w:r>
          </w:p>
        </w:tc>
        <w:tc>
          <w:tcPr>
            <w:tcW w:w="1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24,290</w:t>
            </w: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Real estate — commercial</w:t>
            </w:r>
          </w:p>
        </w:tc>
        <w:tc>
          <w:tcPr>
            <w:tcW w:w="1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36,034</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Real estate — consumer</w:t>
            </w:r>
          </w:p>
        </w:tc>
        <w:tc>
          <w:tcPr>
            <w:tcW w:w="1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15,931</w:t>
            </w:r>
          </w:p>
        </w:tc>
        <w:tc>
          <w:tcPr>
            <w:tcW w:w="2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w:t>
            </w: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Consumer</w:t>
            </w:r>
          </w:p>
        </w:tc>
        <w:tc>
          <w:tcPr>
            <w:tcW w:w="1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Recreational finance</w:t>
            </w:r>
          </w:p>
        </w:tc>
        <w:tc>
          <w:tcPr>
            <w:tcW w:w="1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5,661</w:t>
            </w: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80" w:type="dxa"/>
            <w:vAlign w:val="bottom"/>
          </w:tcPr>
          <w:p>
            <w:pPr>
              <w:ind w:left="240"/>
              <w:spacing w:after="0"/>
              <w:rPr>
                <w:sz w:val="20"/>
                <w:szCs w:val="20"/>
                <w:color w:val="auto"/>
              </w:rPr>
            </w:pPr>
            <w:r>
              <w:rPr>
                <w:rFonts w:ascii="Arial" w:cs="Arial" w:eastAsia="Arial" w:hAnsi="Arial"/>
                <w:sz w:val="18"/>
                <w:szCs w:val="18"/>
                <w:color w:val="auto"/>
              </w:rPr>
              <w:t>Home equity lines and loans</w:t>
            </w:r>
          </w:p>
        </w:tc>
        <w:tc>
          <w:tcPr>
            <w:tcW w:w="1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4,412</w:t>
            </w:r>
          </w:p>
        </w:tc>
        <w:tc>
          <w:tcPr>
            <w:tcW w:w="28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9"/>
                <w:szCs w:val="19"/>
                <w:color w:val="auto"/>
              </w:rPr>
            </w:pPr>
          </w:p>
        </w:tc>
        <w:tc>
          <w:tcPr>
            <w:tcW w:w="1060" w:type="dxa"/>
            <w:vAlign w:val="bottom"/>
            <w:gridSpan w:val="2"/>
          </w:tcPr>
          <w:p>
            <w:pPr>
              <w:jc w:val="right"/>
              <w:ind w:right="13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Automobile</w:t>
            </w:r>
          </w:p>
        </w:tc>
        <w:tc>
          <w:tcPr>
            <w:tcW w:w="1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3,940</w:t>
            </w: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80" w:type="dxa"/>
            <w:vAlign w:val="bottom"/>
          </w:tcPr>
          <w:p>
            <w:pPr>
              <w:ind w:left="240"/>
              <w:spacing w:after="0"/>
              <w:rPr>
                <w:sz w:val="20"/>
                <w:szCs w:val="20"/>
                <w:color w:val="auto"/>
              </w:rPr>
            </w:pPr>
            <w:r>
              <w:rPr>
                <w:rFonts w:ascii="Arial" w:cs="Arial" w:eastAsia="Arial" w:hAnsi="Arial"/>
                <w:sz w:val="18"/>
                <w:szCs w:val="18"/>
                <w:color w:val="auto"/>
              </w:rPr>
              <w:t>Other</w:t>
            </w:r>
          </w:p>
        </w:tc>
        <w:tc>
          <w:tcPr>
            <w:tcW w:w="1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1,438</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13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consumer</w:t>
            </w:r>
          </w:p>
        </w:tc>
        <w:tc>
          <w:tcPr>
            <w:tcW w:w="16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15,451</w:t>
            </w:r>
          </w:p>
        </w:tc>
        <w:tc>
          <w:tcPr>
            <w:tcW w:w="28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tcPr>
          <w:p>
            <w:pPr>
              <w:ind w:left="720"/>
              <w:spacing w:after="0"/>
              <w:rPr>
                <w:sz w:val="20"/>
                <w:szCs w:val="20"/>
                <w:color w:val="auto"/>
              </w:rPr>
            </w:pPr>
            <w:r>
              <w:rPr>
                <w:rFonts w:ascii="Arial" w:cs="Arial" w:eastAsia="Arial" w:hAnsi="Arial"/>
                <w:sz w:val="18"/>
                <w:szCs w:val="18"/>
                <w:color w:val="auto"/>
              </w:rPr>
              <w:t>Total</w:t>
            </w:r>
          </w:p>
        </w:tc>
        <w:tc>
          <w:tcPr>
            <w:tcW w:w="16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91,706</w:t>
            </w:r>
          </w:p>
        </w:tc>
        <w:tc>
          <w:tcPr>
            <w:tcW w:w="28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2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20"/>
          <w:szCs w:val="20"/>
          <w:color w:val="auto"/>
        </w:rPr>
        <w:t>The investment securities portfolio averaged $9.1 billion in the first quarter of 2020, down $3.8 billion, or 30%, from $12.9 billion in the year-earlier quarter and $942 million lower than the $10.0 billion averaged in the fourth quarter of 2019. The lower average balances in the two most recent quarters as compared with the first quarter of 2019 reflect maturities of U.S. Treasury notes and pay downs of mortgage-backed securities. During the first quarter of 2019, the Company purchased $500 million of U.S. Treasury notes. There were no significant purchases of investment securities during the first quarter of 2020 or the fourth quarter of 2019. There were no significant sales of investment securities during the three-month periods ended March 31, 2020, March 31, 2019 or December 31, 2019. The Company routinely has increases and decreases in its holdings of capital stock of the Federal Home Loan Bank of New York and the Federal Reserve Bank of New York. Those holdings are accounted for at cost and are adjusted based on amounts of outstanding borrowings and available lines of credit with those entities.</w:t>
      </w:r>
    </w:p>
    <w:p>
      <w:pPr>
        <w:spacing w:after="0" w:line="76"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9"/>
          <w:szCs w:val="19"/>
          <w:color w:val="auto"/>
        </w:rPr>
        <w:t>The investment securities portfolio is predominantly comprised of residential mortgage-backed securities, short term U.S. Treasury and federal agency notes, and certain other debt and marketable equity securities. Investment securities also include capital stock of the Federal Home Loan Bank of New York and the Federal Reserve Bank of New York. When purchasing investment securities, the Company considers its liquidity position and its overall interest-rate risk profile as well as the adequacy of expected returns relative to risks assumed, including prepayments. The Company may occasionally sell investment securities as a result of changes in interest rates and spreads, actual or anticipated prepayments, credit risk associated with a particular security, or as a result of restructuring its investment securities portfolio in connection with a business combination. The amounts of investment securities held by the Company are influenced by factors such as demand for loans, which generally yield</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49" w:name="page50"/>
    <w:bookmarkEnd w:id="49"/>
    <w:p>
      <w:pPr>
        <w:jc w:val="both"/>
        <w:spacing w:after="0" w:line="263" w:lineRule="auto"/>
        <w:rPr>
          <w:sz w:val="20"/>
          <w:szCs w:val="20"/>
          <w:color w:val="auto"/>
        </w:rPr>
      </w:pPr>
      <w:r>
        <w:rPr>
          <w:rFonts w:ascii="Arial" w:cs="Arial" w:eastAsia="Arial" w:hAnsi="Arial"/>
          <w:sz w:val="21"/>
          <w:szCs w:val="21"/>
          <w:color w:val="auto"/>
        </w:rPr>
        <w:t>more than investment securities and other earning assets, ongoing repayments, the levels of deposits, and management of liquidity and balance sheet size and resulting capital ratios.</w:t>
      </w:r>
    </w:p>
    <w:p>
      <w:pPr>
        <w:spacing w:after="0" w:line="64" w:lineRule="exact"/>
        <w:rPr>
          <w:sz w:val="20"/>
          <w:szCs w:val="20"/>
          <w:color w:val="auto"/>
        </w:rPr>
      </w:pPr>
    </w:p>
    <w:p>
      <w:pPr>
        <w:jc w:val="both"/>
        <w:ind w:firstLine="510"/>
        <w:spacing w:after="0" w:line="265" w:lineRule="auto"/>
        <w:rPr>
          <w:sz w:val="20"/>
          <w:szCs w:val="20"/>
          <w:color w:val="auto"/>
        </w:rPr>
      </w:pPr>
      <w:r>
        <w:rPr>
          <w:rFonts w:ascii="Arial" w:cs="Arial" w:eastAsia="Arial" w:hAnsi="Arial"/>
          <w:sz w:val="20"/>
          <w:szCs w:val="20"/>
          <w:color w:val="auto"/>
        </w:rPr>
        <w:t>Fair value changes in equity securities with readily determinable fair values are recognized in the consolidated statement of income. Net unrealized losses on such equity securities during the first quarter of 2020 and final quarter of 2019 were $21 million and $6 million, respectively, compared with net unrealized gains of $12 million during the first quarter of 2019. Those gains and losses were predominantly related to the Company’s holdings of Fannie Mae and Freddie Mac preferred stock.</w:t>
      </w:r>
    </w:p>
    <w:p>
      <w:pPr>
        <w:spacing w:after="0" w:line="63" w:lineRule="exact"/>
        <w:rPr>
          <w:sz w:val="20"/>
          <w:szCs w:val="20"/>
          <w:color w:val="auto"/>
        </w:rPr>
      </w:pPr>
    </w:p>
    <w:p>
      <w:pPr>
        <w:jc w:val="both"/>
        <w:ind w:firstLine="510"/>
        <w:spacing w:after="0" w:line="244" w:lineRule="auto"/>
        <w:rPr>
          <w:sz w:val="20"/>
          <w:szCs w:val="20"/>
          <w:color w:val="auto"/>
        </w:rPr>
      </w:pPr>
      <w:r>
        <w:rPr>
          <w:rFonts w:ascii="Arial" w:cs="Arial" w:eastAsia="Arial" w:hAnsi="Arial"/>
          <w:sz w:val="21"/>
          <w:szCs w:val="21"/>
          <w:color w:val="auto"/>
        </w:rPr>
        <w:t>The Company regularly reviews its debt investment securities for declines in value below amortized cost that might be indicative of credit-related losses. In light of such reviews, there were no credit-related losses on debt investment securities recognized in either of the first quarters of 2020 or 2019 or in the final 2019 quarter. Based on management’s assessment of future cash flows associated with individual investment securities as of March 31, 2020, the Company did not expect to incur any material credit-related losses in its portfolios of debt investment securities. A further discussion of fair values of investment securities is included herein under the heading “Capital.” Additional information about the investment securities portfolio is included in notes 2 and 11 of Notes to Financial Statements.</w:t>
      </w:r>
    </w:p>
    <w:p>
      <w:pPr>
        <w:spacing w:after="0" w:line="88" w:lineRule="exact"/>
        <w:rPr>
          <w:sz w:val="20"/>
          <w:szCs w:val="20"/>
          <w:color w:val="auto"/>
        </w:rPr>
      </w:pPr>
    </w:p>
    <w:p>
      <w:pPr>
        <w:jc w:val="both"/>
        <w:ind w:firstLine="510"/>
        <w:spacing w:after="0" w:line="258" w:lineRule="auto"/>
        <w:rPr>
          <w:sz w:val="20"/>
          <w:szCs w:val="20"/>
          <w:color w:val="auto"/>
        </w:rPr>
      </w:pPr>
      <w:r>
        <w:rPr>
          <w:rFonts w:ascii="Arial" w:cs="Arial" w:eastAsia="Arial" w:hAnsi="Arial"/>
          <w:sz w:val="20"/>
          <w:szCs w:val="20"/>
          <w:color w:val="auto"/>
        </w:rPr>
        <w:t>Other earning assets include interest-bearing deposits at the Federal Reserve Bank of New York and other banks, trading account assets, federal funds sold and agreements to resell securities. Those other earning assets in the aggregate averaged $7.4 billion in the recently completed quarter, compared with $4.7 billion in the first quarter of 2019 and $10.3 billion in the final quarter of 2019. Interest-bearing deposits at banks averaged $6.1 billion, $4.6 billion and $8.9 billion during the three-month periods ended March 31, 2020, March 31, 2019 and December 31, 2019, respectively. The amounts of interest-bearing deposits at banks at the respective dates were predominantly comprised of deposits held at the Federal Reserve Bank of New York. The levels of those deposits often fluctuate due to changes in trust-related deposits of commercial entities, purchases or maturities of investment securities, or borrowings to manage the Company’s liquidity.</w:t>
      </w:r>
    </w:p>
    <w:p>
      <w:pPr>
        <w:spacing w:after="0" w:line="72"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21"/>
          <w:szCs w:val="21"/>
          <w:color w:val="auto"/>
        </w:rPr>
        <w:t>As a result of the changes described herein, average earning assets totaled $108.2 billion in the most recent quarter, compared with $106.1 billion and $110.6 billion in the first and fourth quarter of 2019, respectively.</w:t>
      </w:r>
    </w:p>
    <w:p>
      <w:pPr>
        <w:spacing w:after="0" w:line="64" w:lineRule="exact"/>
        <w:rPr>
          <w:sz w:val="20"/>
          <w:szCs w:val="20"/>
          <w:color w:val="auto"/>
        </w:rPr>
      </w:pPr>
    </w:p>
    <w:p>
      <w:pPr>
        <w:jc w:val="both"/>
        <w:ind w:firstLine="510"/>
        <w:spacing w:after="0" w:line="285" w:lineRule="auto"/>
        <w:rPr>
          <w:sz w:val="20"/>
          <w:szCs w:val="20"/>
          <w:color w:val="auto"/>
        </w:rPr>
      </w:pPr>
      <w:r>
        <w:rPr>
          <w:rFonts w:ascii="Arial" w:cs="Arial" w:eastAsia="Arial" w:hAnsi="Arial"/>
          <w:sz w:val="18"/>
          <w:szCs w:val="18"/>
          <w:color w:val="auto"/>
        </w:rPr>
        <w:t>The most significant source of funding for the Company is core deposits. The Company considers noninterest-bearing deposits, interest-bearing transaction accounts, savings deposits and time deposits of $250,000 or less as core deposits. The Company’s branch network is its principal source of core deposits, which generally carry lower interest rates than wholesale funds of comparable maturities. Average core deposits totaled $90.9 billion in the first quarter of 2020, $6.1 billion or 7% above $84.8 billion in the year-earlier quarter. Average balances of savings and interest-checking core deposits rose $4.4 billion or 9% to $53.6 billion in the initial 2020 quarter from $49.2 billion in the year-earlier quarter. That increase was predominantly due to higher residential mortgage escrow deposits resulting from additions to the Company’s servicing and sub-servicing portfolios in 2019 and higher commercial deposits. Average noninterest-bearing deposits increased $2.1 billion or 7% to $32.5 billion in the recent quarter from $30.3 billion in the first 2019 quarter. The recent quarter rise in average noninterest-bearing deposits was largely due to higher trust and commercial deposits, and mortgage escrow deposits. As noted earlier, in late March commercial customers drew down available lines of credit for liquidity purposes. A large portion of those funds were deposited in customer deposit accounts at M&amp;T Bank. The impact of those additional deposits is expected to have a more significant effect on average deposit account balances in the second quarter of 2020, to the extent such amounts remain on deposit with the Company. Average core deposits were $91.5 billion in the fourth quarter of 2019. Average savings and interest-checking core deposits declined $756 million or 1% in the initial 2020 quarter from $54.4 billion in the immediately preceding quarter. That decline reflected lower average commercial and mortgage escrow deposits. Average noninterest-bearing deposits in the recent quarter were $387 million or 1 % above the fourth quarter average of $32.1 billion due to higher trust-related deposits. The following table provides an analysis of quarterly changes in the components of average core deposits.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50" w:name="page51"/>
    <w:bookmarkEnd w:id="50"/>
    <w:p>
      <w:pPr>
        <w:spacing w:after="0"/>
        <w:rPr>
          <w:sz w:val="20"/>
          <w:szCs w:val="20"/>
          <w:color w:val="auto"/>
        </w:rPr>
      </w:pPr>
      <w:r>
        <w:rPr>
          <w:rFonts w:ascii="Arial" w:cs="Arial" w:eastAsia="Arial" w:hAnsi="Arial"/>
          <w:sz w:val="21"/>
          <w:szCs w:val="21"/>
          <w:color w:val="auto"/>
        </w:rPr>
        <w:t>AVERAGE CORE DEPOSITS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8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Percent Increase</w:t>
            </w:r>
          </w:p>
        </w:tc>
        <w:tc>
          <w:tcPr>
            <w:tcW w:w="0" w:type="dxa"/>
            <w:vAlign w:val="bottom"/>
          </w:tcPr>
          <w:p>
            <w:pPr>
              <w:spacing w:after="0"/>
              <w:rPr>
                <w:sz w:val="1"/>
                <w:szCs w:val="1"/>
                <w:color w:val="auto"/>
              </w:rPr>
            </w:pPr>
          </w:p>
        </w:tc>
      </w:tr>
      <w:tr>
        <w:trPr>
          <w:trHeight w:val="171"/>
        </w:trPr>
        <w:tc>
          <w:tcPr>
            <w:tcW w:w="5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1st Qtr.</w:t>
            </w:r>
          </w:p>
        </w:tc>
        <w:tc>
          <w:tcPr>
            <w:tcW w:w="218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(Decrease) from</w:t>
            </w:r>
          </w:p>
        </w:tc>
        <w:tc>
          <w:tcPr>
            <w:tcW w:w="0" w:type="dxa"/>
            <w:vAlign w:val="bottom"/>
          </w:tcPr>
          <w:p>
            <w:pPr>
              <w:spacing w:after="0"/>
              <w:rPr>
                <w:sz w:val="1"/>
                <w:szCs w:val="1"/>
                <w:color w:val="auto"/>
              </w:rPr>
            </w:pPr>
          </w:p>
        </w:tc>
      </w:tr>
      <w:tr>
        <w:trPr>
          <w:trHeight w:val="146"/>
        </w:trPr>
        <w:tc>
          <w:tcPr>
            <w:tcW w:w="5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880" w:type="dxa"/>
            <w:vAlign w:val="bottom"/>
            <w:tcBorders>
              <w:top w:val="single" w:sz="8" w:color="auto"/>
            </w:tcBorders>
            <w:gridSpan w:val="2"/>
          </w:tcPr>
          <w:p>
            <w:pPr>
              <w:jc w:val="right"/>
              <w:ind w:right="260"/>
              <w:spacing w:after="0" w:line="146" w:lineRule="exact"/>
              <w:rPr>
                <w:sz w:val="20"/>
                <w:szCs w:val="20"/>
                <w:color w:val="auto"/>
              </w:rPr>
            </w:pPr>
            <w:r>
              <w:rPr>
                <w:rFonts w:ascii="Arial" w:cs="Arial" w:eastAsia="Arial" w:hAnsi="Arial"/>
                <w:sz w:val="14"/>
                <w:szCs w:val="14"/>
                <w:b w:val="1"/>
                <w:bCs w:val="1"/>
                <w:color w:val="auto"/>
              </w:rPr>
              <w:t>1st Qtr.</w:t>
            </w:r>
          </w:p>
        </w:tc>
        <w:tc>
          <w:tcPr>
            <w:tcW w:w="2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96"/>
              <w:spacing w:after="0" w:line="146" w:lineRule="exact"/>
              <w:rPr>
                <w:sz w:val="20"/>
                <w:szCs w:val="20"/>
                <w:color w:val="auto"/>
              </w:rPr>
            </w:pPr>
            <w:r>
              <w:rPr>
                <w:rFonts w:ascii="Arial" w:cs="Arial" w:eastAsia="Arial" w:hAnsi="Arial"/>
                <w:sz w:val="14"/>
                <w:szCs w:val="14"/>
                <w:b w:val="1"/>
                <w:bCs w:val="1"/>
                <w:color w:val="auto"/>
              </w:rPr>
              <w:t>4th Qtr.</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6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4"/>
                <w:szCs w:val="14"/>
                <w:color w:val="auto"/>
              </w:rPr>
            </w:pPr>
          </w:p>
        </w:tc>
        <w:tc>
          <w:tcPr>
            <w:tcW w:w="82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5680" w:type="dxa"/>
            <w:vAlign w:val="bottom"/>
          </w:tcPr>
          <w:p>
            <w:pPr>
              <w:spacing w:after="0"/>
              <w:rPr>
                <w:sz w:val="20"/>
                <w:szCs w:val="20"/>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3"/>
        </w:trPr>
        <w:tc>
          <w:tcPr>
            <w:tcW w:w="5680" w:type="dxa"/>
            <w:vAlign w:val="bottom"/>
          </w:tcPr>
          <w:p>
            <w:pPr>
              <w:spacing w:after="0"/>
              <w:rPr>
                <w:sz w:val="20"/>
                <w:szCs w:val="20"/>
                <w:color w:val="auto"/>
              </w:rPr>
            </w:pPr>
            <w:r>
              <w:rPr>
                <w:rFonts w:ascii="Arial" w:cs="Arial" w:eastAsia="Arial" w:hAnsi="Arial"/>
                <w:sz w:val="18"/>
                <w:szCs w:val="18"/>
                <w:color w:val="auto"/>
              </w:rPr>
              <w:t>Savings and interest-checking deposits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53,648</w:t>
            </w:r>
          </w:p>
        </w:tc>
        <w:tc>
          <w:tcPr>
            <w:tcW w:w="3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Time deposits</w:t>
            </w: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4,800</w:t>
            </w:r>
          </w:p>
        </w:tc>
        <w:tc>
          <w:tcPr>
            <w:tcW w:w="3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5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Noninterest-bearing deposits</w:t>
            </w: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32,456</w:t>
            </w:r>
          </w:p>
        </w:tc>
        <w:tc>
          <w:tcPr>
            <w:tcW w:w="30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6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90,904</w:t>
            </w: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w:t>
            </w: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6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510"/>
        <w:spacing w:after="0" w:line="256" w:lineRule="auto"/>
        <w:rPr>
          <w:sz w:val="20"/>
          <w:szCs w:val="20"/>
          <w:color w:val="auto"/>
        </w:rPr>
      </w:pPr>
      <w:r>
        <w:rPr>
          <w:rFonts w:ascii="Arial" w:cs="Arial" w:eastAsia="Arial" w:hAnsi="Arial"/>
          <w:sz w:val="20"/>
          <w:szCs w:val="20"/>
          <w:color w:val="auto"/>
        </w:rPr>
        <w:t>The Company also receives funding from other deposit sources, including branch-related time deposits over $250,000, deposits associated with the Company’s Cayman Islands office and brokered deposits. Time deposits over $250,000, excluding brokered deposits, averaged $872 million in the recent quarter, compared with $1.0 billion in the first quarter of 2019 and $956 million in the final 2019 quarter. The decreases in such deposits since the first quarter of 2019 were predominantly the result of maturities of higher-rate time deposits. Cayman Islands office deposits averaged $1.7 billion in each of the first quarter of 2020 and the final quarter of 2019, compared with $972 million in the initial 2019 quarter. The increases in such deposits in the two most recent quarters as compared with the first quarter of 2019 were the result of customers’ desire to sweep their deposit balances into higher earning products. However, balances of Cayman Islands office deposits at March 31, 2020 declined to $1.2 billion from $1.7 billion at December 31, 2019, largely reflecting customer reaction to the declines in short-term interest rates that followed actions by the Federal Reserve in March 2020. The Company had brokered savings and interest-bearing transaction accounts, which in the aggregate averaged $2.7 billion during each of the first quarter of 2020 and the fourth quarter of 2019 and $2.9 billion in the first quarter of 2019. The amounts of Cayman Islands office deposits or brokered deposits is largely dependent on demand by customers and other investors for those types of deposit products.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51" w:name="page52"/>
    <w:bookmarkEnd w:id="51"/>
    <w:p>
      <w:pPr>
        <w:ind w:left="760"/>
        <w:spacing w:after="0"/>
        <w:rPr>
          <w:sz w:val="20"/>
          <w:szCs w:val="20"/>
          <w:color w:val="auto"/>
        </w:rPr>
      </w:pPr>
      <w:r>
        <w:rPr>
          <w:rFonts w:ascii="Arial" w:cs="Arial" w:eastAsia="Arial" w:hAnsi="Arial"/>
          <w:sz w:val="18"/>
          <w:szCs w:val="18"/>
          <w:color w:val="auto"/>
        </w:rPr>
        <w:t>The table below summarizes average total deposits for the quarters ended March 31, 2020, December 31, 2019 and March 31,</w:t>
      </w:r>
    </w:p>
    <w:p>
      <w:pPr>
        <w:spacing w:after="0" w:line="54" w:lineRule="exact"/>
        <w:rPr>
          <w:sz w:val="20"/>
          <w:szCs w:val="20"/>
          <w:color w:val="auto"/>
        </w:rPr>
      </w:pPr>
    </w:p>
    <w:p>
      <w:pPr>
        <w:spacing w:after="0"/>
        <w:rPr>
          <w:sz w:val="20"/>
          <w:szCs w:val="20"/>
          <w:color w:val="auto"/>
        </w:rPr>
      </w:pPr>
      <w:r>
        <w:rPr>
          <w:rFonts w:ascii="Arial" w:cs="Arial" w:eastAsia="Arial" w:hAnsi="Arial"/>
          <w:sz w:val="21"/>
          <w:szCs w:val="21"/>
          <w:color w:val="auto"/>
        </w:rPr>
        <w:t>2019.</w:t>
      </w:r>
    </w:p>
    <w:p>
      <w:pPr>
        <w:spacing w:after="0" w:line="91" w:lineRule="exact"/>
        <w:rPr>
          <w:sz w:val="20"/>
          <w:szCs w:val="20"/>
          <w:color w:val="auto"/>
        </w:rPr>
      </w:pPr>
    </w:p>
    <w:p>
      <w:pPr>
        <w:spacing w:after="0"/>
        <w:rPr>
          <w:sz w:val="20"/>
          <w:szCs w:val="20"/>
          <w:color w:val="auto"/>
        </w:rPr>
      </w:pPr>
      <w:r>
        <w:rPr>
          <w:rFonts w:ascii="Arial" w:cs="Arial" w:eastAsia="Arial" w:hAnsi="Arial"/>
          <w:sz w:val="21"/>
          <w:szCs w:val="21"/>
          <w:color w:val="auto"/>
        </w:rPr>
        <w:t>AVERAGE DEPOSITS</w:t>
      </w:r>
    </w:p>
    <w:tbl>
      <w:tblPr>
        <w:tblLayout w:type="fixed"/>
        <w:tblInd w:w="0" w:type="dxa"/>
        <w:tblCellMar>
          <w:top w:w="0" w:type="dxa"/>
          <w:left w:w="0" w:type="dxa"/>
          <w:bottom w:w="0" w:type="dxa"/>
          <w:right w:w="0" w:type="dxa"/>
        </w:tblCellMar>
      </w:tblPr>
      <w:tr>
        <w:trPr>
          <w:trHeight w:val="154"/>
        </w:trPr>
        <w:tc>
          <w:tcPr>
            <w:tcW w:w="40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Retail</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Trust</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right"/>
              <w:ind w:right="72"/>
              <w:spacing w:after="0" w:line="154" w:lineRule="exact"/>
              <w:rPr>
                <w:sz w:val="20"/>
                <w:szCs w:val="20"/>
                <w:color w:val="auto"/>
              </w:rPr>
            </w:pPr>
            <w:r>
              <w:rPr>
                <w:rFonts w:ascii="Arial" w:cs="Arial" w:eastAsia="Arial" w:hAnsi="Arial"/>
                <w:sz w:val="14"/>
                <w:szCs w:val="14"/>
                <w:b w:val="1"/>
                <w:bCs w:val="1"/>
                <w:color w:val="auto"/>
                <w:w w:val="94"/>
              </w:rPr>
              <w:t>Commercial</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ind w:right="132"/>
              <w:spacing w:after="0"/>
              <w:rPr>
                <w:sz w:val="20"/>
                <w:szCs w:val="20"/>
                <w:color w:val="auto"/>
              </w:rPr>
            </w:pPr>
            <w:r>
              <w:rPr>
                <w:rFonts w:ascii="Arial" w:cs="Arial" w:eastAsia="Arial" w:hAnsi="Arial"/>
                <w:sz w:val="14"/>
                <w:szCs w:val="14"/>
                <w:b w:val="1"/>
                <w:bCs w:val="1"/>
                <w:color w:val="auto"/>
              </w:rPr>
              <w:t>and Other</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1"/>
        </w:trPr>
        <w:tc>
          <w:tcPr>
            <w:tcW w:w="4000" w:type="dxa"/>
            <w:vAlign w:val="bottom"/>
            <w:vMerge w:val="restart"/>
          </w:tcPr>
          <w:p>
            <w:pPr>
              <w:spacing w:after="0"/>
              <w:rPr>
                <w:sz w:val="20"/>
                <w:szCs w:val="20"/>
                <w:color w:val="auto"/>
              </w:rPr>
            </w:pPr>
            <w:r>
              <w:rPr>
                <w:rFonts w:ascii="Arial" w:cs="Arial" w:eastAsia="Arial" w:hAnsi="Arial"/>
                <w:sz w:val="18"/>
                <w:szCs w:val="18"/>
                <w:b w:val="1"/>
                <w:bCs w:val="1"/>
                <w:color w:val="auto"/>
              </w:rPr>
              <w:t>Three Months Ended March 31, 2020</w:t>
            </w:r>
          </w:p>
        </w:tc>
        <w:tc>
          <w:tcPr>
            <w:tcW w:w="84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900" w:type="dxa"/>
            <w:vAlign w:val="bottom"/>
            <w:tcBorders>
              <w:top w:val="single" w:sz="8" w:color="auto"/>
            </w:tcBorders>
            <w:gridSpan w:val="4"/>
          </w:tcPr>
          <w:p>
            <w:pPr>
              <w:jc w:val="right"/>
              <w:ind w:right="572"/>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4000" w:type="dxa"/>
            <w:vAlign w:val="bottom"/>
            <w:vMerge w:val="continue"/>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Savings and interest-checking deposits</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26,920</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6,181</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23,265</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56,366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tcPr>
          <w:p>
            <w:pPr>
              <w:spacing w:after="0"/>
              <w:rPr>
                <w:sz w:val="20"/>
                <w:szCs w:val="20"/>
                <w:color w:val="auto"/>
              </w:rPr>
            </w:pPr>
            <w:r>
              <w:rPr>
                <w:rFonts w:ascii="Arial" w:cs="Arial" w:eastAsia="Arial" w:hAnsi="Arial"/>
                <w:sz w:val="18"/>
                <w:szCs w:val="18"/>
                <w:color w:val="auto"/>
              </w:rPr>
              <w:t>Time deposits</w:t>
            </w: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5,265</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355</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5,672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Noninterest-bearing deposits</w:t>
            </w: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5,661</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5,080</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21,715</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32,456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Deposits at Cayman Islands office</w:t>
            </w:r>
          </w:p>
        </w:tc>
        <w:tc>
          <w:tcPr>
            <w:tcW w:w="8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1,672</w:t>
            </w:r>
          </w:p>
        </w:tc>
        <w:tc>
          <w:tcPr>
            <w:tcW w:w="2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1,672</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8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37,846</w:t>
            </w: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11,313</w:t>
            </w:r>
          </w:p>
        </w:tc>
        <w:tc>
          <w:tcPr>
            <w:tcW w:w="2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47,007</w:t>
            </w:r>
          </w:p>
        </w:tc>
        <w:tc>
          <w:tcPr>
            <w:tcW w:w="2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96,166</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Arial" w:cs="Arial" w:eastAsia="Arial" w:hAnsi="Arial"/>
                <w:sz w:val="18"/>
                <w:szCs w:val="18"/>
                <w:b w:val="1"/>
                <w:bCs w:val="1"/>
                <w:color w:val="auto"/>
              </w:rPr>
              <w:t>Three Months Ended December 31, 2019</w:t>
            </w:r>
          </w:p>
        </w:tc>
        <w:tc>
          <w:tcPr>
            <w:tcW w:w="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400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Savings and interest-checking deposits</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26,445</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6,532</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24,126</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57,103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tcPr>
          <w:p>
            <w:pPr>
              <w:spacing w:after="0"/>
              <w:rPr>
                <w:sz w:val="20"/>
                <w:szCs w:val="20"/>
                <w:color w:val="auto"/>
              </w:rPr>
            </w:pPr>
            <w:r>
              <w:rPr>
                <w:rFonts w:ascii="Arial" w:cs="Arial" w:eastAsia="Arial" w:hAnsi="Arial"/>
                <w:sz w:val="18"/>
                <w:szCs w:val="18"/>
                <w:color w:val="auto"/>
              </w:rPr>
              <w:t>Time deposits</w:t>
            </w: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5,566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396</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6,015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Noninterest-bearing deposits</w:t>
            </w: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5,409</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4,672</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21,988</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32,069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Deposits at Cayman Islands office</w:t>
            </w:r>
          </w:p>
        </w:tc>
        <w:tc>
          <w:tcPr>
            <w:tcW w:w="8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1,716</w:t>
            </w:r>
          </w:p>
        </w:tc>
        <w:tc>
          <w:tcPr>
            <w:tcW w:w="2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1,716</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8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37,420</w:t>
            </w: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11,257</w:t>
            </w:r>
          </w:p>
        </w:tc>
        <w:tc>
          <w:tcPr>
            <w:tcW w:w="2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48,226</w:t>
            </w:r>
          </w:p>
        </w:tc>
        <w:tc>
          <w:tcPr>
            <w:tcW w:w="2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96,903</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Arial" w:cs="Arial" w:eastAsia="Arial" w:hAnsi="Arial"/>
                <w:sz w:val="18"/>
                <w:szCs w:val="18"/>
                <w:b w:val="1"/>
                <w:bCs w:val="1"/>
                <w:color w:val="auto"/>
              </w:rPr>
              <w:t>Three Months Ended March 31, 2019</w:t>
            </w:r>
          </w:p>
        </w:tc>
        <w:tc>
          <w:tcPr>
            <w:tcW w:w="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400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Savings and interest-checking deposits</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27,279</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6,360</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18,456</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52,095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tcPr>
          <w:p>
            <w:pPr>
              <w:spacing w:after="0"/>
              <w:rPr>
                <w:sz w:val="20"/>
                <w:szCs w:val="20"/>
                <w:color w:val="auto"/>
              </w:rPr>
            </w:pPr>
            <w:r>
              <w:rPr>
                <w:rFonts w:ascii="Arial" w:cs="Arial" w:eastAsia="Arial" w:hAnsi="Arial"/>
                <w:sz w:val="18"/>
                <w:szCs w:val="18"/>
                <w:color w:val="auto"/>
              </w:rPr>
              <w:t>Time deposits</w:t>
            </w: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5,792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517</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6,351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Noninterest-bearing deposits</w:t>
            </w: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5,214</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3,979</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21,122</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30,315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Deposits at Cayman Islands office</w:t>
            </w:r>
          </w:p>
        </w:tc>
        <w:tc>
          <w:tcPr>
            <w:tcW w:w="8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972</w:t>
            </w:r>
          </w:p>
        </w:tc>
        <w:tc>
          <w:tcPr>
            <w:tcW w:w="2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972</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8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38,285</w:t>
            </w: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10,381</w:t>
            </w:r>
          </w:p>
        </w:tc>
        <w:tc>
          <w:tcPr>
            <w:tcW w:w="2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41,067</w:t>
            </w:r>
          </w:p>
        </w:tc>
        <w:tc>
          <w:tcPr>
            <w:tcW w:w="2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89,733</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firstLine="510"/>
        <w:spacing w:after="0" w:line="260" w:lineRule="auto"/>
        <w:rPr>
          <w:sz w:val="20"/>
          <w:szCs w:val="20"/>
          <w:color w:val="auto"/>
        </w:rPr>
      </w:pPr>
      <w:r>
        <w:rPr>
          <w:rFonts w:ascii="Arial" w:cs="Arial" w:eastAsia="Arial" w:hAnsi="Arial"/>
          <w:sz w:val="20"/>
          <w:szCs w:val="20"/>
          <w:color w:val="auto"/>
        </w:rPr>
        <w:t>The Company also uses borrowings from banks, securities dealers, various Federal Home Loan Banks, the Federal Reserve Bank of New York and others as sources of funding. Short-term borrowings represent borrowing arrangements that at the time they were entered into had a contractual maturity of one year or less. Average short-term borrowings totaled $58 million in the initial 2020 quarter, compared with $1.1 billion in the year-earlier quarter and $675 million in the final quarter of 2019. Short-term borrowings from Federal Home Loan Banks averaged $718 million in the first quarter of 2019 and $548 million in the fourth quarter of 2019. There were no such borrowings outstanding in the initial 2020 quarter.</w:t>
      </w:r>
    </w:p>
    <w:p>
      <w:pPr>
        <w:spacing w:after="0" w:line="69" w:lineRule="exact"/>
        <w:rPr>
          <w:sz w:val="20"/>
          <w:szCs w:val="20"/>
          <w:color w:val="auto"/>
        </w:rPr>
      </w:pPr>
    </w:p>
    <w:p>
      <w:pPr>
        <w:jc w:val="both"/>
        <w:ind w:firstLine="510"/>
        <w:spacing w:after="0" w:line="270" w:lineRule="auto"/>
        <w:rPr>
          <w:sz w:val="20"/>
          <w:szCs w:val="20"/>
          <w:color w:val="auto"/>
        </w:rPr>
      </w:pPr>
      <w:r>
        <w:rPr>
          <w:rFonts w:ascii="Arial" w:cs="Arial" w:eastAsia="Arial" w:hAnsi="Arial"/>
          <w:sz w:val="19"/>
          <w:szCs w:val="19"/>
          <w:color w:val="auto"/>
        </w:rPr>
        <w:t>Long-term borrowings averaged $6.2 billion in the recent quarter, compared with $8.5 billion and $6.9 billion in the first and fourth quarters of 2019, respectively. Average balances of outstanding senior notes were $4.2 billion, $5.5 billion and $4.9 billion during the three months ended March 31, 2020, March 31, 2019 and December 31, 2019, respectively. On January 7, 2020, M&amp;T Bank, the principal bank subsidiary of M&amp;T, redeemed $750 million of fixed rate senior notes that were due to mature on February 6, 2020. Also included in average long-term borrowings were amounts borrowed from the Federal Home Loan Banks of New York and Pittsburgh of $2 million in each of the two most recent quarters and $576 million during the first quarter of 2019. Subordinated capital notes included in long-term borrowings averaged $1.4 billion in each of the three-month periods ended March 31, 2020, March 31, 2019 and December 31, 2019. Junior subordinated debentures associated with trust preferred securities that were included in average long-term borrowings were $525 million in each of the three-month periods ended March 31, 2020 and December 31, 2019 and $522 million during the initial three months of 2019. Additional information regarding junior subordinated debentures is provided in note 4 of Notes to Financial Statements. Long-term borrowings also included agreements to repurchase securities, which averaged $101 million in the first quarter of 2020, $408 million in the year-earlier quarter and $102 million in the fourth quarter of 2019. The repurchase agreement held at March 31, 2020 totaled $101 million and matures in July 2020, however, the contractual maturities of the underlying securities extend beyond such repurchase date.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52" w:name="page53"/>
    <w:bookmarkEnd w:id="52"/>
    <w:p>
      <w:pPr>
        <w:jc w:val="both"/>
        <w:ind w:firstLine="510"/>
        <w:spacing w:after="0" w:line="272" w:lineRule="auto"/>
        <w:rPr>
          <w:sz w:val="20"/>
          <w:szCs w:val="20"/>
          <w:color w:val="auto"/>
        </w:rPr>
      </w:pPr>
      <w:r>
        <w:rPr>
          <w:rFonts w:ascii="Arial" w:cs="Arial" w:eastAsia="Arial" w:hAnsi="Arial"/>
          <w:sz w:val="19"/>
          <w:szCs w:val="19"/>
          <w:color w:val="auto"/>
        </w:rPr>
        <w:t>Net interest income can be impacted by changes in the composition of the Company’s earning assets and interest-bearing liabilities, as discussed herein, as well as changes in interest rates and spreads. Net interest spread, or the difference between the taxable-equivalent yield on earning assets and the rate paid on interest-bearing liabilities, was 3.35% in the recent quarter, compared with 3.67% in the initial 2019 quarter. The yield on earning assets during the first three months of 2020 was 4.18%, down 53 basis points from 4.71% in the similar 2019 period, while the rate paid on interest-bearing liabilities declined 21 basis points to .83% in the recent quarter from 1.04% in the year-earlier period. The narrowing of the net interest spread in the recent quarter as compared with the corresponding 2019 period reflects the decreases in short-term interest rates initiated by the Federal Reserve during the second half of 2019 and, to a lesser degree, in March 2020. In the fourth quarter of 2019, the net interest spread was 3.30%, the yield on earning assets was 4.27% and the rate paid on interest-bearing liabilities was .97%.</w:t>
      </w:r>
    </w:p>
    <w:p>
      <w:pPr>
        <w:spacing w:after="0" w:line="64" w:lineRule="exact"/>
        <w:rPr>
          <w:sz w:val="20"/>
          <w:szCs w:val="20"/>
          <w:color w:val="auto"/>
        </w:rPr>
      </w:pPr>
    </w:p>
    <w:p>
      <w:pPr>
        <w:jc w:val="both"/>
        <w:ind w:firstLine="510"/>
        <w:spacing w:after="0" w:line="267" w:lineRule="auto"/>
        <w:rPr>
          <w:sz w:val="20"/>
          <w:szCs w:val="20"/>
          <w:color w:val="auto"/>
        </w:rPr>
      </w:pPr>
      <w:r>
        <w:rPr>
          <w:rFonts w:ascii="Arial" w:cs="Arial" w:eastAsia="Arial" w:hAnsi="Arial"/>
          <w:sz w:val="19"/>
          <w:szCs w:val="19"/>
          <w:color w:val="auto"/>
        </w:rPr>
        <w:t>Net interest-free funds consist largely of noninterest-bearing demand deposits and shareholders’ equity, partially offset by bank owned life insurance and non-earning assets, including goodwill and core deposit and other intangible assets. Net interest-free funds averaged $38.2 billion in the first three months of 2020, compared with $37.1 billion in the initial 2019 quarter and $38.1 billion in the fourth quarter of 2019. The increase in average net interest-free funds in the most recent quarter as compared with the first quarter of 2019 reflects higher average balances of noninterest-bearing deposits. Those deposits averaged $32.5 billion, $30.3 billion and $32.1 billion in the quarters ended March 31, 2020, March 31, 2019 and December 31, 2019, respectively. The rise in such balances in the recent quarter as compared with the initial quarter of 2019 was due to increased levels of deposits of commercial and trust customers. Partially offsetting the higher average balances of noninterest-bearing deposits in the initial 2020 quarter were increased average balances of mortgage servicing advances. Shareholders’ equity averaged $15.7 billion during the three-month period ended March 31, 2020, $15.6 billion during the three-month period ended March 31, 2019 and $15.8 billion during the three-month period ended December 31, 2019. Goodwill and core deposit and other intangible assets averaged $4.6 billion in each of the two most recent quarters and the quarter ended March 31, 2019. The cash surrender value of bank owned life insurance averaged $1.8 billion in each of the three-month periods ended March 31, 2020, March 31, 2019 and December 31, 2019. Increases in the cash surrender value of bank owned life insurance and benefits received are not included in interest income, but rather are recorded in “other revenues from operations.” The contribution of net interest-free funds to net interest margin was .30% in the first quarter of 2020, compared with</w:t>
      </w:r>
    </w:p>
    <w:p>
      <w:pPr>
        <w:spacing w:after="0" w:line="13" w:lineRule="exact"/>
        <w:rPr>
          <w:sz w:val="20"/>
          <w:szCs w:val="20"/>
          <w:color w:val="auto"/>
        </w:rPr>
      </w:pPr>
    </w:p>
    <w:p>
      <w:pPr>
        <w:jc w:val="both"/>
        <w:spacing w:after="0" w:line="243" w:lineRule="auto"/>
        <w:rPr>
          <w:sz w:val="20"/>
          <w:szCs w:val="20"/>
          <w:color w:val="auto"/>
        </w:rPr>
      </w:pPr>
      <w:r>
        <w:rPr>
          <w:rFonts w:ascii="Arial" w:cs="Arial" w:eastAsia="Arial" w:hAnsi="Arial"/>
          <w:sz w:val="21"/>
          <w:szCs w:val="21"/>
          <w:color w:val="auto"/>
        </w:rPr>
        <w:t>.37% and .34% in the first quarter of 2019 and fourth quarter of 2019, respectively. The reduced contribution of net interest-free funds to net interest margin in the recent quarter as compared with the first and fourth quarters of 2019 reflects the lower rates on interest-bearing liabilities used to value net interest-free funds.</w:t>
      </w:r>
    </w:p>
    <w:p>
      <w:pPr>
        <w:spacing w:after="0" w:line="85" w:lineRule="exact"/>
        <w:rPr>
          <w:sz w:val="20"/>
          <w:szCs w:val="20"/>
          <w:color w:val="auto"/>
        </w:rPr>
      </w:pPr>
    </w:p>
    <w:p>
      <w:pPr>
        <w:jc w:val="both"/>
        <w:ind w:firstLine="510"/>
        <w:spacing w:after="0" w:line="246" w:lineRule="auto"/>
        <w:rPr>
          <w:sz w:val="20"/>
          <w:szCs w:val="20"/>
          <w:color w:val="auto"/>
        </w:rPr>
      </w:pPr>
      <w:r>
        <w:rPr>
          <w:rFonts w:ascii="Arial" w:cs="Arial" w:eastAsia="Arial" w:hAnsi="Arial"/>
          <w:sz w:val="21"/>
          <w:szCs w:val="21"/>
          <w:color w:val="auto"/>
        </w:rPr>
        <w:t>Reflecting the changes to the net interest spread and the contribution of interest-free funds as described herein, the Company’s net interest margin was 3.65% in the first quarter of 2020, compared with 4.04% in the similar 2019 period and 3.64% in the fourth quarter of 2019. Future changes in market interest rates or spreads, as well as changes in the composition of the Company’s portfolios of earning assets and interest-bearing liabilities that result in reductions in spreads, could adversely impact the Company’s net interest income and net interest margin.</w:t>
      </w:r>
    </w:p>
    <w:p>
      <w:pPr>
        <w:spacing w:after="0" w:line="84" w:lineRule="exact"/>
        <w:rPr>
          <w:sz w:val="20"/>
          <w:szCs w:val="20"/>
          <w:color w:val="auto"/>
        </w:rPr>
      </w:pPr>
    </w:p>
    <w:p>
      <w:pPr>
        <w:jc w:val="both"/>
        <w:ind w:firstLine="510"/>
        <w:spacing w:after="0" w:line="287" w:lineRule="auto"/>
        <w:rPr>
          <w:sz w:val="20"/>
          <w:szCs w:val="20"/>
          <w:color w:val="auto"/>
        </w:rPr>
      </w:pPr>
      <w:r>
        <w:rPr>
          <w:rFonts w:ascii="Arial" w:cs="Arial" w:eastAsia="Arial" w:hAnsi="Arial"/>
          <w:sz w:val="18"/>
          <w:szCs w:val="18"/>
          <w:color w:val="auto"/>
        </w:rPr>
        <w:t>Management assesses the potential impact of future changes in interest rates and spreads by projecting net interest income under several interest rate scenarios. In managing interest rate risk, the Company has utilized interest rate swap agreements to modify the repricing characteristics of certain portions of its earning assets and interest-bearing liabilities. Periodic settlement amounts arising from these agreements are reflected in either the yields on earning assets or the rates paid on interest-bearing liabilities. The notional amount of interest rate swap agreements entered into for interest rate risk management purposes was $16.4 billion (excluding $41.8 billion of forward-starting swap agreements) at March 31, 2020, $17.8 billion (excluding $16.4 billion of forward-starting swap agreements) at March 31, 2019 and $17.2 billion (excluding $40.4 billion of forward-starting swap agreements) at December 31, 2019. Under the terms of those interest rate swap agreements, the Company received payments based on the outstanding notional amount at fixed rates and made payments at variable rates. Interest rate swap agreements with notional amounts of $13.35 billion that were in effect at each of March 31, 2020, March 31, 2019 and December 31, 2019 were serving as cash flow hedges of interest payments associated with variable rate commercial real estate loans. At March 31, 2020, March 31, 2019 and December 31, 2019, interest rate swap agreements with notional amounts of $3.05 billion, $4.45 billion and $3.80 billion, respectively, were serving as fair</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53" w:name="page54"/>
    <w:bookmarkEnd w:id="53"/>
    <w:p>
      <w:pPr>
        <w:jc w:val="both"/>
        <w:spacing w:after="0" w:line="252" w:lineRule="auto"/>
        <w:rPr>
          <w:sz w:val="20"/>
          <w:szCs w:val="20"/>
          <w:color w:val="auto"/>
        </w:rPr>
      </w:pPr>
      <w:r>
        <w:rPr>
          <w:rFonts w:ascii="Arial" w:cs="Arial" w:eastAsia="Arial" w:hAnsi="Arial"/>
          <w:sz w:val="21"/>
          <w:szCs w:val="21"/>
          <w:color w:val="auto"/>
        </w:rPr>
        <w:t>value hedges of fixed rate long-term borrowings. The Company has entered into forward-starting interest rate swap agreements predominantly to extend the term of its interest rate swap agreements serving as cash flow hedges, and provide a hedge against changing interest rates on certain of its variable rate loans.</w:t>
      </w:r>
    </w:p>
    <w:p>
      <w:pPr>
        <w:spacing w:after="0" w:line="75"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9"/>
          <w:szCs w:val="19"/>
          <w:color w:val="auto"/>
        </w:rPr>
        <w:t>In a fair value hedge, the fair value of the derivative (the interest rate swap agreement) and changes in the fair value of the hedged item are recorded in the Company’s consolidated balance sheet with the corresponding gain or loss recognized in current earnings. The difference between changes in the fair value of the interest rate swap agreements and the hedged items represents hedge ineffectiveness and is recorded as an adjustment to the interest income or interest expense of the respective hedged item. In a cash flow hedge, the effective portion of the derivative’s gain or loss is initially reported as a component of other comprehensive income and subsequently reclassified into earnings when the forecasted transaction affects earnings. The ineffective portion of the derivative’s gain or loss on cash flow hedges is accounted for similar to that associated with fair value hedges. The amounts of hedge ineffectiveness recognized during each of the quarters ended March 31, 2020, March 31, 2019 and December 31, 2019 were not material to the Company’s consolidated results of operations. Information regarding the fair value of interest rate swap agreements and hedge ineffectiveness is presented in note 9 of Notes to Financial Statements. The changes in the fair values of the interest rate swap agreements and the hedged items primarily result from the effects of changing interest rates and spreads.</w:t>
      </w:r>
    </w:p>
    <w:p>
      <w:pPr>
        <w:spacing w:after="0" w:line="64"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9"/>
          <w:szCs w:val="19"/>
          <w:color w:val="auto"/>
        </w:rPr>
        <w:t>The weighted-average rates to be received and paid under interest rate swap agreements currently in effect were 2.54% and 1.14%, respectively, at March 31, 2020. The average notional amounts of interest rate swap agreements entered into for interest rate risk management purposes, the related effect on net interest income and margin, and the weighted-average interest rates paid or received on those swap agreements are presented in the accompanying table. Additional information about the Company’s use of interest rate swap agreements and other derivatives is included in note 9 of Notes to Financial Statements.</w:t>
      </w:r>
    </w:p>
    <w:p>
      <w:pPr>
        <w:spacing w:after="0" w:line="51" w:lineRule="exact"/>
        <w:rPr>
          <w:sz w:val="20"/>
          <w:szCs w:val="20"/>
          <w:color w:val="auto"/>
        </w:rPr>
      </w:pPr>
    </w:p>
    <w:p>
      <w:pPr>
        <w:spacing w:after="0"/>
        <w:rPr>
          <w:sz w:val="20"/>
          <w:szCs w:val="20"/>
          <w:color w:val="auto"/>
        </w:rPr>
      </w:pPr>
      <w:r>
        <w:rPr>
          <w:rFonts w:ascii="Arial" w:cs="Arial" w:eastAsia="Arial" w:hAnsi="Arial"/>
          <w:sz w:val="21"/>
          <w:szCs w:val="21"/>
          <w:color w:val="auto"/>
        </w:rPr>
        <w:t>INTEREST RATE SWAP AGREEMENTS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00" w:type="dxa"/>
            <w:vAlign w:val="bottom"/>
            <w:vMerge w:val="restart"/>
          </w:tcPr>
          <w:p>
            <w:pPr>
              <w:ind w:left="24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6"/>
          </w:tcPr>
          <w:p>
            <w:pPr>
              <w:jc w:val="center"/>
              <w:ind w:right="360"/>
              <w:spacing w:after="0"/>
              <w:rPr>
                <w:sz w:val="20"/>
                <w:szCs w:val="20"/>
                <w:color w:val="auto"/>
              </w:rPr>
            </w:pPr>
            <w:r>
              <w:rPr>
                <w:rFonts w:ascii="Arial" w:cs="Arial" w:eastAsia="Arial" w:hAnsi="Arial"/>
                <w:sz w:val="14"/>
                <w:szCs w:val="14"/>
                <w:b w:val="1"/>
                <w:bCs w:val="1"/>
                <w:color w:val="auto"/>
                <w:w w:val="95"/>
              </w:rPr>
              <w:t>Three Months Ended March 31</w:t>
            </w:r>
          </w:p>
        </w:tc>
        <w:tc>
          <w:tcPr>
            <w:tcW w:w="6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000" w:type="dxa"/>
            <w:vAlign w:val="bottom"/>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2"/>
          </w:tcPr>
          <w:p>
            <w:pPr>
              <w:jc w:val="right"/>
              <w:ind w:right="280"/>
              <w:spacing w:after="0" w:line="155" w:lineRule="exact"/>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2"/>
          </w:tcPr>
          <w:p>
            <w:pPr>
              <w:jc w:val="right"/>
              <w:ind w:right="280"/>
              <w:spacing w:after="0" w:line="155" w:lineRule="exact"/>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0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2"/>
          </w:tcPr>
          <w:p>
            <w:pPr>
              <w:jc w:val="right"/>
              <w:ind w:right="700"/>
              <w:spacing w:after="0" w:line="155" w:lineRule="exact"/>
              <w:rPr>
                <w:sz w:val="20"/>
                <w:szCs w:val="20"/>
                <w:color w:val="auto"/>
              </w:rPr>
            </w:pPr>
            <w:r>
              <w:rPr>
                <w:rFonts w:ascii="Arial" w:cs="Arial" w:eastAsia="Arial" w:hAnsi="Arial"/>
                <w:sz w:val="14"/>
                <w:szCs w:val="14"/>
                <w:b w:val="1"/>
                <w:bCs w:val="1"/>
                <w:color w:val="auto"/>
              </w:rPr>
              <w:t>Amount</w:t>
            </w:r>
          </w:p>
        </w:tc>
        <w:tc>
          <w:tcPr>
            <w:tcW w:w="6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Rate(a)</w:t>
            </w: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2"/>
          </w:tcPr>
          <w:p>
            <w:pPr>
              <w:jc w:val="right"/>
              <w:ind w:right="720"/>
              <w:spacing w:after="0" w:line="155" w:lineRule="exact"/>
              <w:rPr>
                <w:sz w:val="20"/>
                <w:szCs w:val="20"/>
                <w:color w:val="auto"/>
              </w:rPr>
            </w:pPr>
            <w:r>
              <w:rPr>
                <w:rFonts w:ascii="Arial" w:cs="Arial" w:eastAsia="Arial" w:hAnsi="Arial"/>
                <w:sz w:val="14"/>
                <w:szCs w:val="14"/>
                <w:b w:val="1"/>
                <w:bCs w:val="1"/>
                <w:color w:val="auto"/>
              </w:rPr>
              <w:t>Amount</w:t>
            </w:r>
          </w:p>
        </w:tc>
        <w:tc>
          <w:tcPr>
            <w:tcW w:w="640" w:type="dxa"/>
            <w:vAlign w:val="bottom"/>
            <w:tcBorders>
              <w:bottom w:val="single" w:sz="8" w:color="auto"/>
            </w:tcBorders>
          </w:tcPr>
          <w:p>
            <w:pPr>
              <w:jc w:val="right"/>
              <w:ind w:right="13"/>
              <w:spacing w:after="0" w:line="155" w:lineRule="exact"/>
              <w:rPr>
                <w:sz w:val="20"/>
                <w:szCs w:val="20"/>
                <w:color w:val="auto"/>
              </w:rPr>
            </w:pPr>
            <w:r>
              <w:rPr>
                <w:rFonts w:ascii="Arial" w:cs="Arial" w:eastAsia="Arial" w:hAnsi="Arial"/>
                <w:sz w:val="14"/>
                <w:szCs w:val="14"/>
                <w:b w:val="1"/>
                <w:bCs w:val="1"/>
                <w:color w:val="auto"/>
              </w:rPr>
              <w:t>Rate(a)</w:t>
            </w:r>
          </w:p>
        </w:tc>
        <w:tc>
          <w:tcPr>
            <w:tcW w:w="4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540" w:type="dxa"/>
            <w:vAlign w:val="bottom"/>
            <w:gridSpan w:val="6"/>
          </w:tcPr>
          <w:p>
            <w:pPr>
              <w:jc w:val="center"/>
              <w:ind w:right="380"/>
              <w:spacing w:after="0"/>
              <w:rPr>
                <w:sz w:val="20"/>
                <w:szCs w:val="20"/>
                <w:color w:val="auto"/>
              </w:rPr>
            </w:pPr>
            <w:r>
              <w:rPr>
                <w:rFonts w:ascii="Arial" w:cs="Arial" w:eastAsia="Arial" w:hAnsi="Arial"/>
                <w:sz w:val="14"/>
                <w:szCs w:val="14"/>
                <w:b w:val="1"/>
                <w:bCs w:val="1"/>
                <w:color w:val="auto"/>
                <w:w w:val="91"/>
              </w:rPr>
              <w:t>(Dollars in thousands)</w:t>
            </w:r>
          </w:p>
        </w:tc>
        <w:tc>
          <w:tcPr>
            <w:tcW w:w="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Increase (decrease) in:</w:t>
            </w: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32,041</w:t>
            </w:r>
          </w:p>
        </w:tc>
        <w:tc>
          <w:tcPr>
            <w:tcW w:w="4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36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6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(6,625)</w:t>
            </w:r>
          </w:p>
        </w:tc>
        <w:tc>
          <w:tcPr>
            <w:tcW w:w="1100" w:type="dxa"/>
            <w:vAlign w:val="bottom"/>
            <w:gridSpan w:val="2"/>
          </w:tcPr>
          <w:p>
            <w:pPr>
              <w:jc w:val="right"/>
              <w:ind w:right="110"/>
              <w:spacing w:after="0"/>
              <w:rPr>
                <w:sz w:val="20"/>
                <w:szCs w:val="20"/>
                <w:color w:val="auto"/>
              </w:rPr>
            </w:pPr>
            <w:r>
              <w:rPr>
                <w:rFonts w:ascii="Arial" w:cs="Arial" w:eastAsia="Arial" w:hAnsi="Arial"/>
                <w:sz w:val="18"/>
                <w:szCs w:val="18"/>
                <w:color w:val="auto"/>
              </w:rPr>
              <w:t>(.03) %</w:t>
            </w:r>
          </w:p>
        </w:tc>
        <w:tc>
          <w:tcPr>
            <w:tcW w:w="0" w:type="dxa"/>
            <w:vAlign w:val="bottom"/>
          </w:tcPr>
          <w:p>
            <w:pPr>
              <w:spacing w:after="0"/>
              <w:rPr>
                <w:sz w:val="1"/>
                <w:szCs w:val="1"/>
                <w:color w:val="auto"/>
              </w:rPr>
            </w:pPr>
          </w:p>
        </w:tc>
      </w:tr>
      <w:tr>
        <w:trPr>
          <w:trHeight w:val="229"/>
        </w:trPr>
        <w:tc>
          <w:tcPr>
            <w:tcW w:w="5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(3,765)</w:t>
            </w: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(.02)</w:t>
            </w:r>
          </w:p>
        </w:tc>
        <w:tc>
          <w:tcPr>
            <w:tcW w:w="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6,385</w:t>
            </w:r>
          </w:p>
        </w:tc>
        <w:tc>
          <w:tcPr>
            <w:tcW w:w="4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4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0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Net interest income/margin</w:t>
            </w: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35,806</w:t>
            </w:r>
          </w:p>
        </w:tc>
        <w:tc>
          <w:tcPr>
            <w:tcW w:w="420" w:type="dxa"/>
            <w:vAlign w:val="bottom"/>
            <w:tcBorders>
              <w:bottom w:val="single" w:sz="8" w:color="CFF0FC"/>
            </w:tcBorders>
          </w:tcPr>
          <w:p>
            <w:pPr>
              <w:spacing w:after="0"/>
              <w:rPr>
                <w:sz w:val="22"/>
                <w:szCs w:val="22"/>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80" w:type="dxa"/>
            <w:vAlign w:val="bottom"/>
            <w:tcBorders>
              <w:bottom w:val="single" w:sz="8" w:color="CFF0FC"/>
            </w:tcBorders>
          </w:tcPr>
          <w:p>
            <w:pPr>
              <w:spacing w:after="0"/>
              <w:rPr>
                <w:sz w:val="22"/>
                <w:szCs w:val="22"/>
                <w:color w:val="auto"/>
              </w:rPr>
            </w:pPr>
          </w:p>
        </w:tc>
        <w:tc>
          <w:tcPr>
            <w:tcW w:w="360" w:type="dxa"/>
            <w:vAlign w:val="bottom"/>
            <w:tcBorders>
              <w:bottom w:val="single" w:sz="8" w:color="CFF0FC"/>
            </w:tcBorders>
          </w:tcPr>
          <w:p>
            <w:pPr>
              <w:jc w:val="right"/>
              <w:ind w:right="90"/>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(13,010)</w:t>
            </w:r>
          </w:p>
        </w:tc>
        <w:tc>
          <w:tcPr>
            <w:tcW w:w="420" w:type="dxa"/>
            <w:vAlign w:val="bottom"/>
            <w:tcBorders>
              <w:bottom w:val="single" w:sz="8" w:color="CFF0FC"/>
            </w:tcBorders>
          </w:tcPr>
          <w:p>
            <w:pPr>
              <w:spacing w:after="0"/>
              <w:rPr>
                <w:sz w:val="22"/>
                <w:szCs w:val="22"/>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460" w:type="dxa"/>
            <w:vAlign w:val="bottom"/>
            <w:tcBorders>
              <w:bottom w:val="single" w:sz="8" w:color="CFF0FC"/>
            </w:tcBorders>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Average notional amount (c)</w:t>
            </w: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16,650,549</w:t>
            </w:r>
          </w:p>
        </w:tc>
        <w:tc>
          <w:tcPr>
            <w:tcW w:w="42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12,662,778</w:t>
            </w:r>
          </w:p>
        </w:tc>
        <w:tc>
          <w:tcPr>
            <w:tcW w:w="42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Arial" w:cs="Arial" w:eastAsia="Arial" w:hAnsi="Arial"/>
                <w:sz w:val="18"/>
                <w:szCs w:val="18"/>
                <w:color w:val="auto"/>
              </w:rPr>
              <w:t>Rate received (b)</w:t>
            </w: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2.51</w:t>
            </w:r>
          </w:p>
        </w:tc>
        <w:tc>
          <w:tcPr>
            <w:tcW w:w="80" w:type="dxa"/>
            <w:vAlign w:val="bottom"/>
          </w:tcPr>
          <w:p>
            <w:pPr>
              <w:spacing w:after="0" w:line="20" w:lineRule="exact"/>
              <w:rPr>
                <w:sz w:val="1"/>
                <w:szCs w:val="1"/>
                <w:color w:val="auto"/>
              </w:rPr>
            </w:pPr>
          </w:p>
        </w:tc>
        <w:tc>
          <w:tcPr>
            <w:tcW w:w="36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2.28</w:t>
            </w:r>
          </w:p>
        </w:tc>
        <w:tc>
          <w:tcPr>
            <w:tcW w:w="460" w:type="dxa"/>
            <w:vAlign w:val="bottom"/>
            <w:vMerge w:val="restart"/>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10"/>
        </w:trPr>
        <w:tc>
          <w:tcPr>
            <w:tcW w:w="50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4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Rate paid (b)</w:t>
            </w:r>
          </w:p>
        </w:tc>
        <w:tc>
          <w:tcPr>
            <w:tcW w:w="16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w:t>
            </w:r>
          </w:p>
        </w:tc>
        <w:tc>
          <w:tcPr>
            <w:tcW w:w="46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 w:lineRule="exact"/>
        <w:rPr>
          <w:sz w:val="20"/>
          <w:szCs w:val="20"/>
          <w:color w:val="auto"/>
        </w:rPr>
      </w:pPr>
    </w:p>
    <w:p>
      <w:pPr>
        <w:ind w:left="500" w:hanging="492"/>
        <w:spacing w:after="0"/>
        <w:tabs>
          <w:tab w:leader="none" w:pos="50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Computed as an annualized percentage of average earning assets or interest-bearing liabilities.</w:t>
      </w:r>
    </w:p>
    <w:p>
      <w:pPr>
        <w:spacing w:after="0" w:line="23" w:lineRule="exact"/>
        <w:rPr>
          <w:rFonts w:ascii="Arial" w:cs="Arial" w:eastAsia="Arial" w:hAnsi="Arial"/>
          <w:sz w:val="18"/>
          <w:szCs w:val="18"/>
          <w:i w:val="1"/>
          <w:iCs w:val="1"/>
          <w:color w:val="auto"/>
        </w:rPr>
      </w:pPr>
    </w:p>
    <w:p>
      <w:pPr>
        <w:ind w:left="500" w:hanging="492"/>
        <w:spacing w:after="0"/>
        <w:tabs>
          <w:tab w:leader="none" w:pos="50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Weighted-average rate paid or received on interest rate swap agreements in effect during the period.</w:t>
      </w:r>
    </w:p>
    <w:p>
      <w:pPr>
        <w:spacing w:after="0" w:line="8" w:lineRule="exact"/>
        <w:rPr>
          <w:rFonts w:ascii="Arial" w:cs="Arial" w:eastAsia="Arial" w:hAnsi="Arial"/>
          <w:sz w:val="18"/>
          <w:szCs w:val="18"/>
          <w:i w:val="1"/>
          <w:iCs w:val="1"/>
          <w:color w:val="auto"/>
        </w:rPr>
      </w:pPr>
    </w:p>
    <w:p>
      <w:pPr>
        <w:ind w:left="500" w:hanging="492"/>
        <w:spacing w:after="0"/>
        <w:tabs>
          <w:tab w:leader="none" w:pos="50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Excludes forward-starting interest rate swap agreements not in effect during the period.</w:t>
      </w:r>
    </w:p>
    <w:p>
      <w:pPr>
        <w:spacing w:after="0" w:line="103" w:lineRule="exact"/>
        <w:rPr>
          <w:sz w:val="20"/>
          <w:szCs w:val="20"/>
          <w:color w:val="auto"/>
        </w:rPr>
      </w:pPr>
    </w:p>
    <w:p>
      <w:pPr>
        <w:jc w:val="both"/>
        <w:ind w:firstLine="510"/>
        <w:spacing w:after="0" w:line="274" w:lineRule="auto"/>
        <w:rPr>
          <w:sz w:val="20"/>
          <w:szCs w:val="20"/>
          <w:color w:val="auto"/>
        </w:rPr>
      </w:pPr>
      <w:r>
        <w:rPr>
          <w:rFonts w:ascii="Arial" w:cs="Arial" w:eastAsia="Arial" w:hAnsi="Arial"/>
          <w:sz w:val="19"/>
          <w:szCs w:val="19"/>
          <w:color w:val="auto"/>
        </w:rPr>
        <w:t>In addition to interest rate swap agreements, the Company had entered into interest rate floor agreements that were accounted for in the trading account rather than as hedging instruments but, nevertheless, provided the Company with protection against the possibility of future declines in interest rates on earning assets. At each of March 31, 2019 and December 31, 2019, outstanding notional amounts of such agreements totaled $15.6 billion. The fair value of those interest rate floor agreements was $1.4 million at March 31, 2019 and $362 thousand at December 31, 2019 and was included in trading account assets in the consolidated balance sheet. Changes in the fair value of those agreements were recorded as “trading account and foreign exchange gains” in the consolidated statement of income. The interest rate floor agreements matured during the first quarter of 2020.</w:t>
      </w:r>
    </w:p>
    <w:p>
      <w:pPr>
        <w:spacing w:after="0" w:line="61" w:lineRule="exact"/>
        <w:rPr>
          <w:sz w:val="20"/>
          <w:szCs w:val="20"/>
          <w:color w:val="auto"/>
        </w:rPr>
      </w:pPr>
    </w:p>
    <w:p>
      <w:pPr>
        <w:jc w:val="both"/>
        <w:ind w:firstLine="510"/>
        <w:spacing w:after="0" w:line="252" w:lineRule="auto"/>
        <w:rPr>
          <w:sz w:val="20"/>
          <w:szCs w:val="20"/>
          <w:color w:val="auto"/>
        </w:rPr>
      </w:pPr>
      <w:r>
        <w:rPr>
          <w:rFonts w:ascii="Arial" w:cs="Arial" w:eastAsia="Arial" w:hAnsi="Arial"/>
          <w:sz w:val="21"/>
          <w:szCs w:val="21"/>
          <w:color w:val="auto"/>
        </w:rPr>
        <w:t>As a financial intermediary, the Company is exposed to various risks, including liquidity and market risk. Liquidity refers to the Company’s ability to ensure that sufficient cash flow and liquid assets are available to satisfy current and future obligations, including demands for loans and deposit withdrawals, funding operating costs, and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54" w:name="page55"/>
    <w:bookmarkEnd w:id="54"/>
    <w:p>
      <w:pPr>
        <w:jc w:val="both"/>
        <w:spacing w:after="0" w:line="270" w:lineRule="auto"/>
        <w:rPr>
          <w:sz w:val="20"/>
          <w:szCs w:val="20"/>
          <w:color w:val="auto"/>
        </w:rPr>
      </w:pPr>
      <w:r>
        <w:rPr>
          <w:rFonts w:ascii="Arial" w:cs="Arial" w:eastAsia="Arial" w:hAnsi="Arial"/>
          <w:sz w:val="19"/>
          <w:szCs w:val="19"/>
          <w:color w:val="auto"/>
        </w:rPr>
        <w:t>other corporate purposes. Liquidity risk arises whenever the maturities of financial instruments included in assets and liabilities differ. Core deposits represent the most significant source of funding for the Company and are generated from a large base of consumer, corporate and institutional customers. That customer base has, over the past several years, become more geographically diverse as a result of expansion of the Company’s businesses. Nevertheless, the Company faces competition in offering products and services from a large array of financial market participants, including banks, thrifts, mutual funds, securities dealers and others. The Company supplements funding provided through deposits with various short-term and long-term wholesale borrowings, including overnight federal funds purchased, short-term advances from the FHLB of New York, brokered deposits, Cayman Islands office deposits and longer-term borrowings. M&amp;T Bank has access to additional funding sources through borrowings from the FHLB of New York, lines of credit with the Federal Reserve Bank of New York, M&amp;T Bank’s Bank Note Program, and other available borrowing facilities. The Bank Note Program enables M&amp;T Bank to offer unsecured senior and subordinated notes. The Company has, from time to time, also issued subordinated capital notes and junior subordinated debentures associated with trust preferred securities to provide liquidity and enhance regulatory capital ratios. The Company’s junior subordinated debentures associated with trust preferred securities and other subordinated capital notes are considered Tier 2 capital and are includable in total regulatory capital. At March 31, 2020 and December 31, 2019, long-term borrowings aggregated $6.3 billion and $7.0 billion, respectively.</w:t>
      </w:r>
    </w:p>
    <w:p>
      <w:pPr>
        <w:spacing w:after="0" w:line="65"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9"/>
          <w:szCs w:val="19"/>
          <w:color w:val="auto"/>
        </w:rPr>
        <w:t>Short-term federal funds borrowings outstanding at March 31, 2019 were $3.4 billion, while there were no such borrowings outstanding at March 31, 2020 or December 31, 2019. In general, those borrowings were unsecured, matured on the next business day and were entered into to enhance the Company’s overall liquidity position at the time. In addition to satisfying customer demand, Cayman Islands office deposits may be used by the Company as an alternative to short-term borrowings. Cayman Islands office deposits totaled $1.2 billion at March 31, 2020, $1.1 billion at March 31, 2019 and $1.7 billion at December 31, 2019. The Company has also benefited from the placement of brokered deposits. The Company had brokered savings and interest-bearing checking deposit accounts which aggregated approximately $3.1 billion at March 31, 2020 and $2.8 billion at each of March 31, 2019 and December 31, 2019. Brokered time deposits were not a significant source of funding as of those dates.</w:t>
      </w:r>
    </w:p>
    <w:p>
      <w:pPr>
        <w:spacing w:after="0" w:line="61" w:lineRule="exact"/>
        <w:rPr>
          <w:sz w:val="20"/>
          <w:szCs w:val="20"/>
          <w:color w:val="auto"/>
        </w:rPr>
      </w:pPr>
    </w:p>
    <w:p>
      <w:pPr>
        <w:jc w:val="both"/>
        <w:ind w:firstLine="510"/>
        <w:spacing w:after="0" w:line="274" w:lineRule="auto"/>
        <w:rPr>
          <w:sz w:val="20"/>
          <w:szCs w:val="20"/>
          <w:color w:val="auto"/>
        </w:rPr>
      </w:pPr>
      <w:r>
        <w:rPr>
          <w:rFonts w:ascii="Arial" w:cs="Arial" w:eastAsia="Arial" w:hAnsi="Arial"/>
          <w:sz w:val="19"/>
          <w:szCs w:val="19"/>
          <w:color w:val="auto"/>
        </w:rPr>
        <w:t>The Company’s ability to obtain funding from these sources could be negatively impacted should the Company experience a substantial deterioration in its financial condition or its debt ratings, or should the availability of funding become restricted due to a disruption in the financial markets. The Company attempts to quantify such credit-event risk by modeling scenarios that estimate the liquidity impact resulting from a short-term ratings downgrade over various grading levels. Such impact is estimated by attempting to measure the effect on available unsecured lines of credit, available capacity from secured borrowing sources and securitizable assets. In addition to deposits and borrowings, other sources of liquidity include maturities of investment securities and other earning assets, repayments of loans and investment securities, and cash generated from operations, such as fees collected for services.</w:t>
      </w:r>
    </w:p>
    <w:p>
      <w:pPr>
        <w:spacing w:after="0" w:line="61" w:lineRule="exact"/>
        <w:rPr>
          <w:sz w:val="20"/>
          <w:szCs w:val="20"/>
          <w:color w:val="auto"/>
        </w:rPr>
      </w:pPr>
    </w:p>
    <w:p>
      <w:pPr>
        <w:jc w:val="both"/>
        <w:ind w:firstLine="510"/>
        <w:spacing w:after="0" w:line="258" w:lineRule="auto"/>
        <w:rPr>
          <w:sz w:val="20"/>
          <w:szCs w:val="20"/>
          <w:color w:val="auto"/>
        </w:rPr>
      </w:pPr>
      <w:r>
        <w:rPr>
          <w:rFonts w:ascii="Arial" w:cs="Arial" w:eastAsia="Arial" w:hAnsi="Arial"/>
          <w:sz w:val="20"/>
          <w:szCs w:val="20"/>
          <w:color w:val="auto"/>
        </w:rPr>
        <w:t>Certain customers of the Company obtain financing through the issuance of variable rate demand bonds (“VRDBs”). The VRDBs are generally enhanced by letters of credit provided by M&amp;T Bank. M&amp;T Bank oftentimes acts as remarketing agent for the VRDBs and, at its discretion, may from time-to-time own some of the VRDBs while such instruments are remarketed. When this occurs, the VRDBs are classified as trading account assets in the Company’s consolidated balance sheet. Nevertheless, M&amp;T Bank is not contractually obligated to purchase the VRDBs. The value of VRDBs in the Company’s trading account was not material at March 31, 2020 or December 31, 2019. The total amounts of VRDBs outstanding backed by M&amp;T Bank letters of credit were $850 million at March 31, 2020, compared with $756 million at March 31, 2019 and $857 million at December 31, 2019. M&amp;T Bank also serves as remarketing agent for most of those bonds.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55" w:name="page56"/>
    <w:bookmarkEnd w:id="55"/>
    <w:p>
      <w:pPr>
        <w:jc w:val="both"/>
        <w:ind w:firstLine="510"/>
        <w:spacing w:after="0" w:line="276" w:lineRule="auto"/>
        <w:rPr>
          <w:sz w:val="20"/>
          <w:szCs w:val="20"/>
          <w:color w:val="auto"/>
        </w:rPr>
      </w:pPr>
      <w:r>
        <w:rPr>
          <w:rFonts w:ascii="Arial" w:cs="Arial" w:eastAsia="Arial" w:hAnsi="Arial"/>
          <w:sz w:val="19"/>
          <w:szCs w:val="19"/>
          <w:color w:val="auto"/>
        </w:rPr>
        <w:t>The Company enters into contractual obligations in the normal course of business that require future cash payments. Such obligations include, among others, payments related to deposits, borrowings, leases and other contractual commitments. Off-balance sheet commitments to customers may impact liquidity, including commitments to extend credit, standby letters of credit, commercial letters of credit, financial guarantees and indemnification contracts, and commitments to sell real estate loans. Because many of these commitments or contracts expire without being funded in whole or in part, the contract amounts are not necessarily indicative of future cash flows. Further discussion of these commitments is provided in note 12 of Notes to Financial Statements.</w:t>
      </w:r>
    </w:p>
    <w:p>
      <w:pPr>
        <w:spacing w:after="0" w:line="57" w:lineRule="exact"/>
        <w:rPr>
          <w:sz w:val="20"/>
          <w:szCs w:val="20"/>
          <w:color w:val="auto"/>
        </w:rPr>
      </w:pPr>
    </w:p>
    <w:p>
      <w:pPr>
        <w:jc w:val="both"/>
        <w:ind w:firstLine="510"/>
        <w:spacing w:after="0" w:line="274" w:lineRule="auto"/>
        <w:rPr>
          <w:sz w:val="20"/>
          <w:szCs w:val="20"/>
          <w:color w:val="auto"/>
        </w:rPr>
      </w:pPr>
      <w:r>
        <w:rPr>
          <w:rFonts w:ascii="Arial" w:cs="Arial" w:eastAsia="Arial" w:hAnsi="Arial"/>
          <w:sz w:val="19"/>
          <w:szCs w:val="19"/>
          <w:color w:val="auto"/>
        </w:rPr>
        <w:t>M&amp;T’s primary source of funds to pay for operating expenses, shareholder dividends and treasury stock repurchases has historically been the receipt of dividends from its bank subsidiaries, which are subject to various regulatory limitations. Dividends from any bank subsidiary to M&amp;T are limited by the amount of earnings of the subsidiary in the current year and the two preceding years. For purposes of that test, at March 31, 2020 approximately $384 million was available for payment of dividends to M&amp;T from bank subsidiaries. M&amp;T also may obtain funding through long-term borrowings. Outstanding senior notes of M&amp;T at March 31, 2020 and December 31, 2019 were $790 million and $770 million, respectively. Junior subordinated debentures of M&amp;T associated with trust preferred securities outstanding at March 31, 2020 and December 31, 2019 totaled $526 million and $525 million, respectively.</w:t>
      </w:r>
    </w:p>
    <w:p>
      <w:pPr>
        <w:spacing w:after="0" w:line="61" w:lineRule="exact"/>
        <w:rPr>
          <w:sz w:val="20"/>
          <w:szCs w:val="20"/>
          <w:color w:val="auto"/>
        </w:rPr>
      </w:pPr>
    </w:p>
    <w:p>
      <w:pPr>
        <w:jc w:val="both"/>
        <w:ind w:right="20" w:firstLine="510"/>
        <w:spacing w:after="0" w:line="248" w:lineRule="auto"/>
        <w:rPr>
          <w:sz w:val="20"/>
          <w:szCs w:val="20"/>
          <w:color w:val="auto"/>
        </w:rPr>
      </w:pPr>
      <w:r>
        <w:rPr>
          <w:rFonts w:ascii="Arial" w:cs="Arial" w:eastAsia="Arial" w:hAnsi="Arial"/>
          <w:sz w:val="21"/>
          <w:szCs w:val="21"/>
          <w:color w:val="auto"/>
        </w:rPr>
        <w:t>Management closely monitors the Company’s liquidity position on an ongoing basis for compliance with internal policies and believes that available sources of liquidity are adequate to meet anticipated funding needs. Management does not anticipate engaging in any activities, either currently or in the long-term, for which adequate funding would not be available and would therefore result in a significant strain on liquidity at either M&amp;T or its subsidiary banks.</w:t>
      </w:r>
    </w:p>
    <w:p>
      <w:pPr>
        <w:spacing w:after="0" w:line="81" w:lineRule="exact"/>
        <w:rPr>
          <w:sz w:val="20"/>
          <w:szCs w:val="20"/>
          <w:color w:val="auto"/>
        </w:rPr>
      </w:pPr>
    </w:p>
    <w:p>
      <w:pPr>
        <w:jc w:val="both"/>
        <w:ind w:firstLine="510"/>
        <w:spacing w:after="0" w:line="270" w:lineRule="auto"/>
        <w:rPr>
          <w:sz w:val="20"/>
          <w:szCs w:val="20"/>
          <w:color w:val="auto"/>
        </w:rPr>
      </w:pPr>
      <w:r>
        <w:rPr>
          <w:rFonts w:ascii="Arial" w:cs="Arial" w:eastAsia="Arial" w:hAnsi="Arial"/>
          <w:sz w:val="19"/>
          <w:szCs w:val="19"/>
          <w:color w:val="auto"/>
        </w:rPr>
        <w:t>Market risk is the risk of loss from adverse changes in the market prices and/or interest rates of the Company’s financial instruments. The primary market risk the Company is exposed to is interest rate risk. Interest rate risk arises from the Company’s core banking activities of lending and deposit-taking, because assets and liabilities reprice at different times and by different amounts as interest rates change. As a result, net interest income earned by the Company is subject to the effects of changing interest rates. The Company measures interest rate risk by calculating the variability of net interest income in future periods under various interest rate scenarios using projected balances for earning assets, interest-bearing liabilities and derivatives used to manage interest rate risk. Management’s philosophy toward interest rate risk management is to limit the variability of net interest income. The balances of financial instruments used in the projections are based on expected growth from forecasted business opportunities, anticipated prepayments of loans and investment securities, and expected maturities of investment securities, loans and deposits. Management uses a “value of equity” model to supplement the modeling technique described above. Those supplemental analyses are based on discounted cash flows associated with on- and off-balance sheet financial instruments. Such analyses are modeled to reflect changes in interest rates and provide management with a long-term interest rate risk metric. The Company has entered into interest rate swap agreements to help manage exposure to interest rate risk. At March 31, 2020, the aggregate notional amount of interest rate swap agreements entered into for risk management purposes that were currently in effect was $16.4 billion. In addition, the Company has entered into $41.8 billion of forward-starting interest rate swap agreements.</w:t>
      </w:r>
    </w:p>
    <w:p>
      <w:pPr>
        <w:spacing w:after="0" w:line="62" w:lineRule="exact"/>
        <w:rPr>
          <w:sz w:val="20"/>
          <w:szCs w:val="20"/>
          <w:color w:val="auto"/>
        </w:rPr>
      </w:pPr>
    </w:p>
    <w:p>
      <w:pPr>
        <w:jc w:val="both"/>
        <w:ind w:firstLine="510"/>
        <w:spacing w:after="0" w:line="272" w:lineRule="auto"/>
        <w:rPr>
          <w:sz w:val="20"/>
          <w:szCs w:val="20"/>
          <w:color w:val="auto"/>
        </w:rPr>
      </w:pPr>
      <w:r>
        <w:rPr>
          <w:rFonts w:ascii="Arial" w:cs="Arial" w:eastAsia="Arial" w:hAnsi="Arial"/>
          <w:sz w:val="19"/>
          <w:szCs w:val="19"/>
          <w:color w:val="auto"/>
        </w:rPr>
        <w:t>The Company’s Asset-Liability Committee, which includes members of senior management, monitors the sensitivity of the Company’s net interest income to changes in interest rates with the aid of a computer model that forecasts net interest income under different interest rate scenarios. In modeling changing interest rates, the Company considers different yield curve shapes that consider both parallel (that is, simultaneous changes in interest rates at each point on the yield curve) and non-parallel (that is, allowing interest rates at points on the yield curve to vary by different amounts) shifts in the yield curve. In utilizing the model, market-implied forward interest rates over the subsequent twelve months are generally used to determine a base interest rate scenario for the net interest income simulation. That calculated base net interest income is then compared to the income calculated under the varying interest rate scenarios. The model considers the impact of ongoing lending and deposit-gathering activities, as well as interrelationships in the magnitude and timing of the repricing of financial instruments, including the effect of changing interest rates on expected prepayments and maturities. When deemed prudent, management has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56" w:name="page57"/>
    <w:bookmarkEnd w:id="56"/>
    <w:p>
      <w:pPr>
        <w:jc w:val="both"/>
        <w:spacing w:after="0" w:line="265" w:lineRule="auto"/>
        <w:rPr>
          <w:sz w:val="20"/>
          <w:szCs w:val="20"/>
          <w:color w:val="auto"/>
        </w:rPr>
      </w:pPr>
      <w:r>
        <w:rPr>
          <w:rFonts w:ascii="Arial" w:cs="Arial" w:eastAsia="Arial" w:hAnsi="Arial"/>
          <w:sz w:val="20"/>
          <w:szCs w:val="20"/>
          <w:color w:val="auto"/>
        </w:rPr>
        <w:t>taken actions to mitigate exposure to interest rate risk through the use of on- or off-balance sheet financial instruments and intends to do so in the future. Possible actions include, but are not limited to, changes in the pricing of loan and deposit products, modifying the composition of earning assets and interest-bearing liabilities, and adding to, modifying or terminating existing interest rate swap agreements or other financial instruments used for interest rate risk management purposes.</w:t>
      </w:r>
    </w:p>
    <w:p>
      <w:pPr>
        <w:spacing w:after="0" w:line="63" w:lineRule="exact"/>
        <w:rPr>
          <w:sz w:val="20"/>
          <w:szCs w:val="20"/>
          <w:color w:val="auto"/>
        </w:rPr>
      </w:pPr>
    </w:p>
    <w:p>
      <w:pPr>
        <w:jc w:val="both"/>
        <w:ind w:firstLine="510"/>
        <w:spacing w:after="0" w:line="252" w:lineRule="auto"/>
        <w:rPr>
          <w:sz w:val="20"/>
          <w:szCs w:val="20"/>
          <w:color w:val="auto"/>
        </w:rPr>
      </w:pPr>
      <w:r>
        <w:rPr>
          <w:rFonts w:ascii="Arial" w:cs="Arial" w:eastAsia="Arial" w:hAnsi="Arial"/>
          <w:sz w:val="21"/>
          <w:szCs w:val="21"/>
          <w:color w:val="auto"/>
        </w:rPr>
        <w:t>The accompanying table as of March 31, 2020 and December 31, 2019 displays the estimated impact on net interest income in the base scenario described above resulting from parallel changes in interest rates across repricing categories during the first modeling year.</w:t>
      </w:r>
    </w:p>
    <w:p>
      <w:pPr>
        <w:spacing w:after="0" w:line="75" w:lineRule="exact"/>
        <w:rPr>
          <w:sz w:val="20"/>
          <w:szCs w:val="20"/>
          <w:color w:val="auto"/>
        </w:rPr>
      </w:pPr>
    </w:p>
    <w:p>
      <w:pPr>
        <w:spacing w:after="0"/>
        <w:rPr>
          <w:sz w:val="20"/>
          <w:szCs w:val="20"/>
          <w:color w:val="auto"/>
        </w:rPr>
      </w:pPr>
      <w:r>
        <w:rPr>
          <w:rFonts w:ascii="Arial" w:cs="Arial" w:eastAsia="Arial" w:hAnsi="Arial"/>
          <w:sz w:val="21"/>
          <w:szCs w:val="21"/>
          <w:color w:val="auto"/>
        </w:rPr>
        <w:t>SENSITIVITY OF NET INTEREST INCOME</w:t>
      </w:r>
    </w:p>
    <w:p>
      <w:pPr>
        <w:spacing w:after="0" w:line="19" w:lineRule="exact"/>
        <w:rPr>
          <w:sz w:val="20"/>
          <w:szCs w:val="20"/>
          <w:color w:val="auto"/>
        </w:rPr>
      </w:pPr>
    </w:p>
    <w:p>
      <w:pPr>
        <w:spacing w:after="0"/>
        <w:rPr>
          <w:sz w:val="20"/>
          <w:szCs w:val="20"/>
          <w:color w:val="auto"/>
        </w:rPr>
      </w:pPr>
      <w:r>
        <w:rPr>
          <w:rFonts w:ascii="Arial" w:cs="Arial" w:eastAsia="Arial" w:hAnsi="Arial"/>
          <w:sz w:val="21"/>
          <w:szCs w:val="21"/>
          <w:color w:val="auto"/>
        </w:rPr>
        <w:t>TO CHANGES IN INTEREST RATES</w:t>
      </w:r>
    </w:p>
    <w:tbl>
      <w:tblPr>
        <w:tblLayout w:type="fixed"/>
        <w:tblInd w:w="0" w:type="dxa"/>
        <w:tblCellMar>
          <w:top w:w="0" w:type="dxa"/>
          <w:left w:w="0" w:type="dxa"/>
          <w:bottom w:w="0" w:type="dxa"/>
          <w:right w:w="0" w:type="dxa"/>
        </w:tblCellMar>
      </w:tblPr>
      <w:tr>
        <w:trPr>
          <w:trHeight w:val="136"/>
        </w:trPr>
        <w:tc>
          <w:tcPr>
            <w:tcW w:w="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100" w:type="dxa"/>
            <w:vAlign w:val="bottom"/>
            <w:gridSpan w:val="3"/>
          </w:tcPr>
          <w:p>
            <w:pPr>
              <w:jc w:val="center"/>
              <w:ind w:right="240"/>
              <w:spacing w:after="0" w:line="136" w:lineRule="exact"/>
              <w:rPr>
                <w:sz w:val="20"/>
                <w:szCs w:val="20"/>
                <w:color w:val="auto"/>
              </w:rPr>
            </w:pPr>
            <w:r>
              <w:rPr>
                <w:rFonts w:ascii="Arial" w:cs="Arial" w:eastAsia="Arial" w:hAnsi="Arial"/>
                <w:sz w:val="14"/>
                <w:szCs w:val="14"/>
                <w:b w:val="1"/>
                <w:bCs w:val="1"/>
                <w:color w:val="auto"/>
                <w:w w:val="91"/>
              </w:rPr>
              <w:t>Calculated Increase (Decrease)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2"/>
          </w:tcPr>
          <w:p>
            <w:pPr>
              <w:jc w:val="center"/>
              <w:ind w:right="95"/>
              <w:spacing w:after="0"/>
              <w:rPr>
                <w:sz w:val="20"/>
                <w:szCs w:val="20"/>
                <w:color w:val="auto"/>
              </w:rPr>
            </w:pPr>
            <w:r>
              <w:rPr>
                <w:rFonts w:ascii="Arial" w:cs="Arial" w:eastAsia="Arial" w:hAnsi="Arial"/>
                <w:sz w:val="14"/>
                <w:szCs w:val="14"/>
                <w:b w:val="1"/>
                <w:bCs w:val="1"/>
                <w:color w:val="auto"/>
                <w:w w:val="93"/>
              </w:rPr>
              <w:t>in Projected Net Interest Income</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500" w:type="dxa"/>
            <w:vAlign w:val="bottom"/>
            <w:gridSpan w:val="3"/>
          </w:tcPr>
          <w:p>
            <w:pPr>
              <w:spacing w:after="0"/>
              <w:rPr>
                <w:sz w:val="20"/>
                <w:szCs w:val="20"/>
                <w:color w:val="auto"/>
              </w:rPr>
            </w:pPr>
            <w:r>
              <w:rPr>
                <w:rFonts w:ascii="Arial" w:cs="Arial" w:eastAsia="Arial" w:hAnsi="Arial"/>
                <w:sz w:val="14"/>
                <w:szCs w:val="14"/>
                <w:b w:val="1"/>
                <w:bCs w:val="1"/>
                <w:color w:val="auto"/>
              </w:rPr>
              <w:t>Changes in interest rates</w:t>
            </w: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right"/>
              <w:ind w:right="420"/>
              <w:spacing w:after="0"/>
              <w:rPr>
                <w:sz w:val="20"/>
                <w:szCs w:val="20"/>
                <w:color w:val="auto"/>
              </w:rPr>
            </w:pPr>
            <w:r>
              <w:rPr>
                <w:rFonts w:ascii="Arial" w:cs="Arial" w:eastAsia="Arial" w:hAnsi="Arial"/>
                <w:sz w:val="14"/>
                <w:szCs w:val="14"/>
                <w:b w:val="1"/>
                <w:bCs w:val="1"/>
                <w:color w:val="auto"/>
              </w:rPr>
              <w:t>March 31, 2020</w:t>
            </w:r>
          </w:p>
        </w:tc>
        <w:tc>
          <w:tcPr>
            <w:tcW w:w="15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c>
          <w:tcPr>
            <w:tcW w:w="19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3020" w:type="dxa"/>
            <w:vAlign w:val="bottom"/>
            <w:tcBorders>
              <w:top w:val="single" w:sz="8" w:color="auto"/>
            </w:tcBorders>
            <w:gridSpan w:val="2"/>
          </w:tcPr>
          <w:p>
            <w:pPr>
              <w:jc w:val="center"/>
              <w:ind w:right="75"/>
              <w:spacing w:after="0"/>
              <w:rPr>
                <w:sz w:val="20"/>
                <w:szCs w:val="20"/>
                <w:color w:val="auto"/>
              </w:rPr>
            </w:pPr>
            <w:r>
              <w:rPr>
                <w:rFonts w:ascii="Arial" w:cs="Arial" w:eastAsia="Arial" w:hAnsi="Arial"/>
                <w:sz w:val="14"/>
                <w:szCs w:val="14"/>
                <w:b w:val="1"/>
                <w:bCs w:val="1"/>
                <w:color w:val="auto"/>
                <w:w w:val="93"/>
              </w:rPr>
              <w:t>(In thousands)</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2"/>
        </w:trPr>
        <w:tc>
          <w:tcPr>
            <w:tcW w:w="20" w:type="dxa"/>
            <w:vAlign w:val="bottom"/>
            <w:vMerge w:val="restart"/>
          </w:tcPr>
          <w:p>
            <w:pPr>
              <w:spacing w:after="0"/>
              <w:rPr>
                <w:sz w:val="23"/>
                <w:szCs w:val="23"/>
                <w:color w:val="auto"/>
              </w:rPr>
            </w:pPr>
          </w:p>
        </w:tc>
        <w:tc>
          <w:tcPr>
            <w:tcW w:w="150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3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+200 basis points</w:t>
            </w:r>
          </w:p>
        </w:tc>
        <w:tc>
          <w:tcPr>
            <w:tcW w:w="2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ind w:right="180"/>
              <w:spacing w:after="0"/>
              <w:rPr>
                <w:sz w:val="20"/>
                <w:szCs w:val="20"/>
                <w:color w:val="auto"/>
              </w:rPr>
            </w:pPr>
            <w:r>
              <w:rPr>
                <w:rFonts w:ascii="Arial" w:cs="Arial" w:eastAsia="Arial" w:hAnsi="Arial"/>
                <w:sz w:val="18"/>
                <w:szCs w:val="18"/>
                <w:color w:val="auto"/>
              </w:rPr>
              <w:t>99,883</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45,345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480" w:type="dxa"/>
            <w:vAlign w:val="bottom"/>
            <w:gridSpan w:val="2"/>
          </w:tcPr>
          <w:p>
            <w:pPr>
              <w:spacing w:after="0"/>
              <w:rPr>
                <w:sz w:val="20"/>
                <w:szCs w:val="20"/>
                <w:color w:val="auto"/>
              </w:rPr>
            </w:pPr>
            <w:r>
              <w:rPr>
                <w:rFonts w:ascii="Arial" w:cs="Arial" w:eastAsia="Arial" w:hAnsi="Arial"/>
                <w:sz w:val="18"/>
                <w:szCs w:val="18"/>
                <w:color w:val="auto"/>
              </w:rPr>
              <w:t>+100 basis points</w:t>
            </w:r>
          </w:p>
        </w:tc>
        <w:tc>
          <w:tcPr>
            <w:tcW w:w="1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ind w:right="180"/>
              <w:spacing w:after="0"/>
              <w:rPr>
                <w:sz w:val="20"/>
                <w:szCs w:val="20"/>
                <w:color w:val="auto"/>
              </w:rPr>
            </w:pPr>
            <w:r>
              <w:rPr>
                <w:rFonts w:ascii="Arial" w:cs="Arial" w:eastAsia="Arial" w:hAnsi="Arial"/>
                <w:sz w:val="18"/>
                <w:szCs w:val="18"/>
                <w:color w:val="auto"/>
              </w:rPr>
              <w:t>62,141</w:t>
            </w:r>
          </w:p>
        </w:tc>
        <w:tc>
          <w:tcPr>
            <w:tcW w:w="1480" w:type="dxa"/>
            <w:vAlign w:val="bottom"/>
          </w:tcPr>
          <w:p>
            <w:pPr>
              <w:jc w:val="right"/>
              <w:spacing w:after="0"/>
              <w:rPr>
                <w:sz w:val="20"/>
                <w:szCs w:val="20"/>
                <w:color w:val="auto"/>
              </w:rPr>
            </w:pPr>
            <w:r>
              <w:rPr>
                <w:rFonts w:ascii="Arial" w:cs="Arial" w:eastAsia="Arial" w:hAnsi="Arial"/>
                <w:sz w:val="18"/>
                <w:szCs w:val="18"/>
                <w:color w:val="auto"/>
              </w:rPr>
              <w:t>35,838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-100 basis points</w:t>
            </w:r>
          </w:p>
        </w:tc>
        <w:tc>
          <w:tcPr>
            <w:tcW w:w="19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120"/>
              <w:spacing w:after="0"/>
              <w:rPr>
                <w:sz w:val="20"/>
                <w:szCs w:val="20"/>
                <w:color w:val="auto"/>
              </w:rPr>
            </w:pPr>
            <w:r>
              <w:rPr>
                <w:rFonts w:ascii="Arial" w:cs="Arial" w:eastAsia="Arial" w:hAnsi="Arial"/>
                <w:sz w:val="18"/>
                <w:szCs w:val="18"/>
                <w:color w:val="auto"/>
              </w:rPr>
              <w:t>(51,028)</w:t>
            </w:r>
          </w:p>
        </w:tc>
        <w:tc>
          <w:tcPr>
            <w:tcW w:w="15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(94,616)</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firstLine="510"/>
        <w:spacing w:after="0" w:line="272" w:lineRule="auto"/>
        <w:rPr>
          <w:sz w:val="20"/>
          <w:szCs w:val="20"/>
          <w:color w:val="auto"/>
        </w:rPr>
      </w:pPr>
      <w:r>
        <w:rPr>
          <w:rFonts w:ascii="Arial" w:cs="Arial" w:eastAsia="Arial" w:hAnsi="Arial"/>
          <w:sz w:val="19"/>
          <w:szCs w:val="19"/>
          <w:color w:val="auto"/>
        </w:rPr>
        <w:t>The Company utilized many assumptions to calculate the impact that changes in interest rates may have on net interest income. The more significant of those assumptions included the rate of prepayments of mortgage-related assets, cash flows from derivative and other financial instruments held for non-trading purposes, loan and deposit volumes and pricing, and deposit maturities. In the scenarios presented, the Company also assumed gradual changes in interest rates during a twelve-month period as compared with the base scenario. In the declining rate scenario, the rate changes may be limited to lesser amounts such that interest rates remain positive on all points of the yield curve. The assumptions used in interest rate sensitivity modeling are inherently uncertain and, as a result, the Company cannot precisely predict the impact of changes in interest rates on net interest income. Actual results may differ significantly from those presented due to the timing, magnitude and frequency of changes in interest rates and changes in market conditions and interest rate differentials (spreads) between maturity/repricing categories, as well as any actions, such as those previously described, which management may take to counter such changes.</w:t>
      </w:r>
    </w:p>
    <w:p>
      <w:pPr>
        <w:spacing w:after="0" w:line="59" w:lineRule="exact"/>
        <w:rPr>
          <w:sz w:val="20"/>
          <w:szCs w:val="20"/>
          <w:color w:val="auto"/>
        </w:rPr>
      </w:pPr>
    </w:p>
    <w:p>
      <w:pPr>
        <w:jc w:val="both"/>
        <w:ind w:firstLine="510"/>
        <w:spacing w:after="0" w:line="248" w:lineRule="auto"/>
        <w:rPr>
          <w:sz w:val="20"/>
          <w:szCs w:val="20"/>
          <w:color w:val="auto"/>
        </w:rPr>
      </w:pPr>
      <w:r>
        <w:rPr>
          <w:rFonts w:ascii="Arial" w:cs="Arial" w:eastAsia="Arial" w:hAnsi="Arial"/>
          <w:sz w:val="21"/>
          <w:szCs w:val="21"/>
          <w:color w:val="auto"/>
        </w:rPr>
        <w:t>Changes in fair value of the Company’s financial instruments can also result from a lack of trading activity for similar instruments in the financial markets. That impact is most notable on the values assigned to some of the Company’s investment securities. Information about the fair valuation of investment securities is presented herein under the heading “Capital” and in notes 2 and 11 of Notes to Financial Statements.</w:t>
      </w:r>
    </w:p>
    <w:p>
      <w:pPr>
        <w:spacing w:after="0" w:line="81" w:lineRule="exact"/>
        <w:rPr>
          <w:sz w:val="20"/>
          <w:szCs w:val="20"/>
          <w:color w:val="auto"/>
        </w:rPr>
      </w:pPr>
    </w:p>
    <w:p>
      <w:pPr>
        <w:jc w:val="both"/>
        <w:ind w:firstLine="510"/>
        <w:spacing w:after="0" w:line="272" w:lineRule="auto"/>
        <w:rPr>
          <w:sz w:val="20"/>
          <w:szCs w:val="20"/>
          <w:color w:val="auto"/>
        </w:rPr>
      </w:pPr>
      <w:r>
        <w:rPr>
          <w:rFonts w:ascii="Arial" w:cs="Arial" w:eastAsia="Arial" w:hAnsi="Arial"/>
          <w:sz w:val="19"/>
          <w:szCs w:val="19"/>
          <w:color w:val="auto"/>
        </w:rPr>
        <w:t>The Company engages in limited trading account activities to meet the financial needs of customers and to fund the Company’s obligations under certain deferred compensation plans. Financial instruments utilized for trading account activities consist predominantly of interest rate contracts, such as interest rate swap agreements, and forward and futures contracts related to foreign currencies. The Company generally mitigates the foreign currency and interest rate risk associated with trading account activities by entering into offsetting trading positions that are also included in the trading account. The fair values of trading account positions associated with interest rate contracts and foreign currency and other option and futures contracts are presented in note 9 of Notes to Financial Statements. The amounts of gross and net trading account positions, as well as the type of trading account activities conducted by the Company, are subject to a well-defined series of potential loss exposure limits established by management and approved by M&amp;T’s Board of Directors. However, as with any non-government guaranteed financial instrument, the Company is exposed to credit risk associated with counterparties to the Company’s trading account activities.</w:t>
      </w:r>
    </w:p>
    <w:p>
      <w:pPr>
        <w:spacing w:after="0" w:line="59" w:lineRule="exact"/>
        <w:rPr>
          <w:sz w:val="20"/>
          <w:szCs w:val="20"/>
          <w:color w:val="auto"/>
        </w:rPr>
      </w:pPr>
    </w:p>
    <w:p>
      <w:pPr>
        <w:jc w:val="both"/>
        <w:ind w:firstLine="510"/>
        <w:spacing w:after="0" w:line="245" w:lineRule="auto"/>
        <w:rPr>
          <w:sz w:val="20"/>
          <w:szCs w:val="20"/>
          <w:color w:val="auto"/>
        </w:rPr>
      </w:pPr>
      <w:r>
        <w:rPr>
          <w:rFonts w:ascii="Arial" w:cs="Arial" w:eastAsia="Arial" w:hAnsi="Arial"/>
          <w:sz w:val="21"/>
          <w:szCs w:val="21"/>
          <w:color w:val="auto"/>
        </w:rPr>
        <w:t>The notional amounts of interest rate contracts entered into for trading account purposes totaled $36.7 billion at March 31, 2020, $43.3 billion at March 31, 2019 and $48.6 billion at December 31, 2019. The notional amounts of foreign currency and other option and futures contracts entered into for trading account purposes were $928 million at March 31, 2020, compared with $832 million at March 31, 2019 and $1.2 billion at December 31, 2019. Although the notional amounts of these contracts are not recorded in the consolidated balance sheet, the unsettled fair values of all financial instruments used for trading account activities are recorded in the consolidated balance sheet. The fair</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57" w:name="page58"/>
    <w:bookmarkEnd w:id="57"/>
    <w:p>
      <w:pPr>
        <w:jc w:val="both"/>
        <w:spacing w:after="0" w:line="269" w:lineRule="auto"/>
        <w:rPr>
          <w:sz w:val="20"/>
          <w:szCs w:val="20"/>
          <w:color w:val="auto"/>
        </w:rPr>
      </w:pPr>
      <w:r>
        <w:rPr>
          <w:rFonts w:ascii="Arial" w:cs="Arial" w:eastAsia="Arial" w:hAnsi="Arial"/>
          <w:sz w:val="19"/>
          <w:szCs w:val="19"/>
          <w:color w:val="auto"/>
        </w:rPr>
        <w:t>values of all trading account assets and liabilities recognized on the balance sheet were $1.2 billion and $126 million, respectively, at March 31, 2020 and $470 million and $80 million, respectively, at December 31, 2019. The fair value asset and liability amounts at March 31, 2020 have been reduced by contractual settlements of $3 million and $945 million, respectively, and at December 31, 2019 have been reduced by contractual settlements of $43 million and $281 million, respectively. The higher balance of trading account assets at March 31, 2020 as compared with December 31, 2019 was largely the result of increased values associated with interest rate swap agreements entered into with commercial customers that are not subject to periodic variation margin settlement payments. Included in trading account assets were assets related to deferred compensation plans aggregating $19 million at March 31, 2020 and $21 million at each of March 31, 2019 and December 31, 2019. Changes in the fair values of such assets are recorded as “trading account and foreign exchange gains” in the consolidated statement of income. Included in “other liabilities” in the consolidated balance sheet at March 31, 2020 were $22 million of liabilities related to deferred compensation plans, compared with $24 million at March 31, 2019 and $25 million at December 31, 2019. Changes in the balances of such liabilities due to the valuation of allocated investment options to which the liabilities are indexed are recorded in “other costs of operations” in the consolidated statement of income. Also included in trading account assets were investments in mutual funds and other assets that the Company was required to hold under terms of certain non-qualified supplemental retirement and other benefit plans that were assumed by the Company in various acquisitions. Those assets totaled $29 million at March 31, 2020, $26 million at March 31, 2019 and $28 million at December 31, 2020.</w:t>
      </w:r>
    </w:p>
    <w:p>
      <w:pPr>
        <w:spacing w:after="0" w:line="73" w:lineRule="exact"/>
        <w:rPr>
          <w:sz w:val="20"/>
          <w:szCs w:val="20"/>
          <w:color w:val="auto"/>
        </w:rPr>
      </w:pPr>
    </w:p>
    <w:p>
      <w:pPr>
        <w:jc w:val="both"/>
        <w:ind w:firstLine="510"/>
        <w:spacing w:after="0" w:line="246" w:lineRule="auto"/>
        <w:rPr>
          <w:sz w:val="20"/>
          <w:szCs w:val="20"/>
          <w:color w:val="auto"/>
        </w:rPr>
      </w:pPr>
      <w:r>
        <w:rPr>
          <w:rFonts w:ascii="Arial" w:cs="Arial" w:eastAsia="Arial" w:hAnsi="Arial"/>
          <w:sz w:val="21"/>
          <w:szCs w:val="21"/>
          <w:color w:val="auto"/>
        </w:rPr>
        <w:t>Given the Company’s policies, limits and positions, management believes that the potential loss exposure to the Company resulting from market risk associated with trading account activities was not material, however, as previously noted, the Company is exposed to credit risk associated with counterparties to transactions related to the Company’s trading account activities. Additional information about the Company’s use of derivative financial instruments in its trading account activities is included in note 9 of Notes to Financial Statements.</w:t>
      </w:r>
    </w:p>
    <w:p>
      <w:pPr>
        <w:spacing w:after="0" w:line="18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Provision for Credit Losses</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20"/>
          <w:szCs w:val="20"/>
          <w:color w:val="auto"/>
        </w:rPr>
        <w:t>As described in note 3 of Notes to Financial Statements, effective January 1, 2020 the Company adopted amended accounting guidance for the measurement of credit losses on financial instruments. That guidance requires an allowance for credit losses to be deducted from the amortized cost basis of financial assets to present the net carrying value that is expected to be collected over the contractual term of the assets considering relevant information about past events, current conditions, and reasonable and supportable forecasts that affect the collectibility of the reported amount. The new guidance replaces the previous incurred loss model for determining the allowance for credit losses. The adoption of the amended guidance resulted in a $132 million increase in the allowance for credit losses at January 1, 2020. Increases in the allowance for residential real estate loans and consumer loans, reflecting the longer-dated maturities of such portfolios, were offset somewhat by net decreases in the allowance for commercial loans resulting from lower loss estimates on demand loan products due to the assumption that the Company could require full repayment of such loans in the near-term. The following table depicts the changes in the allowance for credit losses by loan category resulting from the adoption of the amended guidance.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58" w:name="page59"/>
    <w:bookmarkEnd w:id="58"/>
    <w:p>
      <w:pPr>
        <w:spacing w:after="0"/>
        <w:rPr>
          <w:sz w:val="20"/>
          <w:szCs w:val="20"/>
          <w:color w:val="auto"/>
        </w:rPr>
      </w:pPr>
      <w:r>
        <w:rPr>
          <w:rFonts w:ascii="Arial" w:cs="Arial" w:eastAsia="Arial" w:hAnsi="Arial"/>
          <w:sz w:val="21"/>
          <w:szCs w:val="21"/>
          <w:color w:val="auto"/>
        </w:rPr>
        <w:t>IMPACT OF ADOPTION OF AMENDED ACCOUNTING GUIDANCE ON ALLOWANCE FOR CREDIT LOSSES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9"/>
              </w:rPr>
              <w:t>Balance</w:t>
            </w:r>
          </w:p>
        </w:tc>
        <w:tc>
          <w:tcPr>
            <w:tcW w:w="16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4"/>
              </w:rPr>
              <w:t>Impact of Adoption</w:t>
            </w:r>
          </w:p>
        </w:tc>
        <w:tc>
          <w:tcPr>
            <w:tcW w:w="14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Balance</w:t>
            </w:r>
          </w:p>
        </w:tc>
      </w:tr>
      <w:tr>
        <w:trPr>
          <w:trHeight w:val="171"/>
        </w:trPr>
        <w:tc>
          <w:tcPr>
            <w:tcW w:w="3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5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1"/>
              </w:rPr>
              <w:t>December 31, 2019</w:t>
            </w:r>
          </w:p>
        </w:tc>
        <w:tc>
          <w:tcPr>
            <w:tcW w:w="16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0"/>
              </w:rPr>
              <w:t>Increase (Decrease)</w:t>
            </w:r>
          </w:p>
        </w:tc>
        <w:tc>
          <w:tcPr>
            <w:tcW w:w="14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January 1, 2020</w:t>
            </w:r>
          </w:p>
        </w:tc>
      </w:tr>
      <w:tr>
        <w:trPr>
          <w:trHeight w:val="180"/>
        </w:trPr>
        <w:tc>
          <w:tcPr>
            <w:tcW w:w="3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93"/>
              </w:rPr>
              <w:t>(In thousands)</w:t>
            </w:r>
          </w:p>
        </w:tc>
        <w:tc>
          <w:tcPr>
            <w:tcW w:w="1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38"/>
        </w:trPr>
        <w:tc>
          <w:tcPr>
            <w:tcW w:w="3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256"/>
        </w:trPr>
        <w:tc>
          <w:tcPr>
            <w:tcW w:w="3680" w:type="dxa"/>
            <w:vAlign w:val="bottom"/>
            <w:shd w:val="clear" w:color="auto" w:fill="CFF0FC"/>
          </w:tcPr>
          <w:p>
            <w:pPr>
              <w:spacing w:after="0"/>
              <w:rPr>
                <w:sz w:val="20"/>
                <w:szCs w:val="20"/>
                <w:color w:val="auto"/>
              </w:rPr>
            </w:pPr>
            <w:r>
              <w:rPr>
                <w:rFonts w:ascii="Arial" w:cs="Arial" w:eastAsia="Arial" w:hAnsi="Arial"/>
                <w:sz w:val="21"/>
                <w:szCs w:val="21"/>
                <w:color w:val="auto"/>
              </w:rPr>
              <w:t>Commercial, financial, leasing, etc.</w:t>
            </w:r>
          </w:p>
        </w:tc>
        <w:tc>
          <w:tcPr>
            <w:tcW w:w="980" w:type="dxa"/>
            <w:vAlign w:val="bottom"/>
            <w:gridSpan w:val="2"/>
            <w:shd w:val="clear" w:color="auto" w:fill="CFF0FC"/>
          </w:tcPr>
          <w:p>
            <w:pPr>
              <w:jc w:val="right"/>
              <w:ind w:right="75"/>
              <w:spacing w:after="0"/>
              <w:rPr>
                <w:sz w:val="20"/>
                <w:szCs w:val="20"/>
                <w:color w:val="auto"/>
              </w:rPr>
            </w:pPr>
            <w:r>
              <w:rPr>
                <w:rFonts w:ascii="Arial" w:cs="Arial" w:eastAsia="Arial" w:hAnsi="Arial"/>
                <w:sz w:val="21"/>
                <w:szCs w:val="21"/>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21"/>
                <w:szCs w:val="21"/>
                <w:color w:val="auto"/>
              </w:rPr>
              <w:t>366,094</w:t>
            </w:r>
          </w:p>
        </w:tc>
        <w:tc>
          <w:tcPr>
            <w:tcW w:w="24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440" w:type="dxa"/>
            <w:vAlign w:val="bottom"/>
            <w:gridSpan w:val="2"/>
            <w:shd w:val="clear" w:color="auto" w:fill="CFF0FC"/>
          </w:tcPr>
          <w:p>
            <w:pPr>
              <w:jc w:val="right"/>
              <w:ind w:right="200"/>
              <w:spacing w:after="0"/>
              <w:rPr>
                <w:sz w:val="20"/>
                <w:szCs w:val="20"/>
                <w:color w:val="auto"/>
              </w:rPr>
            </w:pPr>
            <w:r>
              <w:rPr>
                <w:rFonts w:ascii="Arial" w:cs="Arial" w:eastAsia="Arial" w:hAnsi="Arial"/>
                <w:sz w:val="21"/>
                <w:szCs w:val="21"/>
                <w:color w:val="auto"/>
              </w:rPr>
              <w:t>(61,474)</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21"/>
                <w:szCs w:val="21"/>
                <w:color w:val="auto"/>
              </w:rPr>
              <w:t>304,620</w:t>
            </w:r>
          </w:p>
        </w:tc>
        <w:tc>
          <w:tcPr>
            <w:tcW w:w="80" w:type="dxa"/>
            <w:vAlign w:val="bottom"/>
            <w:shd w:val="clear" w:color="auto" w:fill="CFF0FC"/>
          </w:tcPr>
          <w:p>
            <w:pPr>
              <w:spacing w:after="0"/>
              <w:rPr>
                <w:sz w:val="22"/>
                <w:szCs w:val="22"/>
                <w:color w:val="auto"/>
              </w:rPr>
            </w:pPr>
          </w:p>
        </w:tc>
      </w:tr>
      <w:tr>
        <w:trPr>
          <w:trHeight w:val="256"/>
        </w:trPr>
        <w:tc>
          <w:tcPr>
            <w:tcW w:w="3680" w:type="dxa"/>
            <w:vAlign w:val="bottom"/>
          </w:tcPr>
          <w:p>
            <w:pPr>
              <w:spacing w:after="0"/>
              <w:rPr>
                <w:sz w:val="20"/>
                <w:szCs w:val="20"/>
                <w:color w:val="auto"/>
              </w:rPr>
            </w:pPr>
            <w:r>
              <w:rPr>
                <w:rFonts w:ascii="Arial" w:cs="Arial" w:eastAsia="Arial" w:hAnsi="Arial"/>
                <w:sz w:val="21"/>
                <w:szCs w:val="21"/>
                <w:color w:val="auto"/>
              </w:rPr>
              <w:t>Commercial real estate</w:t>
            </w:r>
          </w:p>
        </w:tc>
        <w:tc>
          <w:tcPr>
            <w:tcW w:w="7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1"/>
                <w:szCs w:val="21"/>
                <w:color w:val="auto"/>
              </w:rPr>
              <w:t>322,201</w:t>
            </w: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21"/>
                <w:szCs w:val="21"/>
                <w:color w:val="auto"/>
              </w:rPr>
              <w:t>23,656</w:t>
            </w: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21"/>
                <w:szCs w:val="21"/>
                <w:color w:val="auto"/>
              </w:rPr>
              <w:t>345,857</w:t>
            </w:r>
          </w:p>
        </w:tc>
        <w:tc>
          <w:tcPr>
            <w:tcW w:w="80" w:type="dxa"/>
            <w:vAlign w:val="bottom"/>
          </w:tcPr>
          <w:p>
            <w:pPr>
              <w:spacing w:after="0"/>
              <w:rPr>
                <w:sz w:val="22"/>
                <w:szCs w:val="22"/>
                <w:color w:val="auto"/>
              </w:rPr>
            </w:pPr>
          </w:p>
        </w:tc>
      </w:tr>
      <w:tr>
        <w:trPr>
          <w:trHeight w:val="256"/>
        </w:trPr>
        <w:tc>
          <w:tcPr>
            <w:tcW w:w="3680" w:type="dxa"/>
            <w:vAlign w:val="bottom"/>
            <w:shd w:val="clear" w:color="auto" w:fill="CFF0FC"/>
          </w:tcPr>
          <w:p>
            <w:pPr>
              <w:spacing w:after="0"/>
              <w:rPr>
                <w:sz w:val="20"/>
                <w:szCs w:val="20"/>
                <w:color w:val="auto"/>
              </w:rPr>
            </w:pPr>
            <w:r>
              <w:rPr>
                <w:rFonts w:ascii="Arial" w:cs="Arial" w:eastAsia="Arial" w:hAnsi="Arial"/>
                <w:sz w:val="21"/>
                <w:szCs w:val="21"/>
                <w:color w:val="auto"/>
              </w:rPr>
              <w:t>Residential real estate</w:t>
            </w:r>
          </w:p>
        </w:tc>
        <w:tc>
          <w:tcPr>
            <w:tcW w:w="7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21"/>
                <w:szCs w:val="21"/>
                <w:color w:val="auto"/>
              </w:rPr>
              <w:t>56,033</w:t>
            </w:r>
          </w:p>
        </w:tc>
        <w:tc>
          <w:tcPr>
            <w:tcW w:w="2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21"/>
                <w:szCs w:val="21"/>
                <w:color w:val="auto"/>
              </w:rPr>
              <w:t>53,896</w:t>
            </w:r>
          </w:p>
        </w:tc>
        <w:tc>
          <w:tcPr>
            <w:tcW w:w="2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21"/>
                <w:szCs w:val="21"/>
                <w:color w:val="auto"/>
              </w:rPr>
              <w:t>109,929</w:t>
            </w:r>
          </w:p>
        </w:tc>
        <w:tc>
          <w:tcPr>
            <w:tcW w:w="80" w:type="dxa"/>
            <w:vAlign w:val="bottom"/>
            <w:shd w:val="clear" w:color="auto" w:fill="CFF0FC"/>
          </w:tcPr>
          <w:p>
            <w:pPr>
              <w:spacing w:after="0"/>
              <w:rPr>
                <w:sz w:val="22"/>
                <w:szCs w:val="22"/>
                <w:color w:val="auto"/>
              </w:rPr>
            </w:pPr>
          </w:p>
        </w:tc>
      </w:tr>
      <w:tr>
        <w:trPr>
          <w:trHeight w:val="256"/>
        </w:trPr>
        <w:tc>
          <w:tcPr>
            <w:tcW w:w="3680" w:type="dxa"/>
            <w:vAlign w:val="bottom"/>
          </w:tcPr>
          <w:p>
            <w:pPr>
              <w:spacing w:after="0"/>
              <w:rPr>
                <w:sz w:val="20"/>
                <w:szCs w:val="20"/>
                <w:color w:val="auto"/>
              </w:rPr>
            </w:pPr>
            <w:r>
              <w:rPr>
                <w:rFonts w:ascii="Arial" w:cs="Arial" w:eastAsia="Arial" w:hAnsi="Arial"/>
                <w:sz w:val="21"/>
                <w:szCs w:val="21"/>
                <w:color w:val="auto"/>
              </w:rPr>
              <w:t>Consumer</w:t>
            </w:r>
          </w:p>
        </w:tc>
        <w:tc>
          <w:tcPr>
            <w:tcW w:w="7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1"/>
                <w:szCs w:val="21"/>
                <w:color w:val="auto"/>
              </w:rPr>
              <w:t>229,118</w:t>
            </w: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21"/>
                <w:szCs w:val="21"/>
                <w:color w:val="auto"/>
              </w:rPr>
              <w:t>194,004</w:t>
            </w: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21"/>
                <w:szCs w:val="21"/>
                <w:color w:val="auto"/>
              </w:rPr>
              <w:t>423,122</w:t>
            </w:r>
          </w:p>
        </w:tc>
        <w:tc>
          <w:tcPr>
            <w:tcW w:w="80" w:type="dxa"/>
            <w:vAlign w:val="bottom"/>
          </w:tcPr>
          <w:p>
            <w:pPr>
              <w:spacing w:after="0"/>
              <w:rPr>
                <w:sz w:val="22"/>
                <w:szCs w:val="22"/>
                <w:color w:val="auto"/>
              </w:rPr>
            </w:pPr>
          </w:p>
        </w:tc>
      </w:tr>
      <w:tr>
        <w:trPr>
          <w:trHeight w:val="256"/>
        </w:trPr>
        <w:tc>
          <w:tcPr>
            <w:tcW w:w="3680" w:type="dxa"/>
            <w:vAlign w:val="bottom"/>
            <w:shd w:val="clear" w:color="auto" w:fill="CFF0FC"/>
          </w:tcPr>
          <w:p>
            <w:pPr>
              <w:spacing w:after="0"/>
              <w:rPr>
                <w:sz w:val="20"/>
                <w:szCs w:val="20"/>
                <w:color w:val="auto"/>
              </w:rPr>
            </w:pPr>
            <w:r>
              <w:rPr>
                <w:rFonts w:ascii="Arial" w:cs="Arial" w:eastAsia="Arial" w:hAnsi="Arial"/>
                <w:sz w:val="21"/>
                <w:szCs w:val="21"/>
                <w:color w:val="auto"/>
              </w:rPr>
              <w:t>Unallocated</w:t>
            </w:r>
          </w:p>
        </w:tc>
        <w:tc>
          <w:tcPr>
            <w:tcW w:w="7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21"/>
                <w:szCs w:val="21"/>
                <w:color w:val="auto"/>
              </w:rPr>
              <w:t>77,625</w:t>
            </w:r>
          </w:p>
        </w:tc>
        <w:tc>
          <w:tcPr>
            <w:tcW w:w="2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440" w:type="dxa"/>
            <w:vAlign w:val="bottom"/>
            <w:gridSpan w:val="2"/>
            <w:shd w:val="clear" w:color="auto" w:fill="CFF0FC"/>
          </w:tcPr>
          <w:p>
            <w:pPr>
              <w:jc w:val="right"/>
              <w:ind w:right="200"/>
              <w:spacing w:after="0"/>
              <w:rPr>
                <w:sz w:val="20"/>
                <w:szCs w:val="20"/>
                <w:color w:val="auto"/>
              </w:rPr>
            </w:pPr>
            <w:r>
              <w:rPr>
                <w:rFonts w:ascii="Arial" w:cs="Arial" w:eastAsia="Arial" w:hAnsi="Arial"/>
                <w:sz w:val="21"/>
                <w:szCs w:val="21"/>
                <w:color w:val="auto"/>
              </w:rPr>
              <w:t>(77,625)</w:t>
            </w:r>
          </w:p>
        </w:tc>
        <w:tc>
          <w:tcPr>
            <w:tcW w:w="140" w:type="dxa"/>
            <w:vAlign w:val="bottom"/>
            <w:shd w:val="clear" w:color="auto" w:fill="CFF0FC"/>
          </w:tcPr>
          <w:p>
            <w:pPr>
              <w:spacing w:after="0"/>
              <w:rPr>
                <w:sz w:val="22"/>
                <w:szCs w:val="22"/>
                <w:color w:val="auto"/>
              </w:rPr>
            </w:pPr>
          </w:p>
        </w:tc>
        <w:tc>
          <w:tcPr>
            <w:tcW w:w="1260" w:type="dxa"/>
            <w:vAlign w:val="bottom"/>
            <w:gridSpan w:val="2"/>
            <w:shd w:val="clear" w:color="auto" w:fill="CFF0FC"/>
          </w:tcPr>
          <w:p>
            <w:pPr>
              <w:jc w:val="right"/>
              <w:ind w:right="80"/>
              <w:spacing w:after="0"/>
              <w:rPr>
                <w:sz w:val="20"/>
                <w:szCs w:val="20"/>
                <w:color w:val="auto"/>
              </w:rPr>
            </w:pPr>
            <w:r>
              <w:rPr>
                <w:rFonts w:ascii="Arial" w:cs="Arial" w:eastAsia="Arial" w:hAnsi="Arial"/>
                <w:sz w:val="21"/>
                <w:szCs w:val="21"/>
                <w:color w:val="auto"/>
              </w:rPr>
              <w:t>—</w:t>
            </w:r>
          </w:p>
        </w:tc>
      </w:tr>
      <w:tr>
        <w:trPr>
          <w:trHeight w:val="250"/>
        </w:trPr>
        <w:tc>
          <w:tcPr>
            <w:tcW w:w="3680" w:type="dxa"/>
            <w:vAlign w:val="bottom"/>
          </w:tcPr>
          <w:p>
            <w:pPr>
              <w:ind w:left="260"/>
              <w:spacing w:after="0"/>
              <w:rPr>
                <w:sz w:val="20"/>
                <w:szCs w:val="20"/>
                <w:color w:val="auto"/>
              </w:rPr>
            </w:pPr>
            <w:r>
              <w:rPr>
                <w:rFonts w:ascii="Arial" w:cs="Arial" w:eastAsia="Arial" w:hAnsi="Arial"/>
                <w:sz w:val="21"/>
                <w:szCs w:val="21"/>
                <w:color w:val="auto"/>
              </w:rPr>
              <w:t>Total</w:t>
            </w:r>
          </w:p>
        </w:tc>
        <w:tc>
          <w:tcPr>
            <w:tcW w:w="7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20"/>
                <w:szCs w:val="20"/>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1"/>
                <w:szCs w:val="21"/>
                <w:color w:val="auto"/>
              </w:rPr>
              <w:t>1,051,071</w:t>
            </w:r>
          </w:p>
        </w:tc>
        <w:tc>
          <w:tcPr>
            <w:tcW w:w="24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1"/>
                <w:szCs w:val="21"/>
                <w:color w:val="auto"/>
              </w:rPr>
              <w:t>132,457</w:t>
            </w:r>
          </w:p>
        </w:tc>
        <w:tc>
          <w:tcPr>
            <w:tcW w:w="26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1"/>
                <w:szCs w:val="21"/>
                <w:color w:val="auto"/>
              </w:rPr>
              <w:t>1,183,528</w:t>
            </w:r>
          </w:p>
        </w:tc>
        <w:tc>
          <w:tcPr>
            <w:tcW w:w="80" w:type="dxa"/>
            <w:vAlign w:val="bottom"/>
          </w:tcPr>
          <w:p>
            <w:pPr>
              <w:spacing w:after="0"/>
              <w:rPr>
                <w:sz w:val="21"/>
                <w:szCs w:val="21"/>
                <w:color w:val="auto"/>
              </w:rPr>
            </w:pPr>
          </w:p>
        </w:tc>
      </w:tr>
      <w:tr>
        <w:trPr>
          <w:trHeight w:val="20"/>
        </w:trPr>
        <w:tc>
          <w:tcPr>
            <w:tcW w:w="3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510"/>
        <w:spacing w:after="0" w:line="258" w:lineRule="auto"/>
        <w:rPr>
          <w:sz w:val="20"/>
          <w:szCs w:val="20"/>
          <w:color w:val="auto"/>
        </w:rPr>
      </w:pPr>
      <w:r>
        <w:rPr>
          <w:rFonts w:ascii="Arial" w:cs="Arial" w:eastAsia="Arial" w:hAnsi="Arial"/>
          <w:sz w:val="20"/>
          <w:szCs w:val="20"/>
          <w:color w:val="auto"/>
        </w:rPr>
        <w:t>The amended guidance requires estimated credit losses on loans acquired at a discount to be reflected in the allowance for credit losses. Previously, such losses were netted in the carrying value of the loans unless there was an increased loss expectation subsequent to their acquisition. The gross-up of the estimated losses on loans acquired at a discount that was previously not recognized in the allowance for credit losses was $18 million on January 1, 2020. Prior to January 1, 2020, the Company generally recognized interest income on loans acquired at a discount regardless of the borrowers’ repayment status. Effective with the adoption of the new accounting guidance, the Company’s nonaccrual loan policy now applies to loans acquired at a discount. Loans acquired at a discount at December 31, 2019 included $171 million of loans that, effective with the adoption of the new guidance, were classified as non-accrual loans on January 1, 2020.</w:t>
      </w:r>
    </w:p>
    <w:p>
      <w:pPr>
        <w:spacing w:after="0" w:line="72"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9"/>
          <w:szCs w:val="19"/>
          <w:color w:val="auto"/>
        </w:rPr>
        <w:t>A provision for credit losses is recorded to adjust the level of the allowance as deemed necessary by management. The provision for credit losses in the first quarter of 2020 was $250 million, compared with $22 million in the year-earlier quarter and $54 million in the fourth quarter of 2019. As noted earlier, the significant increase in the provision in the recent quarter as compared with the prior quarters follows adoption of the new accounting guidance on January 1, 2020 and reflects updated assumptions and projections that considered the deteriorating macroeconomic outlook resulting from the COVID-19 pandemic. Net charge-offs of loans were $49 million in the recent quarter, compared with $22 million and $41 million in the first and fourth quarters of 2019, respectively. Net charge-offs as an annualized percentage of average loans and leases were .22% in the initial 2020 quarter, .10% in the similar quarter of 2019 and .18% in the final quarter of 2019. A summary of net charge-offs by loan type is presented in the table that follows.</w:t>
      </w:r>
    </w:p>
    <w:p>
      <w:pPr>
        <w:spacing w:after="0" w:line="61" w:lineRule="exact"/>
        <w:rPr>
          <w:sz w:val="20"/>
          <w:szCs w:val="20"/>
          <w:color w:val="auto"/>
        </w:rPr>
      </w:pPr>
    </w:p>
    <w:p>
      <w:pPr>
        <w:spacing w:after="0"/>
        <w:rPr>
          <w:sz w:val="20"/>
          <w:szCs w:val="20"/>
          <w:color w:val="auto"/>
        </w:rPr>
      </w:pPr>
      <w:r>
        <w:rPr>
          <w:rFonts w:ascii="Arial" w:cs="Arial" w:eastAsia="Arial" w:hAnsi="Arial"/>
          <w:sz w:val="21"/>
          <w:szCs w:val="21"/>
          <w:color w:val="auto"/>
        </w:rPr>
        <w:t>NET CHARGE-OFFS (RECOVERIES)</w:t>
      </w:r>
    </w:p>
    <w:p>
      <w:pPr>
        <w:spacing w:after="0" w:line="19" w:lineRule="exact"/>
        <w:rPr>
          <w:sz w:val="20"/>
          <w:szCs w:val="20"/>
          <w:color w:val="auto"/>
        </w:rPr>
      </w:pPr>
    </w:p>
    <w:p>
      <w:pPr>
        <w:spacing w:after="0"/>
        <w:rPr>
          <w:sz w:val="20"/>
          <w:szCs w:val="20"/>
          <w:color w:val="auto"/>
        </w:rPr>
      </w:pPr>
      <w:r>
        <w:rPr>
          <w:rFonts w:ascii="Arial" w:cs="Arial" w:eastAsia="Arial" w:hAnsi="Arial"/>
          <w:sz w:val="21"/>
          <w:szCs w:val="21"/>
          <w:color w:val="auto"/>
        </w:rPr>
        <w:t>BY LOAN/LEASE TYPE</w:t>
      </w:r>
    </w:p>
    <w:tbl>
      <w:tblPr>
        <w:tblLayout w:type="fixed"/>
        <w:tblInd w:w="0" w:type="dxa"/>
        <w:tblCellMar>
          <w:top w:w="0" w:type="dxa"/>
          <w:left w:w="0" w:type="dxa"/>
          <w:bottom w:w="0" w:type="dxa"/>
          <w:right w:w="0" w:type="dxa"/>
        </w:tblCellMar>
      </w:tblPr>
      <w:tr>
        <w:trPr>
          <w:trHeight w:val="136"/>
        </w:trPr>
        <w:tc>
          <w:tcPr>
            <w:tcW w:w="400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center"/>
              <w:ind w:right="57"/>
              <w:spacing w:after="0" w:line="136" w:lineRule="exact"/>
              <w:rPr>
                <w:sz w:val="20"/>
                <w:szCs w:val="20"/>
                <w:color w:val="auto"/>
              </w:rPr>
            </w:pPr>
            <w:r>
              <w:rPr>
                <w:rFonts w:ascii="Arial" w:cs="Arial" w:eastAsia="Arial" w:hAnsi="Arial"/>
                <w:sz w:val="14"/>
                <w:szCs w:val="14"/>
                <w:b w:val="1"/>
                <w:bCs w:val="1"/>
                <w:color w:val="auto"/>
                <w:w w:val="98"/>
              </w:rPr>
              <w:t>First</w:t>
            </w:r>
          </w:p>
        </w:tc>
        <w:tc>
          <w:tcPr>
            <w:tcW w:w="300" w:type="dxa"/>
            <w:vAlign w:val="bottom"/>
          </w:tcPr>
          <w:p>
            <w:pPr>
              <w:spacing w:after="0"/>
              <w:rPr>
                <w:sz w:val="11"/>
                <w:szCs w:val="11"/>
                <w:color w:val="auto"/>
              </w:rPr>
            </w:pPr>
          </w:p>
        </w:tc>
        <w:tc>
          <w:tcPr>
            <w:tcW w:w="1080" w:type="dxa"/>
            <w:vAlign w:val="bottom"/>
            <w:gridSpan w:val="2"/>
          </w:tcPr>
          <w:p>
            <w:pPr>
              <w:jc w:val="center"/>
              <w:ind w:right="300"/>
              <w:spacing w:after="0" w:line="136" w:lineRule="exact"/>
              <w:rPr>
                <w:sz w:val="20"/>
                <w:szCs w:val="20"/>
                <w:color w:val="auto"/>
              </w:rPr>
            </w:pPr>
            <w:r>
              <w:rPr>
                <w:rFonts w:ascii="Arial" w:cs="Arial" w:eastAsia="Arial" w:hAnsi="Arial"/>
                <w:sz w:val="14"/>
                <w:szCs w:val="14"/>
                <w:b w:val="1"/>
                <w:bCs w:val="1"/>
                <w:color w:val="auto"/>
                <w:w w:val="98"/>
              </w:rPr>
              <w:t>First</w:t>
            </w:r>
          </w:p>
        </w:tc>
        <w:tc>
          <w:tcPr>
            <w:tcW w:w="880" w:type="dxa"/>
            <w:vAlign w:val="bottom"/>
            <w:gridSpan w:val="2"/>
          </w:tcPr>
          <w:p>
            <w:pPr>
              <w:jc w:val="center"/>
              <w:ind w:right="100"/>
              <w:spacing w:after="0" w:line="136" w:lineRule="exact"/>
              <w:rPr>
                <w:sz w:val="20"/>
                <w:szCs w:val="20"/>
                <w:color w:val="auto"/>
              </w:rPr>
            </w:pPr>
            <w:r>
              <w:rPr>
                <w:rFonts w:ascii="Arial" w:cs="Arial" w:eastAsia="Arial" w:hAnsi="Arial"/>
                <w:sz w:val="14"/>
                <w:szCs w:val="14"/>
                <w:b w:val="1"/>
                <w:bCs w:val="1"/>
                <w:color w:val="auto"/>
                <w:w w:val="94"/>
              </w:rPr>
              <w:t>Fourth</w:t>
            </w:r>
          </w:p>
        </w:tc>
        <w:tc>
          <w:tcPr>
            <w:tcW w:w="2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0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center"/>
              <w:ind w:right="57"/>
              <w:spacing w:after="0"/>
              <w:rPr>
                <w:sz w:val="20"/>
                <w:szCs w:val="20"/>
                <w:color w:val="auto"/>
              </w:rPr>
            </w:pPr>
            <w:r>
              <w:rPr>
                <w:rFonts w:ascii="Arial" w:cs="Arial" w:eastAsia="Arial" w:hAnsi="Arial"/>
                <w:sz w:val="14"/>
                <w:szCs w:val="14"/>
                <w:b w:val="1"/>
                <w:bCs w:val="1"/>
                <w:color w:val="auto"/>
                <w:w w:val="98"/>
              </w:rPr>
              <w:t>Quarter</w:t>
            </w:r>
          </w:p>
        </w:tc>
        <w:tc>
          <w:tcPr>
            <w:tcW w:w="30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Quarter</w:t>
            </w:r>
          </w:p>
        </w:tc>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Quarter</w:t>
            </w:r>
          </w:p>
        </w:tc>
        <w:tc>
          <w:tcPr>
            <w:tcW w:w="2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6"/>
              </w:rPr>
              <w:t>2020</w:t>
            </w:r>
          </w:p>
        </w:tc>
        <w:tc>
          <w:tcPr>
            <w:tcW w:w="1080" w:type="dxa"/>
            <w:vAlign w:val="bottom"/>
            <w:tcBorders>
              <w:bottom w:val="single" w:sz="8" w:color="auto"/>
            </w:tcBorders>
            <w:gridSpan w:val="2"/>
          </w:tcPr>
          <w:p>
            <w:pPr>
              <w:jc w:val="center"/>
              <w:ind w:left="196"/>
              <w:spacing w:after="0"/>
              <w:rPr>
                <w:sz w:val="20"/>
                <w:szCs w:val="20"/>
                <w:color w:val="auto"/>
              </w:rPr>
            </w:pPr>
            <w:r>
              <w:rPr>
                <w:rFonts w:ascii="Arial" w:cs="Arial" w:eastAsia="Arial" w:hAnsi="Arial"/>
                <w:sz w:val="14"/>
                <w:szCs w:val="14"/>
                <w:b w:val="1"/>
                <w:bCs w:val="1"/>
                <w:color w:val="auto"/>
                <w:w w:val="89"/>
              </w:rPr>
              <w:t>2019</w:t>
            </w:r>
          </w:p>
        </w:tc>
        <w:tc>
          <w:tcPr>
            <w:tcW w:w="3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2019</w:t>
            </w:r>
          </w:p>
        </w:tc>
        <w:tc>
          <w:tcPr>
            <w:tcW w:w="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40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3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1"/>
              </w:rPr>
              <w:t>(In thousands)</w:t>
            </w: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6"/>
        </w:trPr>
        <w:tc>
          <w:tcPr>
            <w:tcW w:w="4000" w:type="dxa"/>
            <w:vAlign w:val="bottom"/>
          </w:tcPr>
          <w:p>
            <w:pPr>
              <w:spacing w:after="0"/>
              <w:rPr>
                <w:sz w:val="20"/>
                <w:szCs w:val="20"/>
                <w:color w:val="auto"/>
              </w:rPr>
            </w:pPr>
            <w:r>
              <w:rPr>
                <w:rFonts w:ascii="Arial" w:cs="Arial" w:eastAsia="Arial" w:hAnsi="Arial"/>
                <w:sz w:val="18"/>
                <w:szCs w:val="18"/>
                <w:color w:val="auto"/>
              </w:rPr>
              <w:t>Commercial, financial, leasing, etc.</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13,122</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706</w:t>
            </w:r>
          </w:p>
        </w:tc>
        <w:tc>
          <w:tcPr>
            <w:tcW w:w="3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13,907</w:t>
            </w: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Real estate:</w:t>
            </w:r>
          </w:p>
        </w:tc>
        <w:tc>
          <w:tcPr>
            <w:tcW w:w="1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260"/>
              <w:spacing w:after="0"/>
              <w:rPr>
                <w:sz w:val="20"/>
                <w:szCs w:val="20"/>
                <w:color w:val="auto"/>
              </w:rPr>
            </w:pPr>
            <w:r>
              <w:rPr>
                <w:rFonts w:ascii="Arial" w:cs="Arial" w:eastAsia="Arial" w:hAnsi="Arial"/>
                <w:sz w:val="18"/>
                <w:szCs w:val="18"/>
                <w:color w:val="auto"/>
              </w:rPr>
              <w:t>Commercial</w:t>
            </w: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834</w:t>
            </w:r>
          </w:p>
        </w:tc>
        <w:tc>
          <w:tcPr>
            <w:tcW w:w="1380" w:type="dxa"/>
            <w:vAlign w:val="bottom"/>
            <w:gridSpan w:val="3"/>
          </w:tcPr>
          <w:p>
            <w:pPr>
              <w:jc w:val="right"/>
              <w:ind w:right="240"/>
              <w:spacing w:after="0"/>
              <w:rPr>
                <w:sz w:val="20"/>
                <w:szCs w:val="20"/>
                <w:color w:val="auto"/>
              </w:rPr>
            </w:pPr>
            <w:r>
              <w:rPr>
                <w:rFonts w:ascii="Arial" w:cs="Arial" w:eastAsia="Arial" w:hAnsi="Arial"/>
                <w:sz w:val="18"/>
                <w:szCs w:val="18"/>
                <w:color w:val="auto"/>
              </w:rPr>
              <w:t>(543)</w:t>
            </w:r>
          </w:p>
        </w:tc>
        <w:tc>
          <w:tcPr>
            <w:tcW w:w="800" w:type="dxa"/>
            <w:vAlign w:val="bottom"/>
          </w:tcPr>
          <w:p>
            <w:pPr>
              <w:jc w:val="right"/>
              <w:spacing w:after="0"/>
              <w:rPr>
                <w:sz w:val="20"/>
                <w:szCs w:val="20"/>
                <w:color w:val="auto"/>
              </w:rPr>
            </w:pPr>
            <w:r>
              <w:rPr>
                <w:rFonts w:ascii="Arial" w:cs="Arial" w:eastAsia="Arial" w:hAnsi="Arial"/>
                <w:sz w:val="18"/>
                <w:szCs w:val="18"/>
                <w:color w:val="auto"/>
              </w:rPr>
              <w:t>620</w:t>
            </w:r>
          </w:p>
        </w:tc>
        <w:tc>
          <w:tcPr>
            <w:tcW w:w="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Residential</w:t>
            </w:r>
          </w:p>
        </w:tc>
        <w:tc>
          <w:tcPr>
            <w:tcW w:w="1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3,428</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1,542</w:t>
            </w: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FF0FC"/>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tcPr>
          <w:p>
            <w:pPr>
              <w:spacing w:after="0"/>
              <w:rPr>
                <w:sz w:val="20"/>
                <w:szCs w:val="20"/>
                <w:color w:val="auto"/>
              </w:rPr>
            </w:pPr>
            <w:r>
              <w:rPr>
                <w:rFonts w:ascii="Arial" w:cs="Arial" w:eastAsia="Arial" w:hAnsi="Arial"/>
                <w:sz w:val="18"/>
                <w:szCs w:val="18"/>
                <w:color w:val="auto"/>
              </w:rPr>
              <w:t>Consumer</w:t>
            </w: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31,778</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20,402</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26,833</w:t>
            </w:r>
          </w:p>
        </w:tc>
        <w:tc>
          <w:tcPr>
            <w:tcW w:w="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0" w:type="dxa"/>
            <w:vAlign w:val="bottom"/>
            <w:tcBorders>
              <w:top w:val="single" w:sz="8" w:color="CFF0FC"/>
              <w:bottom w:val="single" w:sz="8" w:color="CFF0FC"/>
            </w:tcBorders>
            <w:shd w:val="clear" w:color="auto" w:fill="CFF0FC"/>
          </w:tcPr>
          <w:p>
            <w:pPr>
              <w:spacing w:after="0"/>
              <w:rPr>
                <w:sz w:val="19"/>
                <w:szCs w:val="19"/>
                <w:color w:val="auto"/>
              </w:rPr>
            </w:pPr>
          </w:p>
        </w:tc>
        <w:tc>
          <w:tcPr>
            <w:tcW w:w="19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49,162</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22,107</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41,366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920" w:type="dxa"/>
            <w:vAlign w:val="bottom"/>
            <w:vMerge w:val="restart"/>
          </w:tcPr>
          <w:p>
            <w:pPr>
              <w:jc w:val="right"/>
              <w:ind w:right="10"/>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000" w:type="dxa"/>
            <w:vAlign w:val="bottom"/>
          </w:tcPr>
          <w:p>
            <w:pPr>
              <w:spacing w:after="0"/>
              <w:rPr>
                <w:sz w:val="24"/>
                <w:szCs w:val="24"/>
                <w:color w:val="auto"/>
              </w:rPr>
            </w:pPr>
          </w:p>
        </w:tc>
        <w:tc>
          <w:tcPr>
            <w:tcW w:w="19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00" w:type="dxa"/>
            <w:vAlign w:val="bottom"/>
            <w:tcBorders>
              <w:bottom w:val="single" w:sz="8" w:color="9A9A9A"/>
            </w:tcBorders>
          </w:tcPr>
          <w:p>
            <w:pPr>
              <w:spacing w:after="0"/>
              <w:rPr>
                <w:sz w:val="9"/>
                <w:szCs w:val="9"/>
                <w:color w:val="auto"/>
              </w:rPr>
            </w:pPr>
          </w:p>
        </w:tc>
        <w:tc>
          <w:tcPr>
            <w:tcW w:w="19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2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-7620</wp:posOffset>
            </wp:positionV>
            <wp:extent cx="825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25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59" w:name="page60"/>
    <w:bookmarkEnd w:id="59"/>
    <w:p>
      <w:pPr>
        <w:jc w:val="both"/>
        <w:ind w:firstLine="510"/>
        <w:spacing w:after="0" w:line="246" w:lineRule="auto"/>
        <w:rPr>
          <w:sz w:val="20"/>
          <w:szCs w:val="20"/>
          <w:color w:val="auto"/>
        </w:rPr>
      </w:pPr>
      <w:r>
        <w:rPr>
          <w:rFonts w:ascii="Arial" w:cs="Arial" w:eastAsia="Arial" w:hAnsi="Arial"/>
          <w:sz w:val="21"/>
          <w:szCs w:val="21"/>
          <w:color w:val="auto"/>
        </w:rPr>
        <w:t>Included in net charge-offs of consumer loans were net charge-offs of: automobile loans of $7 million in the each of the first quarters of 2020 and 2019 and $4 million in the fourth quarter of 2019; recreational finance loans of $9 million in the first quarter of 2020 and $7 million in each of the year-earlier quarter and the fourth quarter of 2019; and home equity loans and lines of credit secured by one-to-four family residential properties of $2 million in each of the first quarters of 2020 and the final 2019 quarter and $1 million in the first quarter of 2019.</w:t>
      </w:r>
    </w:p>
    <w:p>
      <w:pPr>
        <w:spacing w:after="0" w:line="84" w:lineRule="exact"/>
        <w:rPr>
          <w:sz w:val="20"/>
          <w:szCs w:val="20"/>
          <w:color w:val="auto"/>
        </w:rPr>
      </w:pPr>
    </w:p>
    <w:p>
      <w:pPr>
        <w:jc w:val="both"/>
        <w:ind w:firstLine="510"/>
        <w:spacing w:after="0" w:line="262" w:lineRule="auto"/>
        <w:rPr>
          <w:sz w:val="20"/>
          <w:szCs w:val="20"/>
          <w:color w:val="auto"/>
        </w:rPr>
      </w:pPr>
      <w:r>
        <w:rPr>
          <w:rFonts w:ascii="Arial" w:cs="Arial" w:eastAsia="Arial" w:hAnsi="Arial"/>
          <w:sz w:val="20"/>
          <w:szCs w:val="20"/>
          <w:color w:val="auto"/>
        </w:rPr>
        <w:t>Nonaccrual loans aggregated $1.06 billion or 1.13% of total loans and leases outstanding at March 31, 2020, compared with $1.13 billion or 1.25% at January 1, 2020. The adoption of the new accounting guidance resulted in an increase in nonaccrual loans on January 1, 2020 of approximately $171 million. Previously such loans would have been classified as either purchased impaired loans or acquired accruing loans past due 90 days or more. Nonaccrual loans at March 31, 2019 and December 31, 2019 totaled $882 million and $963 million, respectively, or .99% and 1.06% of total loans outstanding.</w:t>
      </w:r>
    </w:p>
    <w:p>
      <w:pPr>
        <w:spacing w:after="0" w:line="66"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9"/>
          <w:szCs w:val="19"/>
          <w:color w:val="auto"/>
        </w:rPr>
        <w:t>Accruing loans past due 90 days or more were $530 million or .56% of loans and leases at March 31, 2020. Accruing loans past due 90 days or more (excluding loans acquired at a discount) were $244 million or .28% of total loans outstanding at March 31, 2019 and $519 million or .57% of outstanding loans at December 31, 2019. Accruing loans past due 90 days or more included loans guaranteed by government-related entities of $464 million, $195 million and $480 million at March 31, 2020, March 31, 2019, and December 31, 2019, respectively. Guaranteed loans included one-to-four family residential mortgage loans serviced by the Company that were repurchased to reduce associated servicing costs, including a requirement to advance principal and interest payments that had not been received from individual mortgagors. Despite the loans being purchased by the Company, the insurance or guarantee by the applicable government-related entity remains in force. The outstanding principal balances of the repurchased loans that are guaranteed by government-related entities totaled $439 million at March 31, 2020, $169 million at March 31, 2019 and $452 million at December 31, 2019. The increase in such loans since March 31, 2019 resulted from loans associated with servicing the Company added in 2019. The remaining accruing loans past due 90 days or more not guaranteed by government-related entities were loans considered to be with creditworthy borrowers that were in the process of collection or renewal.</w:t>
      </w:r>
    </w:p>
    <w:p>
      <w:pPr>
        <w:spacing w:after="0" w:line="60"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20"/>
          <w:szCs w:val="20"/>
          <w:color w:val="auto"/>
        </w:rPr>
        <w:t>Prior to the adoption of the new accounting standard on January 1, 2020, the Company reported purchased impaired loans. Those loans were impaired at the date of acquisition, were recorded at estimated fair value and were generally delinquent in payments, but, in accordance with GAAP, the Company continued to accrue interest income on such loans based on the estimated expected cash flows associated with the loans. The amended accounting guidance requires estimated credit losses on loans acquired at a discount to now be reflected in the allowance for credit losses and effective with the adoption of the guidance, the Company’s nonaccrual loan policy now applies to such loans. The carrying amount of purchased impaired loans was $279 million at March 31, 2019 and $228 million at December 31, 2019.</w:t>
      </w:r>
    </w:p>
    <w:p>
      <w:pPr>
        <w:spacing w:after="0" w:line="70"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8"/>
          <w:szCs w:val="18"/>
          <w:color w:val="auto"/>
        </w:rPr>
        <w:t>The United States has been operating under a state of emergency related to the COVID-19 pandemic since March 13, 2020. The direct and indirect effects of the COVID-19 pandemic have resulted in a dramatic reduction in economic activity that has severely hampered the ability of some businesses and consumers to meet their repayment obligations. The CARES Act, in addition to providing financial assistance to both businesses and consumers, created a forbearance program for federally-backed mortgage loans, protects borrowers from negative credit reporting due to loan accommodations related to the national emergency, and provides financial institutions the option to temporarily suspend certain requirements under GAAP related to troubled debt restructurings for a limited period of time to account for the effects of COVID-19. The banking regulatory agencies have likewise issued guidance encouraging financial institutions to work prudently with borrowers who are, or may be, unable to meet their contractual payment obligations because of the effects of COVID-19. That guidance, with concurrence of the Financial Accounting Standards Board and provisions of the CARES Act, allow modifications made on a good faith basis in response to COVID-19 to borrowers who were generally current with their payments prior to any relief, to not be treated as troubled debt restructurings. Modifications may include payment deferrals, fee waivers, extensions of repayment terms, or other delays in payment. The Company has begun working with its customers affected by COVID-19 and expects a significant amount of modifications across many of its loan portfolios in the near term. To</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60" w:name="page61"/>
    <w:bookmarkEnd w:id="60"/>
    <w:p>
      <w:pPr>
        <w:jc w:val="both"/>
        <w:spacing w:after="0" w:line="263" w:lineRule="auto"/>
        <w:rPr>
          <w:sz w:val="20"/>
          <w:szCs w:val="20"/>
          <w:color w:val="auto"/>
        </w:rPr>
      </w:pPr>
      <w:r>
        <w:rPr>
          <w:rFonts w:ascii="Arial" w:cs="Arial" w:eastAsia="Arial" w:hAnsi="Arial"/>
          <w:sz w:val="21"/>
          <w:szCs w:val="21"/>
          <w:color w:val="auto"/>
        </w:rPr>
        <w:t>the extent that such modifications meet the criteria previously described, such modifications are not expected to be classified as troubled debt restructurings.</w:t>
      </w:r>
    </w:p>
    <w:p>
      <w:pPr>
        <w:spacing w:after="0" w:line="64" w:lineRule="exact"/>
        <w:rPr>
          <w:sz w:val="20"/>
          <w:szCs w:val="20"/>
          <w:color w:val="auto"/>
        </w:rPr>
      </w:pPr>
    </w:p>
    <w:p>
      <w:pPr>
        <w:jc w:val="both"/>
        <w:ind w:firstLine="510"/>
        <w:spacing w:after="0" w:line="244" w:lineRule="auto"/>
        <w:rPr>
          <w:sz w:val="20"/>
          <w:szCs w:val="20"/>
          <w:color w:val="auto"/>
        </w:rPr>
      </w:pPr>
      <w:r>
        <w:rPr>
          <w:rFonts w:ascii="Arial" w:cs="Arial" w:eastAsia="Arial" w:hAnsi="Arial"/>
          <w:sz w:val="21"/>
          <w:szCs w:val="21"/>
          <w:color w:val="auto"/>
        </w:rPr>
        <w:t>The Company also modified the terms of select loans in an effort to assist borrowers that were not related to the COVID-19 pandemic. If the borrower was experiencing financial difficulty and a concession was granted, the Company considered such modifications as troubled debt restructurings. Loan modifications included such actions as the extension of loan maturity dates and the lowering of interest rates and monthly payments. The objective of the modifications was to increase loan repayments by customers and thereby reduce net charge-offs. The modified loans are included in impaired loans for purposes of determining the level of the allowance for credit losses. Information about modifications of loans that are considered troubled debt restructurings is included in note 3 of Notes to Financial Statements.</w:t>
      </w:r>
    </w:p>
    <w:p>
      <w:pPr>
        <w:spacing w:after="0" w:line="88" w:lineRule="exact"/>
        <w:rPr>
          <w:sz w:val="20"/>
          <w:szCs w:val="20"/>
          <w:color w:val="auto"/>
        </w:rPr>
      </w:pPr>
    </w:p>
    <w:p>
      <w:pPr>
        <w:jc w:val="both"/>
        <w:ind w:firstLine="510"/>
        <w:spacing w:after="0" w:line="246" w:lineRule="auto"/>
        <w:rPr>
          <w:sz w:val="20"/>
          <w:szCs w:val="20"/>
          <w:color w:val="auto"/>
        </w:rPr>
      </w:pPr>
      <w:r>
        <w:rPr>
          <w:rFonts w:ascii="Arial" w:cs="Arial" w:eastAsia="Arial" w:hAnsi="Arial"/>
          <w:sz w:val="21"/>
          <w:szCs w:val="21"/>
          <w:color w:val="auto"/>
        </w:rPr>
        <w:t>Residential real estate loans modified under specified loss mitigation programs prescribed by government guarantors that were not related to the COVID-19 pandemic have not been included in renegotiated loans because the loan guarantee remains in full force and, accordingly, the Company has not granted a concession with respect to the ultimate collection of the original loan balance. Such loans aggregated $176 million, $188 million, and $203 million at March 31, 2020, March 31, 2019 and December 31, 2019, respectively.</w:t>
      </w:r>
    </w:p>
    <w:p>
      <w:pPr>
        <w:spacing w:after="0" w:line="84" w:lineRule="exact"/>
        <w:rPr>
          <w:sz w:val="20"/>
          <w:szCs w:val="20"/>
          <w:color w:val="auto"/>
        </w:rPr>
      </w:pPr>
    </w:p>
    <w:p>
      <w:pPr>
        <w:jc w:val="both"/>
        <w:ind w:firstLine="510"/>
        <w:spacing w:after="0" w:line="283" w:lineRule="auto"/>
        <w:rPr>
          <w:sz w:val="20"/>
          <w:szCs w:val="20"/>
          <w:color w:val="auto"/>
        </w:rPr>
      </w:pPr>
      <w:r>
        <w:rPr>
          <w:rFonts w:ascii="Arial" w:cs="Arial" w:eastAsia="Arial" w:hAnsi="Arial"/>
          <w:sz w:val="19"/>
          <w:szCs w:val="19"/>
          <w:color w:val="auto"/>
        </w:rPr>
        <w:t>Commercial loans and leases classified as nonaccrual totaled $287 million, $246 million and $347 million at March 31, 2020, March 31, 2019 and December 31, 2019, respectively. The decline in such loans from December 31, 2019 to March 31, 2020 predominantly resulted from payments received from borrowers. Commercial real estate loans in nonaccrual status aggregated $227 million, $232 million and $195 million at March 31, 2020, March 31, 2019 and December 31, 2019, respectively.</w:t>
      </w:r>
    </w:p>
    <w:p>
      <w:pPr>
        <w:spacing w:after="0" w:line="48"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9"/>
          <w:szCs w:val="19"/>
          <w:color w:val="auto"/>
        </w:rPr>
        <w:t>Nonaccrual residential real estate loans totaled $413 million at March 31, 2020, compared with $295 million at March 31, 2019 and $319 million at December 31, 2019. The increase at the end of the first quarter of 2020 as compared with the prior dates reflects the impact of the adoption of the amended accounting guidance as noted earlier. Included in residential real estate loans classified as nonaccrual were limited documentation first mortgage loans of $119 million at March 31, 2020, compared with $85 million at March 31, 2019 and $83 million at December 31, 2019. Limited documentation first mortgage loans represent loans secured by residential real estate that at origination typically included some form of limited borrower documentation requirements as compared with more traditional loans. The Company no longer originates limited documentation loans. Residential real estate loans past due 90 days or more and accruing interest (excluding loans acquired at a discount at the 2019 dates) aggregated $474 million at March 31, 2020, compared with $200 million at March 31, 2019 and $487 million at December 31, 2019. A substantial portion of such amounts related to repurchased government-guaranteed loans, including the previously noted repurchases of loans associated with servicing that the Company added in 2019. Information about the location of nonaccrual and charged-off residential real estate loans as of and for the quarter ended March 31, 2020 is presented in the accompanying table.</w:t>
      </w:r>
    </w:p>
    <w:p>
      <w:pPr>
        <w:spacing w:after="0" w:line="60" w:lineRule="exact"/>
        <w:rPr>
          <w:sz w:val="20"/>
          <w:szCs w:val="20"/>
          <w:color w:val="auto"/>
        </w:rPr>
      </w:pPr>
    </w:p>
    <w:p>
      <w:pPr>
        <w:jc w:val="both"/>
        <w:ind w:firstLine="510"/>
        <w:spacing w:after="0" w:line="260" w:lineRule="auto"/>
        <w:rPr>
          <w:sz w:val="20"/>
          <w:szCs w:val="20"/>
          <w:color w:val="auto"/>
        </w:rPr>
      </w:pPr>
      <w:r>
        <w:rPr>
          <w:rFonts w:ascii="Arial" w:cs="Arial" w:eastAsia="Arial" w:hAnsi="Arial"/>
          <w:sz w:val="20"/>
          <w:szCs w:val="20"/>
          <w:color w:val="auto"/>
        </w:rPr>
        <w:t>Nonaccrual consumer loans were $135 million at March 31, 2020, compared with $109 million at March 31, 2019 and $102 million at December 31, 2019. Included in nonaccrual consumer loans at March 31, 2020, March 31, 2019 and December 31, 2019 were: automobile loans of $19 million, $21 million and $21 million, respectively; recreational finance loans of $13 million, $11 million and $14 million, respectively; and outstanding balances of home equity loans and lines of credit of $63 million, $69 million and $63 million, respectively. Information about the location of nonaccrual and charged-off home equity loans and lines of credit as of and for the quarter ended March 31, 2020 is presented in the accompanying table.</w:t>
      </w:r>
    </w:p>
    <w:p>
      <w:pPr>
        <w:spacing w:after="0" w:line="69"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21"/>
          <w:szCs w:val="21"/>
          <w:color w:val="auto"/>
        </w:rPr>
        <w:t>Information about past due and nonaccrual loans as of March 31, 2020 and December 31, 2019 is also included in note 3 of Notes to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61" w:name="page62"/>
    <w:bookmarkEnd w:id="61"/>
    <w:p>
      <w:pPr>
        <w:spacing w:after="0"/>
        <w:rPr>
          <w:sz w:val="20"/>
          <w:szCs w:val="20"/>
          <w:color w:val="auto"/>
        </w:rPr>
      </w:pPr>
      <w:r>
        <w:rPr>
          <w:rFonts w:ascii="Arial" w:cs="Arial" w:eastAsia="Arial" w:hAnsi="Arial"/>
          <w:sz w:val="21"/>
          <w:szCs w:val="21"/>
          <w:color w:val="auto"/>
        </w:rPr>
        <w:t>SELECTED RESIDENTIAL REAL ESTATE-RELATED LOAN DATA</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4"/>
          </w:tcPr>
          <w:p>
            <w:pPr>
              <w:jc w:val="center"/>
              <w:ind w:right="300"/>
              <w:spacing w:after="0"/>
              <w:rPr>
                <w:sz w:val="20"/>
                <w:szCs w:val="20"/>
                <w:color w:val="auto"/>
              </w:rPr>
            </w:pPr>
            <w:r>
              <w:rPr>
                <w:rFonts w:ascii="Arial" w:cs="Arial" w:eastAsia="Arial" w:hAnsi="Arial"/>
                <w:sz w:val="13"/>
                <w:szCs w:val="13"/>
                <w:b w:val="1"/>
                <w:bCs w:val="1"/>
                <w:color w:val="auto"/>
                <w:w w:val="97"/>
              </w:rPr>
              <w:t>Quarter Ended</w:t>
            </w:r>
          </w:p>
        </w:tc>
        <w:tc>
          <w:tcPr>
            <w:tcW w:w="0" w:type="dxa"/>
            <w:vAlign w:val="bottom"/>
          </w:tcPr>
          <w:p>
            <w:pPr>
              <w:spacing w:after="0"/>
              <w:rPr>
                <w:sz w:val="1"/>
                <w:szCs w:val="1"/>
                <w:color w:val="auto"/>
              </w:rPr>
            </w:pPr>
          </w:p>
        </w:tc>
      </w:tr>
      <w:tr>
        <w:trPr>
          <w:trHeight w:val="161"/>
        </w:trPr>
        <w:tc>
          <w:tcPr>
            <w:tcW w:w="5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ind w:left="220"/>
              <w:spacing w:after="0"/>
              <w:rPr>
                <w:sz w:val="20"/>
                <w:szCs w:val="20"/>
                <w:color w:val="auto"/>
              </w:rPr>
            </w:pPr>
            <w:r>
              <w:rPr>
                <w:rFonts w:ascii="Arial" w:cs="Arial" w:eastAsia="Arial" w:hAnsi="Arial"/>
                <w:sz w:val="13"/>
                <w:szCs w:val="13"/>
                <w:b w:val="1"/>
                <w:bCs w:val="1"/>
                <w:color w:val="auto"/>
              </w:rPr>
              <w:t>March 31, 2020</w:t>
            </w:r>
          </w:p>
        </w:tc>
        <w:tc>
          <w:tcPr>
            <w:tcW w:w="72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center"/>
              <w:ind w:right="49"/>
              <w:spacing w:after="0"/>
              <w:rPr>
                <w:sz w:val="20"/>
                <w:szCs w:val="20"/>
                <w:color w:val="auto"/>
              </w:rPr>
            </w:pPr>
            <w:r>
              <w:rPr>
                <w:rFonts w:ascii="Arial" w:cs="Arial" w:eastAsia="Arial" w:hAnsi="Arial"/>
                <w:sz w:val="13"/>
                <w:szCs w:val="13"/>
                <w:b w:val="1"/>
                <w:bCs w:val="1"/>
                <w:color w:val="auto"/>
                <w:w w:val="95"/>
              </w:rPr>
              <w:t>March 31, 2020</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2"/>
          </w:tcPr>
          <w:p>
            <w:pPr>
              <w:ind w:left="540"/>
              <w:spacing w:after="0"/>
              <w:rPr>
                <w:sz w:val="20"/>
                <w:szCs w:val="20"/>
                <w:color w:val="auto"/>
              </w:rPr>
            </w:pPr>
            <w:r>
              <w:rPr>
                <w:rFonts w:ascii="Arial" w:cs="Arial" w:eastAsia="Arial" w:hAnsi="Arial"/>
                <w:sz w:val="13"/>
                <w:szCs w:val="13"/>
                <w:b w:val="1"/>
                <w:bCs w:val="1"/>
                <w:color w:val="auto"/>
                <w:w w:val="93"/>
              </w:rPr>
              <w:t>Nonaccrual</w:t>
            </w:r>
          </w:p>
        </w:tc>
        <w:tc>
          <w:tcPr>
            <w:tcW w:w="720" w:type="dxa"/>
            <w:vAlign w:val="bottom"/>
            <w:tcBorders>
              <w:bottom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3"/>
          </w:tcPr>
          <w:p>
            <w:pPr>
              <w:jc w:val="center"/>
              <w:ind w:right="49"/>
              <w:spacing w:after="0"/>
              <w:rPr>
                <w:sz w:val="20"/>
                <w:szCs w:val="20"/>
                <w:color w:val="auto"/>
              </w:rPr>
            </w:pPr>
            <w:r>
              <w:rPr>
                <w:rFonts w:ascii="Arial" w:cs="Arial" w:eastAsia="Arial" w:hAnsi="Arial"/>
                <w:sz w:val="13"/>
                <w:szCs w:val="13"/>
                <w:b w:val="1"/>
                <w:bCs w:val="1"/>
                <w:color w:val="auto"/>
                <w:w w:val="93"/>
              </w:rPr>
              <w:t>Net Charge-offs (Recoveries)</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5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4"/>
              </w:rPr>
              <w:t>Percent of</w:t>
            </w:r>
          </w:p>
        </w:tc>
        <w:tc>
          <w:tcPr>
            <w:tcW w:w="0" w:type="dxa"/>
            <w:vAlign w:val="bottom"/>
          </w:tcPr>
          <w:p>
            <w:pPr>
              <w:spacing w:after="0"/>
              <w:rPr>
                <w:sz w:val="1"/>
                <w:szCs w:val="1"/>
                <w:color w:val="auto"/>
              </w:rPr>
            </w:pPr>
          </w:p>
        </w:tc>
      </w:tr>
      <w:tr>
        <w:trPr>
          <w:trHeight w:val="162"/>
        </w:trPr>
        <w:tc>
          <w:tcPr>
            <w:tcW w:w="5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1"/>
              </w:rPr>
              <w:t>Percent of</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3"/>
              </w:rPr>
              <w:t>Average</w:t>
            </w:r>
          </w:p>
        </w:tc>
        <w:tc>
          <w:tcPr>
            <w:tcW w:w="0" w:type="dxa"/>
            <w:vAlign w:val="bottom"/>
          </w:tcPr>
          <w:p>
            <w:pPr>
              <w:spacing w:after="0"/>
              <w:rPr>
                <w:sz w:val="1"/>
                <w:szCs w:val="1"/>
                <w:color w:val="auto"/>
              </w:rPr>
            </w:pPr>
          </w:p>
        </w:tc>
      </w:tr>
      <w:tr>
        <w:trPr>
          <w:trHeight w:val="162"/>
        </w:trPr>
        <w:tc>
          <w:tcPr>
            <w:tcW w:w="5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Arial" w:cs="Arial" w:eastAsia="Arial" w:hAnsi="Arial"/>
                <w:sz w:val="13"/>
                <w:szCs w:val="13"/>
                <w:b w:val="1"/>
                <w:bCs w:val="1"/>
                <w:color w:val="auto"/>
                <w:w w:val="99"/>
              </w:rPr>
              <w:t>Outstanding</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3"/>
              </w:rPr>
              <w:t>Outstanding</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3"/>
              </w:rPr>
              <w:t>Outstanding</w:t>
            </w:r>
          </w:p>
        </w:tc>
        <w:tc>
          <w:tcPr>
            <w:tcW w:w="0" w:type="dxa"/>
            <w:vAlign w:val="bottom"/>
          </w:tcPr>
          <w:p>
            <w:pPr>
              <w:spacing w:after="0"/>
              <w:rPr>
                <w:sz w:val="1"/>
                <w:szCs w:val="1"/>
                <w:color w:val="auto"/>
              </w:rPr>
            </w:pPr>
          </w:p>
        </w:tc>
      </w:tr>
      <w:tr>
        <w:trPr>
          <w:trHeight w:val="161"/>
        </w:trPr>
        <w:tc>
          <w:tcPr>
            <w:tcW w:w="5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Arial" w:cs="Arial" w:eastAsia="Arial" w:hAnsi="Arial"/>
                <w:sz w:val="13"/>
                <w:szCs w:val="13"/>
                <w:b w:val="1"/>
                <w:bCs w:val="1"/>
                <w:color w:val="auto"/>
              </w:rPr>
              <w:t>Balances</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ind w:left="100"/>
              <w:spacing w:after="0"/>
              <w:rPr>
                <w:sz w:val="20"/>
                <w:szCs w:val="20"/>
                <w:color w:val="auto"/>
              </w:rPr>
            </w:pPr>
            <w:r>
              <w:rPr>
                <w:rFonts w:ascii="Arial" w:cs="Arial" w:eastAsia="Arial" w:hAnsi="Arial"/>
                <w:sz w:val="13"/>
                <w:szCs w:val="13"/>
                <w:b w:val="1"/>
                <w:bCs w:val="1"/>
                <w:color w:val="auto"/>
              </w:rPr>
              <w:t>Balances</w:t>
            </w:r>
          </w:p>
        </w:tc>
        <w:tc>
          <w:tcPr>
            <w:tcW w:w="106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1"/>
              </w:rPr>
              <w:t>Balances</w:t>
            </w:r>
          </w:p>
        </w:tc>
        <w:tc>
          <w:tcPr>
            <w:tcW w:w="100" w:type="dxa"/>
            <w:vAlign w:val="bottom"/>
          </w:tcPr>
          <w:p>
            <w:pPr>
              <w:spacing w:after="0"/>
              <w:rPr>
                <w:sz w:val="14"/>
                <w:szCs w:val="14"/>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w w:val="94"/>
              </w:rPr>
              <w:t>Balances</w:t>
            </w:r>
          </w:p>
        </w:tc>
        <w:tc>
          <w:tcPr>
            <w:tcW w:w="10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1"/>
              </w:rPr>
              <w:t>Balances</w:t>
            </w:r>
          </w:p>
        </w:tc>
        <w:tc>
          <w:tcPr>
            <w:tcW w:w="0" w:type="dxa"/>
            <w:vAlign w:val="bottom"/>
          </w:tcPr>
          <w:p>
            <w:pPr>
              <w:spacing w:after="0"/>
              <w:rPr>
                <w:sz w:val="1"/>
                <w:szCs w:val="1"/>
                <w:color w:val="auto"/>
              </w:rPr>
            </w:pPr>
          </w:p>
        </w:tc>
      </w:tr>
      <w:tr>
        <w:trPr>
          <w:trHeight w:val="155"/>
        </w:trPr>
        <w:tc>
          <w:tcPr>
            <w:tcW w:w="52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280" w:type="dxa"/>
            <w:vAlign w:val="bottom"/>
            <w:tcBorders>
              <w:top w:val="single" w:sz="8" w:color="auto"/>
            </w:tcBorders>
            <w:gridSpan w:val="4"/>
          </w:tcPr>
          <w:p>
            <w:pPr>
              <w:jc w:val="right"/>
              <w:ind w:right="340"/>
              <w:spacing w:after="0"/>
              <w:rPr>
                <w:sz w:val="20"/>
                <w:szCs w:val="20"/>
                <w:color w:val="auto"/>
              </w:rPr>
            </w:pPr>
            <w:r>
              <w:rPr>
                <w:rFonts w:ascii="Arial" w:cs="Arial" w:eastAsia="Arial" w:hAnsi="Arial"/>
                <w:sz w:val="13"/>
                <w:szCs w:val="13"/>
                <w:b w:val="1"/>
                <w:bCs w:val="1"/>
                <w:color w:val="auto"/>
              </w:rPr>
              <w:t>(Dollars in thousands)</w:t>
            </w: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260" w:type="dxa"/>
            <w:vAlign w:val="bottom"/>
            <w:shd w:val="clear" w:color="auto" w:fill="CFF0FC"/>
          </w:tcPr>
          <w:p>
            <w:pPr>
              <w:spacing w:after="0"/>
              <w:rPr>
                <w:sz w:val="20"/>
                <w:szCs w:val="20"/>
                <w:color w:val="auto"/>
              </w:rPr>
            </w:pPr>
            <w:r>
              <w:rPr>
                <w:rFonts w:ascii="Arial" w:cs="Arial" w:eastAsia="Arial" w:hAnsi="Arial"/>
                <w:sz w:val="14"/>
                <w:szCs w:val="14"/>
                <w:color w:val="auto"/>
              </w:rPr>
              <w:t>Residential mortgages:</w:t>
            </w: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60" w:type="dxa"/>
            <w:vAlign w:val="bottom"/>
          </w:tcPr>
          <w:p>
            <w:pPr>
              <w:ind w:left="260"/>
              <w:spacing w:after="0"/>
              <w:rPr>
                <w:sz w:val="20"/>
                <w:szCs w:val="20"/>
                <w:color w:val="auto"/>
              </w:rPr>
            </w:pPr>
            <w:r>
              <w:rPr>
                <w:rFonts w:ascii="Arial" w:cs="Arial" w:eastAsia="Arial" w:hAnsi="Arial"/>
                <w:sz w:val="14"/>
                <w:szCs w:val="14"/>
                <w:color w:val="auto"/>
              </w:rPr>
              <w:t>New York</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4,703,403</w:t>
            </w:r>
          </w:p>
        </w:tc>
        <w:tc>
          <w:tcPr>
            <w:tcW w:w="500" w:type="dxa"/>
            <w:vAlign w:val="bottom"/>
            <w:gridSpan w:val="2"/>
          </w:tcPr>
          <w:p>
            <w:pPr>
              <w:jc w:val="right"/>
              <w:ind w:right="69"/>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101,335</w:t>
            </w:r>
          </w:p>
        </w:tc>
        <w:tc>
          <w:tcPr>
            <w:tcW w:w="320" w:type="dxa"/>
            <w:vAlign w:val="bottom"/>
          </w:tcPr>
          <w:p>
            <w:pPr>
              <w:spacing w:after="0"/>
              <w:rPr>
                <w:sz w:val="14"/>
                <w:szCs w:val="1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2.15%</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2,635</w:t>
            </w:r>
          </w:p>
        </w:tc>
        <w:tc>
          <w:tcPr>
            <w:tcW w:w="30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62"/>
        </w:trPr>
        <w:tc>
          <w:tcPr>
            <w:tcW w:w="52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Pennsylvania</w:t>
            </w: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1,089,994</w:t>
            </w:r>
          </w:p>
        </w:tc>
        <w:tc>
          <w:tcPr>
            <w:tcW w:w="3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13,977</w:t>
            </w:r>
          </w:p>
        </w:tc>
        <w:tc>
          <w:tcPr>
            <w:tcW w:w="3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1.28</w:t>
            </w:r>
          </w:p>
        </w:tc>
        <w:tc>
          <w:tcPr>
            <w:tcW w:w="3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421</w:t>
            </w:r>
          </w:p>
        </w:tc>
        <w:tc>
          <w:tcPr>
            <w:tcW w:w="30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w:t>
            </w: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60" w:type="dxa"/>
            <w:vAlign w:val="bottom"/>
          </w:tcPr>
          <w:p>
            <w:pPr>
              <w:ind w:left="260"/>
              <w:spacing w:after="0"/>
              <w:rPr>
                <w:sz w:val="20"/>
                <w:szCs w:val="20"/>
                <w:color w:val="auto"/>
              </w:rPr>
            </w:pPr>
            <w:r>
              <w:rPr>
                <w:rFonts w:ascii="Arial" w:cs="Arial" w:eastAsia="Arial" w:hAnsi="Arial"/>
                <w:sz w:val="14"/>
                <w:szCs w:val="14"/>
                <w:color w:val="auto"/>
              </w:rPr>
              <w:t>Maryland</w:t>
            </w: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1,138,757</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15,563</w:t>
            </w: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1.37</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(1)</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2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New Jersey</w:t>
            </w: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2,956,288</w:t>
            </w:r>
          </w:p>
        </w:tc>
        <w:tc>
          <w:tcPr>
            <w:tcW w:w="3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75,402</w:t>
            </w:r>
          </w:p>
        </w:tc>
        <w:tc>
          <w:tcPr>
            <w:tcW w:w="3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2.55</w:t>
            </w:r>
          </w:p>
        </w:tc>
        <w:tc>
          <w:tcPr>
            <w:tcW w:w="3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689</w:t>
            </w:r>
          </w:p>
        </w:tc>
        <w:tc>
          <w:tcPr>
            <w:tcW w:w="30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.09</w:t>
            </w: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60" w:type="dxa"/>
            <w:vAlign w:val="bottom"/>
          </w:tcPr>
          <w:p>
            <w:pPr>
              <w:ind w:left="260"/>
              <w:spacing w:after="0"/>
              <w:rPr>
                <w:sz w:val="20"/>
                <w:szCs w:val="20"/>
                <w:color w:val="auto"/>
              </w:rPr>
            </w:pPr>
            <w:r>
              <w:rPr>
                <w:rFonts w:ascii="Arial" w:cs="Arial" w:eastAsia="Arial" w:hAnsi="Arial"/>
                <w:sz w:val="14"/>
                <w:szCs w:val="14"/>
                <w:color w:val="auto"/>
              </w:rPr>
              <w:t>Other Mid-Atlantic (a)</w:t>
            </w: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1,044,795</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14,676</w:t>
            </w: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1.40</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67</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.03</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w:t>
            </w:r>
          </w:p>
        </w:tc>
        <w:tc>
          <w:tcPr>
            <w:tcW w:w="12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2,661,585</w:t>
            </w:r>
          </w:p>
        </w:tc>
        <w:tc>
          <w:tcPr>
            <w:tcW w:w="32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71,713</w:t>
            </w:r>
          </w:p>
        </w:tc>
        <w:tc>
          <w:tcPr>
            <w:tcW w:w="320" w:type="dxa"/>
            <w:vAlign w:val="bottom"/>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2.69</w:t>
            </w:r>
          </w:p>
        </w:tc>
        <w:tc>
          <w:tcPr>
            <w:tcW w:w="34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43</w:t>
            </w:r>
          </w:p>
        </w:tc>
        <w:tc>
          <w:tcPr>
            <w:tcW w:w="300" w:type="dxa"/>
            <w:vAlign w:val="bottom"/>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.01</w:t>
            </w: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260" w:type="dxa"/>
            <w:vAlign w:val="bottom"/>
          </w:tcPr>
          <w:p>
            <w:pPr>
              <w:ind w:left="260"/>
              <w:spacing w:after="0" w:line="155" w:lineRule="exact"/>
              <w:rPr>
                <w:sz w:val="20"/>
                <w:szCs w:val="20"/>
                <w:color w:val="auto"/>
              </w:rPr>
            </w:pPr>
            <w:r>
              <w:rPr>
                <w:rFonts w:ascii="Arial" w:cs="Arial" w:eastAsia="Arial" w:hAnsi="Arial"/>
                <w:sz w:val="14"/>
                <w:szCs w:val="14"/>
                <w:color w:val="auto"/>
              </w:rPr>
              <w:t>Total</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line="155" w:lineRule="exact"/>
              <w:rPr>
                <w:sz w:val="20"/>
                <w:szCs w:val="20"/>
                <w:color w:val="auto"/>
              </w:rPr>
            </w:pPr>
            <w:r>
              <w:rPr>
                <w:rFonts w:ascii="Arial" w:cs="Arial" w:eastAsia="Arial" w:hAnsi="Arial"/>
                <w:sz w:val="14"/>
                <w:szCs w:val="14"/>
                <w:color w:val="auto"/>
              </w:rPr>
              <w:t>13,594,822</w:t>
            </w:r>
          </w:p>
        </w:tc>
        <w:tc>
          <w:tcPr>
            <w:tcW w:w="320" w:type="dxa"/>
            <w:vAlign w:val="bottom"/>
          </w:tcPr>
          <w:p>
            <w:pPr>
              <w:spacing w:after="0"/>
              <w:rPr>
                <w:sz w:val="16"/>
                <w:szCs w:val="16"/>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292,666</w:t>
            </w:r>
          </w:p>
        </w:tc>
        <w:tc>
          <w:tcPr>
            <w:tcW w:w="320" w:type="dxa"/>
            <w:vAlign w:val="bottom"/>
          </w:tcPr>
          <w:p>
            <w:pPr>
              <w:spacing w:after="0"/>
              <w:rPr>
                <w:sz w:val="16"/>
                <w:szCs w:val="16"/>
                <w:color w:val="auto"/>
              </w:rPr>
            </w:pPr>
          </w:p>
        </w:tc>
        <w:tc>
          <w:tcPr>
            <w:tcW w:w="106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2.15%</w:t>
            </w: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3,854</w:t>
            </w:r>
          </w:p>
        </w:tc>
        <w:tc>
          <w:tcPr>
            <w:tcW w:w="300" w:type="dxa"/>
            <w:vAlign w:val="bottom"/>
          </w:tcPr>
          <w:p>
            <w:pPr>
              <w:spacing w:after="0"/>
              <w:rPr>
                <w:sz w:val="16"/>
                <w:szCs w:val="16"/>
                <w:color w:val="auto"/>
              </w:rPr>
            </w:pPr>
          </w:p>
        </w:tc>
        <w:tc>
          <w:tcPr>
            <w:tcW w:w="100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2"/>
        </w:trPr>
        <w:tc>
          <w:tcPr>
            <w:tcW w:w="526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4"/>
                <w:szCs w:val="14"/>
                <w:color w:val="auto"/>
              </w:rPr>
              <w:t>Residential construction loans:</w:t>
            </w:r>
          </w:p>
        </w:tc>
        <w:tc>
          <w:tcPr>
            <w:tcW w:w="120" w:type="dxa"/>
            <w:vAlign w:val="bottom"/>
            <w:tcBorders>
              <w:top w:val="single" w:sz="8" w:color="auto"/>
            </w:tcBorders>
            <w:shd w:val="clear" w:color="auto" w:fill="CFF0FC"/>
          </w:tcPr>
          <w:p>
            <w:pPr>
              <w:spacing w:after="0"/>
              <w:rPr>
                <w:sz w:val="12"/>
                <w:szCs w:val="12"/>
                <w:color w:val="auto"/>
              </w:rPr>
            </w:pPr>
          </w:p>
        </w:tc>
        <w:tc>
          <w:tcPr>
            <w:tcW w:w="960" w:type="dxa"/>
            <w:vAlign w:val="bottom"/>
            <w:tcBorders>
              <w:top w:val="single" w:sz="8" w:color="auto"/>
            </w:tcBorders>
            <w:shd w:val="clear" w:color="auto" w:fill="CFF0FC"/>
          </w:tcPr>
          <w:p>
            <w:pPr>
              <w:spacing w:after="0"/>
              <w:rPr>
                <w:sz w:val="12"/>
                <w:szCs w:val="12"/>
                <w:color w:val="auto"/>
              </w:rPr>
            </w:pPr>
          </w:p>
        </w:tc>
        <w:tc>
          <w:tcPr>
            <w:tcW w:w="32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900" w:type="dxa"/>
            <w:vAlign w:val="bottom"/>
            <w:tcBorders>
              <w:top w:val="single" w:sz="8" w:color="auto"/>
            </w:tcBorders>
            <w:shd w:val="clear" w:color="auto" w:fill="CFF0FC"/>
          </w:tcPr>
          <w:p>
            <w:pPr>
              <w:spacing w:after="0"/>
              <w:rPr>
                <w:sz w:val="12"/>
                <w:szCs w:val="12"/>
                <w:color w:val="auto"/>
              </w:rPr>
            </w:pPr>
          </w:p>
        </w:tc>
        <w:tc>
          <w:tcPr>
            <w:tcW w:w="320" w:type="dxa"/>
            <w:vAlign w:val="bottom"/>
            <w:tcBorders>
              <w:top w:val="single" w:sz="8" w:color="CFF0FC"/>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3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260" w:type="dxa"/>
            <w:vAlign w:val="bottom"/>
          </w:tcPr>
          <w:p>
            <w:pPr>
              <w:ind w:left="260"/>
              <w:spacing w:after="0"/>
              <w:rPr>
                <w:sz w:val="20"/>
                <w:szCs w:val="20"/>
                <w:color w:val="auto"/>
              </w:rPr>
            </w:pPr>
            <w:r>
              <w:rPr>
                <w:rFonts w:ascii="Arial" w:cs="Arial" w:eastAsia="Arial" w:hAnsi="Arial"/>
                <w:sz w:val="14"/>
                <w:szCs w:val="14"/>
                <w:color w:val="auto"/>
              </w:rPr>
              <w:t>New York</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27,556</w:t>
            </w:r>
          </w:p>
        </w:tc>
        <w:tc>
          <w:tcPr>
            <w:tcW w:w="500" w:type="dxa"/>
            <w:vAlign w:val="bottom"/>
            <w:gridSpan w:val="2"/>
          </w:tcPr>
          <w:p>
            <w:pPr>
              <w:jc w:val="right"/>
              <w:ind w:right="69"/>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147</w:t>
            </w:r>
          </w:p>
        </w:tc>
        <w:tc>
          <w:tcPr>
            <w:tcW w:w="320" w:type="dxa"/>
            <w:vAlign w:val="bottom"/>
          </w:tcPr>
          <w:p>
            <w:pPr>
              <w:spacing w:after="0"/>
              <w:rPr>
                <w:sz w:val="14"/>
                <w:szCs w:val="1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.53%</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2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Pennsylvania</w:t>
            </w: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6,229</w:t>
            </w:r>
          </w:p>
        </w:tc>
        <w:tc>
          <w:tcPr>
            <w:tcW w:w="3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240</w:t>
            </w:r>
          </w:p>
        </w:tc>
        <w:tc>
          <w:tcPr>
            <w:tcW w:w="3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3.85</w:t>
            </w:r>
          </w:p>
        </w:tc>
        <w:tc>
          <w:tcPr>
            <w:tcW w:w="3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260" w:type="dxa"/>
            <w:vAlign w:val="bottom"/>
          </w:tcPr>
          <w:p>
            <w:pPr>
              <w:ind w:left="260"/>
              <w:spacing w:after="0"/>
              <w:rPr>
                <w:sz w:val="20"/>
                <w:szCs w:val="20"/>
                <w:color w:val="auto"/>
              </w:rPr>
            </w:pPr>
            <w:r>
              <w:rPr>
                <w:rFonts w:ascii="Arial" w:cs="Arial" w:eastAsia="Arial" w:hAnsi="Arial"/>
                <w:sz w:val="14"/>
                <w:szCs w:val="14"/>
                <w:color w:val="auto"/>
              </w:rPr>
              <w:t>Maryland</w:t>
            </w: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10,381</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2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New Jersey</w:t>
            </w: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14,744</w:t>
            </w:r>
          </w:p>
        </w:tc>
        <w:tc>
          <w:tcPr>
            <w:tcW w:w="3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556</w:t>
            </w:r>
          </w:p>
        </w:tc>
        <w:tc>
          <w:tcPr>
            <w:tcW w:w="3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3.77</w:t>
            </w:r>
          </w:p>
        </w:tc>
        <w:tc>
          <w:tcPr>
            <w:tcW w:w="3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260" w:type="dxa"/>
            <w:vAlign w:val="bottom"/>
          </w:tcPr>
          <w:p>
            <w:pPr>
              <w:ind w:left="260"/>
              <w:spacing w:after="0"/>
              <w:rPr>
                <w:sz w:val="20"/>
                <w:szCs w:val="20"/>
                <w:color w:val="auto"/>
              </w:rPr>
            </w:pPr>
            <w:r>
              <w:rPr>
                <w:rFonts w:ascii="Arial" w:cs="Arial" w:eastAsia="Arial" w:hAnsi="Arial"/>
                <w:sz w:val="14"/>
                <w:szCs w:val="14"/>
                <w:color w:val="auto"/>
              </w:rPr>
              <w:t>Other Mid-Atlantic (a)</w:t>
            </w: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22,197</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2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w:t>
            </w:r>
          </w:p>
        </w:tc>
        <w:tc>
          <w:tcPr>
            <w:tcW w:w="12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5,346</w:t>
            </w:r>
          </w:p>
        </w:tc>
        <w:tc>
          <w:tcPr>
            <w:tcW w:w="32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29</w:t>
            </w:r>
          </w:p>
        </w:tc>
        <w:tc>
          <w:tcPr>
            <w:tcW w:w="320" w:type="dxa"/>
            <w:vAlign w:val="bottom"/>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.54</w:t>
            </w:r>
          </w:p>
        </w:tc>
        <w:tc>
          <w:tcPr>
            <w:tcW w:w="34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29</w:t>
            </w:r>
          </w:p>
        </w:tc>
        <w:tc>
          <w:tcPr>
            <w:tcW w:w="300" w:type="dxa"/>
            <w:vAlign w:val="bottom"/>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1.71</w:t>
            </w: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260" w:type="dxa"/>
            <w:vAlign w:val="bottom"/>
          </w:tcPr>
          <w:p>
            <w:pPr>
              <w:ind w:left="260"/>
              <w:spacing w:after="0" w:line="155" w:lineRule="exact"/>
              <w:rPr>
                <w:sz w:val="20"/>
                <w:szCs w:val="20"/>
                <w:color w:val="auto"/>
              </w:rPr>
            </w:pPr>
            <w:r>
              <w:rPr>
                <w:rFonts w:ascii="Arial" w:cs="Arial" w:eastAsia="Arial" w:hAnsi="Arial"/>
                <w:sz w:val="14"/>
                <w:szCs w:val="14"/>
                <w:color w:val="auto"/>
              </w:rPr>
              <w:t>Total</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line="155" w:lineRule="exact"/>
              <w:rPr>
                <w:sz w:val="20"/>
                <w:szCs w:val="20"/>
                <w:color w:val="auto"/>
              </w:rPr>
            </w:pPr>
            <w:r>
              <w:rPr>
                <w:rFonts w:ascii="Arial" w:cs="Arial" w:eastAsia="Arial" w:hAnsi="Arial"/>
                <w:sz w:val="14"/>
                <w:szCs w:val="14"/>
                <w:color w:val="auto"/>
              </w:rPr>
              <w:t>86,453</w:t>
            </w:r>
          </w:p>
        </w:tc>
        <w:tc>
          <w:tcPr>
            <w:tcW w:w="320" w:type="dxa"/>
            <w:vAlign w:val="bottom"/>
          </w:tcPr>
          <w:p>
            <w:pPr>
              <w:spacing w:after="0"/>
              <w:rPr>
                <w:sz w:val="16"/>
                <w:szCs w:val="16"/>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972</w:t>
            </w:r>
          </w:p>
        </w:tc>
        <w:tc>
          <w:tcPr>
            <w:tcW w:w="320" w:type="dxa"/>
            <w:vAlign w:val="bottom"/>
          </w:tcPr>
          <w:p>
            <w:pPr>
              <w:spacing w:after="0"/>
              <w:rPr>
                <w:sz w:val="16"/>
                <w:szCs w:val="16"/>
                <w:color w:val="auto"/>
              </w:rPr>
            </w:pPr>
          </w:p>
        </w:tc>
        <w:tc>
          <w:tcPr>
            <w:tcW w:w="106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1.12%</w:t>
            </w: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29</w:t>
            </w:r>
          </w:p>
        </w:tc>
        <w:tc>
          <w:tcPr>
            <w:tcW w:w="300" w:type="dxa"/>
            <w:vAlign w:val="bottom"/>
          </w:tcPr>
          <w:p>
            <w:pPr>
              <w:spacing w:after="0"/>
              <w:rPr>
                <w:sz w:val="16"/>
                <w:szCs w:val="16"/>
                <w:color w:val="auto"/>
              </w:rPr>
            </w:pPr>
          </w:p>
        </w:tc>
        <w:tc>
          <w:tcPr>
            <w:tcW w:w="100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142"/>
        </w:trPr>
        <w:tc>
          <w:tcPr>
            <w:tcW w:w="526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4"/>
                <w:szCs w:val="14"/>
                <w:color w:val="auto"/>
              </w:rPr>
              <w:t>Limited documentation first mortgages:</w:t>
            </w:r>
          </w:p>
        </w:tc>
        <w:tc>
          <w:tcPr>
            <w:tcW w:w="120" w:type="dxa"/>
            <w:vAlign w:val="bottom"/>
            <w:tcBorders>
              <w:top w:val="single" w:sz="8" w:color="auto"/>
            </w:tcBorders>
            <w:shd w:val="clear" w:color="auto" w:fill="CFF0FC"/>
          </w:tcPr>
          <w:p>
            <w:pPr>
              <w:spacing w:after="0"/>
              <w:rPr>
                <w:sz w:val="12"/>
                <w:szCs w:val="12"/>
                <w:color w:val="auto"/>
              </w:rPr>
            </w:pPr>
          </w:p>
        </w:tc>
        <w:tc>
          <w:tcPr>
            <w:tcW w:w="960" w:type="dxa"/>
            <w:vAlign w:val="bottom"/>
            <w:tcBorders>
              <w:top w:val="single" w:sz="8" w:color="auto"/>
            </w:tcBorders>
            <w:shd w:val="clear" w:color="auto" w:fill="CFF0FC"/>
          </w:tcPr>
          <w:p>
            <w:pPr>
              <w:spacing w:after="0"/>
              <w:rPr>
                <w:sz w:val="12"/>
                <w:szCs w:val="12"/>
                <w:color w:val="auto"/>
              </w:rPr>
            </w:pPr>
          </w:p>
        </w:tc>
        <w:tc>
          <w:tcPr>
            <w:tcW w:w="32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900" w:type="dxa"/>
            <w:vAlign w:val="bottom"/>
            <w:tcBorders>
              <w:top w:val="single" w:sz="8" w:color="auto"/>
            </w:tcBorders>
            <w:shd w:val="clear" w:color="auto" w:fill="CFF0FC"/>
          </w:tcPr>
          <w:p>
            <w:pPr>
              <w:spacing w:after="0"/>
              <w:rPr>
                <w:sz w:val="12"/>
                <w:szCs w:val="12"/>
                <w:color w:val="auto"/>
              </w:rPr>
            </w:pPr>
          </w:p>
        </w:tc>
        <w:tc>
          <w:tcPr>
            <w:tcW w:w="320" w:type="dxa"/>
            <w:vAlign w:val="bottom"/>
            <w:tcBorders>
              <w:top w:val="single" w:sz="8" w:color="CFF0FC"/>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3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260" w:type="dxa"/>
            <w:vAlign w:val="bottom"/>
          </w:tcPr>
          <w:p>
            <w:pPr>
              <w:ind w:left="260"/>
              <w:spacing w:after="0"/>
              <w:rPr>
                <w:sz w:val="20"/>
                <w:szCs w:val="20"/>
                <w:color w:val="auto"/>
              </w:rPr>
            </w:pPr>
            <w:r>
              <w:rPr>
                <w:rFonts w:ascii="Arial" w:cs="Arial" w:eastAsia="Arial" w:hAnsi="Arial"/>
                <w:sz w:val="14"/>
                <w:szCs w:val="14"/>
                <w:color w:val="auto"/>
              </w:rPr>
              <w:t>New York</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880,900</w:t>
            </w:r>
          </w:p>
        </w:tc>
        <w:tc>
          <w:tcPr>
            <w:tcW w:w="500" w:type="dxa"/>
            <w:vAlign w:val="bottom"/>
            <w:gridSpan w:val="2"/>
          </w:tcPr>
          <w:p>
            <w:pPr>
              <w:jc w:val="right"/>
              <w:ind w:right="69"/>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51,502</w:t>
            </w:r>
          </w:p>
        </w:tc>
        <w:tc>
          <w:tcPr>
            <w:tcW w:w="320" w:type="dxa"/>
            <w:vAlign w:val="bottom"/>
          </w:tcPr>
          <w:p>
            <w:pPr>
              <w:spacing w:after="0"/>
              <w:rPr>
                <w:sz w:val="14"/>
                <w:szCs w:val="1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5.85%</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(76)</w:t>
            </w: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62"/>
        </w:trPr>
        <w:tc>
          <w:tcPr>
            <w:tcW w:w="52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Pennsylvania</w:t>
            </w: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39,680</w:t>
            </w:r>
          </w:p>
        </w:tc>
        <w:tc>
          <w:tcPr>
            <w:tcW w:w="3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5,296</w:t>
            </w:r>
          </w:p>
        </w:tc>
        <w:tc>
          <w:tcPr>
            <w:tcW w:w="3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13.35</w:t>
            </w:r>
          </w:p>
        </w:tc>
        <w:tc>
          <w:tcPr>
            <w:tcW w:w="3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(9)</w:t>
            </w: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62"/>
        </w:trPr>
        <w:tc>
          <w:tcPr>
            <w:tcW w:w="5260" w:type="dxa"/>
            <w:vAlign w:val="bottom"/>
          </w:tcPr>
          <w:p>
            <w:pPr>
              <w:ind w:left="260"/>
              <w:spacing w:after="0"/>
              <w:rPr>
                <w:sz w:val="20"/>
                <w:szCs w:val="20"/>
                <w:color w:val="auto"/>
              </w:rPr>
            </w:pPr>
            <w:r>
              <w:rPr>
                <w:rFonts w:ascii="Arial" w:cs="Arial" w:eastAsia="Arial" w:hAnsi="Arial"/>
                <w:sz w:val="14"/>
                <w:szCs w:val="14"/>
                <w:color w:val="auto"/>
              </w:rPr>
              <w:t>Maryland</w:t>
            </w: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23,681</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3,045</w:t>
            </w: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12.86</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21</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.35</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New Jersey</w:t>
            </w: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724,369</w:t>
            </w:r>
          </w:p>
        </w:tc>
        <w:tc>
          <w:tcPr>
            <w:tcW w:w="3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35,110</w:t>
            </w:r>
          </w:p>
        </w:tc>
        <w:tc>
          <w:tcPr>
            <w:tcW w:w="3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4.85</w:t>
            </w:r>
          </w:p>
        </w:tc>
        <w:tc>
          <w:tcPr>
            <w:tcW w:w="3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w:t>
            </w:r>
          </w:p>
        </w:tc>
        <w:tc>
          <w:tcPr>
            <w:tcW w:w="30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.01</w:t>
            </w: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60" w:type="dxa"/>
            <w:vAlign w:val="bottom"/>
          </w:tcPr>
          <w:p>
            <w:pPr>
              <w:ind w:left="260"/>
              <w:spacing w:after="0"/>
              <w:rPr>
                <w:sz w:val="20"/>
                <w:szCs w:val="20"/>
                <w:color w:val="auto"/>
              </w:rPr>
            </w:pPr>
            <w:r>
              <w:rPr>
                <w:rFonts w:ascii="Arial" w:cs="Arial" w:eastAsia="Arial" w:hAnsi="Arial"/>
                <w:sz w:val="14"/>
                <w:szCs w:val="14"/>
                <w:color w:val="auto"/>
              </w:rPr>
              <w:t>Other Mid-Atlantic (a)</w:t>
            </w: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20,114</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973</w:t>
            </w: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4.84</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.04</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w:t>
            </w: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272,995</w:t>
            </w:r>
          </w:p>
        </w:tc>
        <w:tc>
          <w:tcPr>
            <w:tcW w:w="3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23,391</w:t>
            </w:r>
          </w:p>
        </w:tc>
        <w:tc>
          <w:tcPr>
            <w:tcW w:w="3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8.57</w:t>
            </w:r>
          </w:p>
        </w:tc>
        <w:tc>
          <w:tcPr>
            <w:tcW w:w="3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(403)</w:t>
            </w: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20"/>
        </w:trPr>
        <w:tc>
          <w:tcPr>
            <w:tcW w:w="5260" w:type="dxa"/>
            <w:vAlign w:val="bottom"/>
            <w:vMerge w:val="restart"/>
          </w:tcPr>
          <w:p>
            <w:pPr>
              <w:ind w:left="260"/>
              <w:spacing w:after="0"/>
              <w:rPr>
                <w:sz w:val="20"/>
                <w:szCs w:val="20"/>
                <w:color w:val="auto"/>
              </w:rPr>
            </w:pPr>
            <w:r>
              <w:rPr>
                <w:rFonts w:ascii="Arial" w:cs="Arial" w:eastAsia="Arial" w:hAnsi="Arial"/>
                <w:sz w:val="14"/>
                <w:szCs w:val="14"/>
                <w:color w:val="auto"/>
              </w:rPr>
              <w:t>Total</w:t>
            </w: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260" w:type="dxa"/>
            <w:vAlign w:val="bottom"/>
            <w:vMerge w:val="continue"/>
          </w:tcPr>
          <w:p>
            <w:pPr>
              <w:spacing w:after="0"/>
              <w:rPr>
                <w:sz w:val="16"/>
                <w:szCs w:val="16"/>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line="155" w:lineRule="exact"/>
              <w:rPr>
                <w:sz w:val="20"/>
                <w:szCs w:val="20"/>
                <w:color w:val="auto"/>
              </w:rPr>
            </w:pPr>
            <w:r>
              <w:rPr>
                <w:rFonts w:ascii="Arial" w:cs="Arial" w:eastAsia="Arial" w:hAnsi="Arial"/>
                <w:sz w:val="14"/>
                <w:szCs w:val="14"/>
                <w:color w:val="auto"/>
              </w:rPr>
              <w:t>1,961,739</w:t>
            </w:r>
          </w:p>
        </w:tc>
        <w:tc>
          <w:tcPr>
            <w:tcW w:w="320" w:type="dxa"/>
            <w:vAlign w:val="bottom"/>
            <w:vMerge w:val="continue"/>
          </w:tcPr>
          <w:p>
            <w:pPr>
              <w:spacing w:after="0"/>
              <w:rPr>
                <w:sz w:val="16"/>
                <w:szCs w:val="16"/>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119,317</w:t>
            </w:r>
          </w:p>
        </w:tc>
        <w:tc>
          <w:tcPr>
            <w:tcW w:w="320" w:type="dxa"/>
            <w:vAlign w:val="bottom"/>
          </w:tcPr>
          <w:p>
            <w:pPr>
              <w:spacing w:after="0"/>
              <w:rPr>
                <w:sz w:val="16"/>
                <w:szCs w:val="16"/>
                <w:color w:val="auto"/>
              </w:rPr>
            </w:pPr>
          </w:p>
        </w:tc>
        <w:tc>
          <w:tcPr>
            <w:tcW w:w="106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6.08%</w:t>
            </w: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(455)</w:t>
            </w:r>
          </w:p>
        </w:tc>
        <w:tc>
          <w:tcPr>
            <w:tcW w:w="300" w:type="dxa"/>
            <w:vAlign w:val="bottom"/>
            <w:vMerge w:val="continue"/>
          </w:tcPr>
          <w:p>
            <w:pPr>
              <w:spacing w:after="0"/>
              <w:rPr>
                <w:sz w:val="16"/>
                <w:szCs w:val="16"/>
                <w:color w:val="auto"/>
              </w:rPr>
            </w:pPr>
          </w:p>
        </w:tc>
        <w:tc>
          <w:tcPr>
            <w:tcW w:w="100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42"/>
        </w:trPr>
        <w:tc>
          <w:tcPr>
            <w:tcW w:w="526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4"/>
                <w:szCs w:val="14"/>
                <w:color w:val="auto"/>
              </w:rPr>
              <w:t>First lien home equity loans and lines of credit:</w:t>
            </w:r>
          </w:p>
        </w:tc>
        <w:tc>
          <w:tcPr>
            <w:tcW w:w="120" w:type="dxa"/>
            <w:vAlign w:val="bottom"/>
            <w:tcBorders>
              <w:top w:val="single" w:sz="8" w:color="auto"/>
            </w:tcBorders>
            <w:shd w:val="clear" w:color="auto" w:fill="CFF0FC"/>
          </w:tcPr>
          <w:p>
            <w:pPr>
              <w:spacing w:after="0"/>
              <w:rPr>
                <w:sz w:val="12"/>
                <w:szCs w:val="12"/>
                <w:color w:val="auto"/>
              </w:rPr>
            </w:pPr>
          </w:p>
        </w:tc>
        <w:tc>
          <w:tcPr>
            <w:tcW w:w="960" w:type="dxa"/>
            <w:vAlign w:val="bottom"/>
            <w:tcBorders>
              <w:top w:val="single" w:sz="8" w:color="auto"/>
            </w:tcBorders>
            <w:shd w:val="clear" w:color="auto" w:fill="CFF0FC"/>
          </w:tcPr>
          <w:p>
            <w:pPr>
              <w:spacing w:after="0"/>
              <w:rPr>
                <w:sz w:val="12"/>
                <w:szCs w:val="12"/>
                <w:color w:val="auto"/>
              </w:rPr>
            </w:pPr>
          </w:p>
        </w:tc>
        <w:tc>
          <w:tcPr>
            <w:tcW w:w="32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900" w:type="dxa"/>
            <w:vAlign w:val="bottom"/>
            <w:tcBorders>
              <w:top w:val="single" w:sz="8" w:color="auto"/>
            </w:tcBorders>
            <w:shd w:val="clear" w:color="auto" w:fill="CFF0FC"/>
          </w:tcPr>
          <w:p>
            <w:pPr>
              <w:spacing w:after="0"/>
              <w:rPr>
                <w:sz w:val="12"/>
                <w:szCs w:val="12"/>
                <w:color w:val="auto"/>
              </w:rPr>
            </w:pPr>
          </w:p>
        </w:tc>
        <w:tc>
          <w:tcPr>
            <w:tcW w:w="320" w:type="dxa"/>
            <w:vAlign w:val="bottom"/>
            <w:tcBorders>
              <w:top w:val="single" w:sz="8" w:color="CFF0FC"/>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3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260" w:type="dxa"/>
            <w:vAlign w:val="bottom"/>
          </w:tcPr>
          <w:p>
            <w:pPr>
              <w:ind w:left="260"/>
              <w:spacing w:after="0"/>
              <w:rPr>
                <w:sz w:val="20"/>
                <w:szCs w:val="20"/>
                <w:color w:val="auto"/>
              </w:rPr>
            </w:pPr>
            <w:r>
              <w:rPr>
                <w:rFonts w:ascii="Arial" w:cs="Arial" w:eastAsia="Arial" w:hAnsi="Arial"/>
                <w:sz w:val="14"/>
                <w:szCs w:val="14"/>
                <w:color w:val="auto"/>
              </w:rPr>
              <w:t>New York</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1,090,756</w:t>
            </w:r>
          </w:p>
        </w:tc>
        <w:tc>
          <w:tcPr>
            <w:tcW w:w="500" w:type="dxa"/>
            <w:vAlign w:val="bottom"/>
            <w:gridSpan w:val="2"/>
          </w:tcPr>
          <w:p>
            <w:pPr>
              <w:jc w:val="right"/>
              <w:ind w:right="69"/>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13,259</w:t>
            </w:r>
          </w:p>
        </w:tc>
        <w:tc>
          <w:tcPr>
            <w:tcW w:w="320" w:type="dxa"/>
            <w:vAlign w:val="bottom"/>
          </w:tcPr>
          <w:p>
            <w:pPr>
              <w:spacing w:after="0"/>
              <w:rPr>
                <w:sz w:val="14"/>
                <w:szCs w:val="1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1.22%</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102</w:t>
            </w:r>
          </w:p>
        </w:tc>
        <w:tc>
          <w:tcPr>
            <w:tcW w:w="30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62"/>
        </w:trPr>
        <w:tc>
          <w:tcPr>
            <w:tcW w:w="52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Pennsylvania</w:t>
            </w: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659,319</w:t>
            </w:r>
          </w:p>
        </w:tc>
        <w:tc>
          <w:tcPr>
            <w:tcW w:w="3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8,224</w:t>
            </w:r>
          </w:p>
        </w:tc>
        <w:tc>
          <w:tcPr>
            <w:tcW w:w="3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1.25</w:t>
            </w:r>
          </w:p>
        </w:tc>
        <w:tc>
          <w:tcPr>
            <w:tcW w:w="3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63</w:t>
            </w:r>
          </w:p>
        </w:tc>
        <w:tc>
          <w:tcPr>
            <w:tcW w:w="30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.04</w:t>
            </w: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60" w:type="dxa"/>
            <w:vAlign w:val="bottom"/>
          </w:tcPr>
          <w:p>
            <w:pPr>
              <w:ind w:left="260"/>
              <w:spacing w:after="0"/>
              <w:rPr>
                <w:sz w:val="20"/>
                <w:szCs w:val="20"/>
                <w:color w:val="auto"/>
              </w:rPr>
            </w:pPr>
            <w:r>
              <w:rPr>
                <w:rFonts w:ascii="Arial" w:cs="Arial" w:eastAsia="Arial" w:hAnsi="Arial"/>
                <w:sz w:val="14"/>
                <w:szCs w:val="14"/>
                <w:color w:val="auto"/>
              </w:rPr>
              <w:t>Maryland</w:t>
            </w: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543,700</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7,277</w:t>
            </w: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1.34</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161</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New Jersey</w:t>
            </w: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70,141</w:t>
            </w:r>
          </w:p>
        </w:tc>
        <w:tc>
          <w:tcPr>
            <w:tcW w:w="3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772</w:t>
            </w:r>
          </w:p>
        </w:tc>
        <w:tc>
          <w:tcPr>
            <w:tcW w:w="3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1.10</w:t>
            </w:r>
          </w:p>
        </w:tc>
        <w:tc>
          <w:tcPr>
            <w:tcW w:w="3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w:t>
            </w:r>
          </w:p>
        </w:tc>
        <w:tc>
          <w:tcPr>
            <w:tcW w:w="30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w:t>
            </w: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60" w:type="dxa"/>
            <w:vAlign w:val="bottom"/>
          </w:tcPr>
          <w:p>
            <w:pPr>
              <w:ind w:left="260"/>
              <w:spacing w:after="0"/>
              <w:rPr>
                <w:sz w:val="20"/>
                <w:szCs w:val="20"/>
                <w:color w:val="auto"/>
              </w:rPr>
            </w:pPr>
            <w:r>
              <w:rPr>
                <w:rFonts w:ascii="Arial" w:cs="Arial" w:eastAsia="Arial" w:hAnsi="Arial"/>
                <w:sz w:val="14"/>
                <w:szCs w:val="14"/>
                <w:color w:val="auto"/>
              </w:rPr>
              <w:t>Other Mid-Atlantic (a)</w:t>
            </w: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180,954</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2,014</w:t>
            </w: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1.11</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23</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.05</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w:t>
            </w:r>
          </w:p>
        </w:tc>
        <w:tc>
          <w:tcPr>
            <w:tcW w:w="12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31,735</w:t>
            </w:r>
          </w:p>
        </w:tc>
        <w:tc>
          <w:tcPr>
            <w:tcW w:w="32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1,546</w:t>
            </w:r>
          </w:p>
        </w:tc>
        <w:tc>
          <w:tcPr>
            <w:tcW w:w="320" w:type="dxa"/>
            <w:vAlign w:val="bottom"/>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4.87</w:t>
            </w:r>
          </w:p>
        </w:tc>
        <w:tc>
          <w:tcPr>
            <w:tcW w:w="34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63</w:t>
            </w:r>
          </w:p>
        </w:tc>
        <w:tc>
          <w:tcPr>
            <w:tcW w:w="300" w:type="dxa"/>
            <w:vAlign w:val="bottom"/>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.79</w:t>
            </w: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260" w:type="dxa"/>
            <w:vAlign w:val="bottom"/>
          </w:tcPr>
          <w:p>
            <w:pPr>
              <w:ind w:left="260"/>
              <w:spacing w:after="0" w:line="155" w:lineRule="exact"/>
              <w:rPr>
                <w:sz w:val="20"/>
                <w:szCs w:val="20"/>
                <w:color w:val="auto"/>
              </w:rPr>
            </w:pPr>
            <w:r>
              <w:rPr>
                <w:rFonts w:ascii="Arial" w:cs="Arial" w:eastAsia="Arial" w:hAnsi="Arial"/>
                <w:sz w:val="14"/>
                <w:szCs w:val="14"/>
                <w:color w:val="auto"/>
              </w:rPr>
              <w:t>Total</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line="155" w:lineRule="exact"/>
              <w:rPr>
                <w:sz w:val="20"/>
                <w:szCs w:val="20"/>
                <w:color w:val="auto"/>
              </w:rPr>
            </w:pPr>
            <w:r>
              <w:rPr>
                <w:rFonts w:ascii="Arial" w:cs="Arial" w:eastAsia="Arial" w:hAnsi="Arial"/>
                <w:sz w:val="14"/>
                <w:szCs w:val="14"/>
                <w:color w:val="auto"/>
              </w:rPr>
              <w:t>2,576,605</w:t>
            </w:r>
          </w:p>
        </w:tc>
        <w:tc>
          <w:tcPr>
            <w:tcW w:w="320" w:type="dxa"/>
            <w:vAlign w:val="bottom"/>
          </w:tcPr>
          <w:p>
            <w:pPr>
              <w:spacing w:after="0"/>
              <w:rPr>
                <w:sz w:val="16"/>
                <w:szCs w:val="16"/>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33,092</w:t>
            </w:r>
          </w:p>
        </w:tc>
        <w:tc>
          <w:tcPr>
            <w:tcW w:w="320" w:type="dxa"/>
            <w:vAlign w:val="bottom"/>
          </w:tcPr>
          <w:p>
            <w:pPr>
              <w:spacing w:after="0"/>
              <w:rPr>
                <w:sz w:val="16"/>
                <w:szCs w:val="16"/>
                <w:color w:val="auto"/>
              </w:rPr>
            </w:pPr>
          </w:p>
        </w:tc>
        <w:tc>
          <w:tcPr>
            <w:tcW w:w="106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1.28%</w:t>
            </w: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476</w:t>
            </w:r>
          </w:p>
        </w:tc>
        <w:tc>
          <w:tcPr>
            <w:tcW w:w="300" w:type="dxa"/>
            <w:vAlign w:val="bottom"/>
          </w:tcPr>
          <w:p>
            <w:pPr>
              <w:spacing w:after="0"/>
              <w:rPr>
                <w:sz w:val="16"/>
                <w:szCs w:val="16"/>
                <w:color w:val="auto"/>
              </w:rPr>
            </w:pPr>
          </w:p>
        </w:tc>
        <w:tc>
          <w:tcPr>
            <w:tcW w:w="100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42"/>
        </w:trPr>
        <w:tc>
          <w:tcPr>
            <w:tcW w:w="526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4"/>
                <w:szCs w:val="14"/>
                <w:color w:val="auto"/>
              </w:rPr>
              <w:t>Junior lien home equity loans and lines of credit:</w:t>
            </w:r>
          </w:p>
        </w:tc>
        <w:tc>
          <w:tcPr>
            <w:tcW w:w="120" w:type="dxa"/>
            <w:vAlign w:val="bottom"/>
            <w:tcBorders>
              <w:top w:val="single" w:sz="8" w:color="auto"/>
            </w:tcBorders>
            <w:shd w:val="clear" w:color="auto" w:fill="CFF0FC"/>
          </w:tcPr>
          <w:p>
            <w:pPr>
              <w:spacing w:after="0"/>
              <w:rPr>
                <w:sz w:val="12"/>
                <w:szCs w:val="12"/>
                <w:color w:val="auto"/>
              </w:rPr>
            </w:pPr>
          </w:p>
        </w:tc>
        <w:tc>
          <w:tcPr>
            <w:tcW w:w="960" w:type="dxa"/>
            <w:vAlign w:val="bottom"/>
            <w:tcBorders>
              <w:top w:val="single" w:sz="8" w:color="auto"/>
            </w:tcBorders>
            <w:shd w:val="clear" w:color="auto" w:fill="CFF0FC"/>
          </w:tcPr>
          <w:p>
            <w:pPr>
              <w:spacing w:after="0"/>
              <w:rPr>
                <w:sz w:val="12"/>
                <w:szCs w:val="12"/>
                <w:color w:val="auto"/>
              </w:rPr>
            </w:pPr>
          </w:p>
        </w:tc>
        <w:tc>
          <w:tcPr>
            <w:tcW w:w="32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900" w:type="dxa"/>
            <w:vAlign w:val="bottom"/>
            <w:tcBorders>
              <w:top w:val="single" w:sz="8" w:color="auto"/>
            </w:tcBorders>
            <w:shd w:val="clear" w:color="auto" w:fill="CFF0FC"/>
          </w:tcPr>
          <w:p>
            <w:pPr>
              <w:spacing w:after="0"/>
              <w:rPr>
                <w:sz w:val="12"/>
                <w:szCs w:val="12"/>
                <w:color w:val="auto"/>
              </w:rPr>
            </w:pPr>
          </w:p>
        </w:tc>
        <w:tc>
          <w:tcPr>
            <w:tcW w:w="320" w:type="dxa"/>
            <w:vAlign w:val="bottom"/>
            <w:tcBorders>
              <w:top w:val="single" w:sz="8" w:color="CFF0FC"/>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3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260" w:type="dxa"/>
            <w:vAlign w:val="bottom"/>
          </w:tcPr>
          <w:p>
            <w:pPr>
              <w:ind w:left="260"/>
              <w:spacing w:after="0"/>
              <w:rPr>
                <w:sz w:val="20"/>
                <w:szCs w:val="20"/>
                <w:color w:val="auto"/>
              </w:rPr>
            </w:pPr>
            <w:r>
              <w:rPr>
                <w:rFonts w:ascii="Arial" w:cs="Arial" w:eastAsia="Arial" w:hAnsi="Arial"/>
                <w:sz w:val="14"/>
                <w:szCs w:val="14"/>
                <w:color w:val="auto"/>
              </w:rPr>
              <w:t>New York</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667,536</w:t>
            </w:r>
          </w:p>
        </w:tc>
        <w:tc>
          <w:tcPr>
            <w:tcW w:w="500" w:type="dxa"/>
            <w:vAlign w:val="bottom"/>
            <w:gridSpan w:val="2"/>
          </w:tcPr>
          <w:p>
            <w:pPr>
              <w:jc w:val="right"/>
              <w:ind w:right="69"/>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13,679</w:t>
            </w:r>
          </w:p>
        </w:tc>
        <w:tc>
          <w:tcPr>
            <w:tcW w:w="320" w:type="dxa"/>
            <w:vAlign w:val="bottom"/>
          </w:tcPr>
          <w:p>
            <w:pPr>
              <w:spacing w:after="0"/>
              <w:rPr>
                <w:sz w:val="14"/>
                <w:szCs w:val="1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2.05%</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21</w:t>
            </w:r>
          </w:p>
        </w:tc>
        <w:tc>
          <w:tcPr>
            <w:tcW w:w="30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62"/>
        </w:trPr>
        <w:tc>
          <w:tcPr>
            <w:tcW w:w="52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Pennsylvania</w:t>
            </w: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245,463</w:t>
            </w:r>
          </w:p>
        </w:tc>
        <w:tc>
          <w:tcPr>
            <w:tcW w:w="3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3,035</w:t>
            </w:r>
          </w:p>
        </w:tc>
        <w:tc>
          <w:tcPr>
            <w:tcW w:w="3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1.24</w:t>
            </w:r>
          </w:p>
        </w:tc>
        <w:tc>
          <w:tcPr>
            <w:tcW w:w="3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833</w:t>
            </w:r>
          </w:p>
        </w:tc>
        <w:tc>
          <w:tcPr>
            <w:tcW w:w="30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1.35</w:t>
            </w: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60" w:type="dxa"/>
            <w:vAlign w:val="bottom"/>
          </w:tcPr>
          <w:p>
            <w:pPr>
              <w:ind w:left="260"/>
              <w:spacing w:after="0"/>
              <w:rPr>
                <w:sz w:val="20"/>
                <w:szCs w:val="20"/>
                <w:color w:val="auto"/>
              </w:rPr>
            </w:pPr>
            <w:r>
              <w:rPr>
                <w:rFonts w:ascii="Arial" w:cs="Arial" w:eastAsia="Arial" w:hAnsi="Arial"/>
                <w:sz w:val="14"/>
                <w:szCs w:val="14"/>
                <w:color w:val="auto"/>
              </w:rPr>
              <w:t>Maryland</w:t>
            </w: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512,619</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7,710</w:t>
            </w: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1.50</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154</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New Jersey</w:t>
            </w: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98,171</w:t>
            </w:r>
          </w:p>
        </w:tc>
        <w:tc>
          <w:tcPr>
            <w:tcW w:w="3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1,103</w:t>
            </w:r>
          </w:p>
        </w:tc>
        <w:tc>
          <w:tcPr>
            <w:tcW w:w="3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w:t>
            </w:r>
          </w:p>
        </w:tc>
        <w:tc>
          <w:tcPr>
            <w:tcW w:w="3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w:t>
            </w:r>
          </w:p>
        </w:tc>
        <w:tc>
          <w:tcPr>
            <w:tcW w:w="30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w:t>
            </w: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60" w:type="dxa"/>
            <w:vAlign w:val="bottom"/>
          </w:tcPr>
          <w:p>
            <w:pPr>
              <w:ind w:left="260"/>
              <w:spacing w:after="0"/>
              <w:rPr>
                <w:sz w:val="20"/>
                <w:szCs w:val="20"/>
                <w:color w:val="auto"/>
              </w:rPr>
            </w:pPr>
            <w:r>
              <w:rPr>
                <w:rFonts w:ascii="Arial" w:cs="Arial" w:eastAsia="Arial" w:hAnsi="Arial"/>
                <w:sz w:val="14"/>
                <w:szCs w:val="14"/>
                <w:color w:val="auto"/>
              </w:rPr>
              <w:t>Other Mid-Atlantic (a)</w:t>
            </w: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233,746</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2,889</w:t>
            </w: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1.24</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(55)</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62"/>
        </w:trPr>
        <w:tc>
          <w:tcPr>
            <w:tcW w:w="52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w:t>
            </w:r>
          </w:p>
        </w:tc>
        <w:tc>
          <w:tcPr>
            <w:tcW w:w="12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41,439</w:t>
            </w:r>
          </w:p>
        </w:tc>
        <w:tc>
          <w:tcPr>
            <w:tcW w:w="32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1,152</w:t>
            </w:r>
          </w:p>
        </w:tc>
        <w:tc>
          <w:tcPr>
            <w:tcW w:w="320" w:type="dxa"/>
            <w:vAlign w:val="bottom"/>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2.78</w:t>
            </w:r>
          </w:p>
        </w:tc>
        <w:tc>
          <w:tcPr>
            <w:tcW w:w="34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w:t>
            </w:r>
          </w:p>
        </w:tc>
        <w:tc>
          <w:tcPr>
            <w:tcW w:w="300" w:type="dxa"/>
            <w:vAlign w:val="bottom"/>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w:t>
            </w: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260" w:type="dxa"/>
            <w:vAlign w:val="bottom"/>
          </w:tcPr>
          <w:p>
            <w:pPr>
              <w:ind w:left="260"/>
              <w:spacing w:after="0" w:line="155" w:lineRule="exact"/>
              <w:rPr>
                <w:sz w:val="20"/>
                <w:szCs w:val="20"/>
                <w:color w:val="auto"/>
              </w:rPr>
            </w:pPr>
            <w:r>
              <w:rPr>
                <w:rFonts w:ascii="Arial" w:cs="Arial" w:eastAsia="Arial" w:hAnsi="Arial"/>
                <w:sz w:val="14"/>
                <w:szCs w:val="14"/>
                <w:color w:val="auto"/>
              </w:rPr>
              <w:t>Total</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line="155" w:lineRule="exact"/>
              <w:rPr>
                <w:sz w:val="20"/>
                <w:szCs w:val="20"/>
                <w:color w:val="auto"/>
              </w:rPr>
            </w:pPr>
            <w:r>
              <w:rPr>
                <w:rFonts w:ascii="Arial" w:cs="Arial" w:eastAsia="Arial" w:hAnsi="Arial"/>
                <w:sz w:val="14"/>
                <w:szCs w:val="14"/>
                <w:color w:val="auto"/>
              </w:rPr>
              <w:t>1,798,974</w:t>
            </w:r>
          </w:p>
        </w:tc>
        <w:tc>
          <w:tcPr>
            <w:tcW w:w="320" w:type="dxa"/>
            <w:vAlign w:val="bottom"/>
          </w:tcPr>
          <w:p>
            <w:pPr>
              <w:spacing w:after="0"/>
              <w:rPr>
                <w:sz w:val="16"/>
                <w:szCs w:val="16"/>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29,568</w:t>
            </w:r>
          </w:p>
        </w:tc>
        <w:tc>
          <w:tcPr>
            <w:tcW w:w="320" w:type="dxa"/>
            <w:vAlign w:val="bottom"/>
          </w:tcPr>
          <w:p>
            <w:pPr>
              <w:spacing w:after="0"/>
              <w:rPr>
                <w:sz w:val="16"/>
                <w:szCs w:val="16"/>
                <w:color w:val="auto"/>
              </w:rPr>
            </w:pPr>
          </w:p>
        </w:tc>
        <w:tc>
          <w:tcPr>
            <w:tcW w:w="106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1.64%</w:t>
            </w: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1,044</w:t>
            </w:r>
          </w:p>
        </w:tc>
        <w:tc>
          <w:tcPr>
            <w:tcW w:w="300" w:type="dxa"/>
            <w:vAlign w:val="bottom"/>
          </w:tcPr>
          <w:p>
            <w:pPr>
              <w:spacing w:after="0"/>
              <w:rPr>
                <w:sz w:val="16"/>
                <w:szCs w:val="16"/>
                <w:color w:val="auto"/>
              </w:rPr>
            </w:pPr>
          </w:p>
        </w:tc>
        <w:tc>
          <w:tcPr>
            <w:tcW w:w="100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42"/>
        </w:trPr>
        <w:tc>
          <w:tcPr>
            <w:tcW w:w="526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4"/>
                <w:szCs w:val="14"/>
                <w:color w:val="auto"/>
              </w:rPr>
              <w:t>Limited documentation junior lien:</w:t>
            </w:r>
          </w:p>
        </w:tc>
        <w:tc>
          <w:tcPr>
            <w:tcW w:w="120" w:type="dxa"/>
            <w:vAlign w:val="bottom"/>
            <w:tcBorders>
              <w:top w:val="single" w:sz="8" w:color="auto"/>
            </w:tcBorders>
            <w:shd w:val="clear" w:color="auto" w:fill="CFF0FC"/>
          </w:tcPr>
          <w:p>
            <w:pPr>
              <w:spacing w:after="0"/>
              <w:rPr>
                <w:sz w:val="12"/>
                <w:szCs w:val="12"/>
                <w:color w:val="auto"/>
              </w:rPr>
            </w:pPr>
          </w:p>
        </w:tc>
        <w:tc>
          <w:tcPr>
            <w:tcW w:w="960" w:type="dxa"/>
            <w:vAlign w:val="bottom"/>
            <w:tcBorders>
              <w:top w:val="single" w:sz="8" w:color="auto"/>
            </w:tcBorders>
            <w:shd w:val="clear" w:color="auto" w:fill="CFF0FC"/>
          </w:tcPr>
          <w:p>
            <w:pPr>
              <w:spacing w:after="0"/>
              <w:rPr>
                <w:sz w:val="12"/>
                <w:szCs w:val="12"/>
                <w:color w:val="auto"/>
              </w:rPr>
            </w:pPr>
          </w:p>
        </w:tc>
        <w:tc>
          <w:tcPr>
            <w:tcW w:w="32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900" w:type="dxa"/>
            <w:vAlign w:val="bottom"/>
            <w:tcBorders>
              <w:top w:val="single" w:sz="8" w:color="auto"/>
            </w:tcBorders>
            <w:shd w:val="clear" w:color="auto" w:fill="CFF0FC"/>
          </w:tcPr>
          <w:p>
            <w:pPr>
              <w:spacing w:after="0"/>
              <w:rPr>
                <w:sz w:val="12"/>
                <w:szCs w:val="12"/>
                <w:color w:val="auto"/>
              </w:rPr>
            </w:pPr>
          </w:p>
        </w:tc>
        <w:tc>
          <w:tcPr>
            <w:tcW w:w="320" w:type="dxa"/>
            <w:vAlign w:val="bottom"/>
            <w:tcBorders>
              <w:top w:val="single" w:sz="8" w:color="CFF0FC"/>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3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260" w:type="dxa"/>
            <w:vAlign w:val="bottom"/>
          </w:tcPr>
          <w:p>
            <w:pPr>
              <w:ind w:left="260"/>
              <w:spacing w:after="0"/>
              <w:rPr>
                <w:sz w:val="20"/>
                <w:szCs w:val="20"/>
                <w:color w:val="auto"/>
              </w:rPr>
            </w:pPr>
            <w:r>
              <w:rPr>
                <w:rFonts w:ascii="Arial" w:cs="Arial" w:eastAsia="Arial" w:hAnsi="Arial"/>
                <w:sz w:val="14"/>
                <w:szCs w:val="14"/>
                <w:color w:val="auto"/>
              </w:rPr>
              <w:t>New York</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566</w:t>
            </w:r>
          </w:p>
        </w:tc>
        <w:tc>
          <w:tcPr>
            <w:tcW w:w="500" w:type="dxa"/>
            <w:vAlign w:val="bottom"/>
            <w:gridSpan w:val="2"/>
          </w:tcPr>
          <w:p>
            <w:pPr>
              <w:jc w:val="right"/>
              <w:ind w:right="69"/>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56</w:t>
            </w:r>
          </w:p>
        </w:tc>
        <w:tc>
          <w:tcPr>
            <w:tcW w:w="320" w:type="dxa"/>
            <w:vAlign w:val="bottom"/>
          </w:tcPr>
          <w:p>
            <w:pPr>
              <w:spacing w:after="0"/>
              <w:rPr>
                <w:sz w:val="14"/>
                <w:szCs w:val="1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9.89%</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(1)</w:t>
            </w: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62"/>
        </w:trPr>
        <w:tc>
          <w:tcPr>
            <w:tcW w:w="52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Pennsylvania</w:t>
            </w: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207</w:t>
            </w:r>
          </w:p>
        </w:tc>
        <w:tc>
          <w:tcPr>
            <w:tcW w:w="3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FF0FC"/>
          </w:tcPr>
          <w:p>
            <w:pPr>
              <w:jc w:val="right"/>
              <w:ind w:right="3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(19)</w:t>
            </w: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(35.94)</w:t>
            </w:r>
          </w:p>
        </w:tc>
        <w:tc>
          <w:tcPr>
            <w:tcW w:w="0" w:type="dxa"/>
            <w:vAlign w:val="bottom"/>
          </w:tcPr>
          <w:p>
            <w:pPr>
              <w:spacing w:after="0"/>
              <w:rPr>
                <w:sz w:val="1"/>
                <w:szCs w:val="1"/>
                <w:color w:val="auto"/>
              </w:rPr>
            </w:pPr>
          </w:p>
        </w:tc>
      </w:tr>
      <w:tr>
        <w:trPr>
          <w:trHeight w:val="162"/>
        </w:trPr>
        <w:tc>
          <w:tcPr>
            <w:tcW w:w="5260" w:type="dxa"/>
            <w:vAlign w:val="bottom"/>
          </w:tcPr>
          <w:p>
            <w:pPr>
              <w:ind w:left="260"/>
              <w:spacing w:after="0"/>
              <w:rPr>
                <w:sz w:val="20"/>
                <w:szCs w:val="20"/>
                <w:color w:val="auto"/>
              </w:rPr>
            </w:pPr>
            <w:r>
              <w:rPr>
                <w:rFonts w:ascii="Arial" w:cs="Arial" w:eastAsia="Arial" w:hAnsi="Arial"/>
                <w:sz w:val="14"/>
                <w:szCs w:val="14"/>
                <w:color w:val="auto"/>
              </w:rPr>
              <w:t>Maryland</w:t>
            </w: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1,068</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75</w:t>
            </w: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7.02</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2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New Jersey</w:t>
            </w: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122</w:t>
            </w:r>
          </w:p>
        </w:tc>
        <w:tc>
          <w:tcPr>
            <w:tcW w:w="3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FF0FC"/>
          </w:tcPr>
          <w:p>
            <w:pPr>
              <w:jc w:val="right"/>
              <w:ind w:right="3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260" w:type="dxa"/>
            <w:vAlign w:val="bottom"/>
          </w:tcPr>
          <w:p>
            <w:pPr>
              <w:ind w:left="260"/>
              <w:spacing w:after="0"/>
              <w:rPr>
                <w:sz w:val="20"/>
                <w:szCs w:val="20"/>
                <w:color w:val="auto"/>
              </w:rPr>
            </w:pPr>
            <w:r>
              <w:rPr>
                <w:rFonts w:ascii="Arial" w:cs="Arial" w:eastAsia="Arial" w:hAnsi="Arial"/>
                <w:sz w:val="14"/>
                <w:szCs w:val="14"/>
                <w:color w:val="auto"/>
              </w:rPr>
              <w:t>Other Mid-Atlantic (a)</w:t>
            </w: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535</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32</w:t>
            </w: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5.98</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2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w:t>
            </w:r>
          </w:p>
        </w:tc>
        <w:tc>
          <w:tcPr>
            <w:tcW w:w="12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2,828</w:t>
            </w:r>
          </w:p>
        </w:tc>
        <w:tc>
          <w:tcPr>
            <w:tcW w:w="32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248</w:t>
            </w:r>
          </w:p>
        </w:tc>
        <w:tc>
          <w:tcPr>
            <w:tcW w:w="320" w:type="dxa"/>
            <w:vAlign w:val="bottom"/>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8.77</w:t>
            </w:r>
          </w:p>
        </w:tc>
        <w:tc>
          <w:tcPr>
            <w:tcW w:w="34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27</w:t>
            </w:r>
          </w:p>
        </w:tc>
        <w:tc>
          <w:tcPr>
            <w:tcW w:w="300" w:type="dxa"/>
            <w:vAlign w:val="bottom"/>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3.80</w:t>
            </w: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260" w:type="dxa"/>
            <w:vAlign w:val="bottom"/>
          </w:tcPr>
          <w:p>
            <w:pPr>
              <w:ind w:left="260"/>
              <w:spacing w:after="0" w:line="155" w:lineRule="exact"/>
              <w:rPr>
                <w:sz w:val="20"/>
                <w:szCs w:val="20"/>
                <w:color w:val="auto"/>
              </w:rPr>
            </w:pPr>
            <w:r>
              <w:rPr>
                <w:rFonts w:ascii="Arial" w:cs="Arial" w:eastAsia="Arial" w:hAnsi="Arial"/>
                <w:sz w:val="14"/>
                <w:szCs w:val="14"/>
                <w:color w:val="auto"/>
              </w:rPr>
              <w:t>Total</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line="155" w:lineRule="exact"/>
              <w:rPr>
                <w:sz w:val="20"/>
                <w:szCs w:val="20"/>
                <w:color w:val="auto"/>
              </w:rPr>
            </w:pPr>
            <w:r>
              <w:rPr>
                <w:rFonts w:ascii="Arial" w:cs="Arial" w:eastAsia="Arial" w:hAnsi="Arial"/>
                <w:sz w:val="14"/>
                <w:szCs w:val="14"/>
                <w:color w:val="auto"/>
              </w:rPr>
              <w:t>5,326</w:t>
            </w:r>
          </w:p>
        </w:tc>
        <w:tc>
          <w:tcPr>
            <w:tcW w:w="320" w:type="dxa"/>
            <w:vAlign w:val="bottom"/>
          </w:tcPr>
          <w:p>
            <w:pPr>
              <w:spacing w:after="0"/>
              <w:rPr>
                <w:sz w:val="13"/>
                <w:szCs w:val="13"/>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411</w:t>
            </w:r>
          </w:p>
        </w:tc>
        <w:tc>
          <w:tcPr>
            <w:tcW w:w="320" w:type="dxa"/>
            <w:vAlign w:val="bottom"/>
          </w:tcPr>
          <w:p>
            <w:pPr>
              <w:spacing w:after="0"/>
              <w:rPr>
                <w:sz w:val="13"/>
                <w:szCs w:val="13"/>
                <w:color w:val="auto"/>
              </w:rPr>
            </w:pPr>
          </w:p>
        </w:tc>
        <w:tc>
          <w:tcPr>
            <w:tcW w:w="106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7.72%</w:t>
            </w: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7</w:t>
            </w:r>
          </w:p>
        </w:tc>
        <w:tc>
          <w:tcPr>
            <w:tcW w:w="300" w:type="dxa"/>
            <w:vAlign w:val="bottom"/>
          </w:tcPr>
          <w:p>
            <w:pPr>
              <w:spacing w:after="0"/>
              <w:rPr>
                <w:sz w:val="13"/>
                <w:szCs w:val="13"/>
                <w:color w:val="auto"/>
              </w:rPr>
            </w:pPr>
          </w:p>
        </w:tc>
        <w:tc>
          <w:tcPr>
            <w:tcW w:w="100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 w:lineRule="exact"/>
        <w:rPr>
          <w:sz w:val="20"/>
          <w:szCs w:val="20"/>
          <w:color w:val="auto"/>
        </w:rPr>
      </w:pPr>
    </w:p>
    <w:p>
      <w:pPr>
        <w:ind w:left="1760" w:hanging="840"/>
        <w:spacing w:after="0"/>
        <w:tabs>
          <w:tab w:leader="none" w:pos="176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Includes Delaware, Virginia, West Virginia and the District of Columbia.</w:t>
      </w:r>
    </w:p>
    <w:p>
      <w:pPr>
        <w:spacing w:after="0" w:line="224" w:lineRule="exact"/>
        <w:rPr>
          <w:rFonts w:ascii="Arial" w:cs="Arial" w:eastAsia="Arial" w:hAnsi="Arial"/>
          <w:sz w:val="18"/>
          <w:szCs w:val="18"/>
          <w:color w:val="auto"/>
        </w:rPr>
      </w:pPr>
    </w:p>
    <w:p>
      <w:pPr>
        <w:ind w:left="5540" w:hanging="111"/>
        <w:spacing w:after="0"/>
        <w:tabs>
          <w:tab w:leader="none" w:pos="55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62 -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62" w:name="page63"/>
    <w:bookmarkEnd w:id="62"/>
    <w:p>
      <w:pPr>
        <w:jc w:val="both"/>
        <w:ind w:firstLine="510"/>
        <w:spacing w:after="0" w:line="265" w:lineRule="auto"/>
        <w:rPr>
          <w:sz w:val="20"/>
          <w:szCs w:val="20"/>
          <w:color w:val="auto"/>
        </w:rPr>
      </w:pPr>
      <w:r>
        <w:rPr>
          <w:rFonts w:ascii="Arial" w:cs="Arial" w:eastAsia="Arial" w:hAnsi="Arial"/>
          <w:sz w:val="20"/>
          <w:szCs w:val="20"/>
          <w:color w:val="auto"/>
        </w:rPr>
        <w:t>Real estate and other foreclosed assets totaled $84 million at March 31, 2020, compared with $81 million at March 31, 2019 and $86 million at December 31, 2019. Net gains or losses associated with real estate and other foreclosed assets were not material during the three-months ended March 31, 2020, March 31, 2019 or December 31, 2019. At March 31, 2020, the Company’s holdings of residential real estate-related properties comprised approximately 89% of foreclosed assets.</w:t>
      </w:r>
    </w:p>
    <w:p>
      <w:pPr>
        <w:spacing w:after="0" w:line="63"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21"/>
          <w:szCs w:val="21"/>
          <w:color w:val="auto"/>
        </w:rPr>
        <w:t>A comparative summary of nonperforming assets and certain past due, renegotiated and impaired loan data and credit quality ratios is presented in the accompanying table.</w:t>
      </w:r>
    </w:p>
    <w:p>
      <w:pPr>
        <w:spacing w:after="0" w:line="64" w:lineRule="exact"/>
        <w:rPr>
          <w:sz w:val="20"/>
          <w:szCs w:val="20"/>
          <w:color w:val="auto"/>
        </w:rPr>
      </w:pPr>
    </w:p>
    <w:p>
      <w:pPr>
        <w:spacing w:after="0"/>
        <w:rPr>
          <w:sz w:val="20"/>
          <w:szCs w:val="20"/>
          <w:color w:val="auto"/>
        </w:rPr>
      </w:pPr>
      <w:r>
        <w:rPr>
          <w:rFonts w:ascii="Arial" w:cs="Arial" w:eastAsia="Arial" w:hAnsi="Arial"/>
          <w:sz w:val="21"/>
          <w:szCs w:val="21"/>
          <w:color w:val="auto"/>
        </w:rPr>
        <w:t>NONPERFORMING ASSET AND PAST DUE, RENEGOTIATED AND IMPAIRED LOAN DATA</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right="34"/>
              <w:spacing w:after="0"/>
              <w:rPr>
                <w:sz w:val="20"/>
                <w:szCs w:val="20"/>
                <w:color w:val="auto"/>
              </w:rPr>
            </w:pPr>
            <w:r>
              <w:rPr>
                <w:rFonts w:ascii="Arial" w:cs="Arial" w:eastAsia="Arial" w:hAnsi="Arial"/>
                <w:sz w:val="14"/>
                <w:szCs w:val="14"/>
                <w:b w:val="1"/>
                <w:bCs w:val="1"/>
                <w:color w:val="auto"/>
                <w:w w:val="89"/>
              </w:rPr>
              <w:t>2020</w:t>
            </w: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60" w:type="dxa"/>
            <w:vAlign w:val="bottom"/>
            <w:gridSpan w:val="3"/>
          </w:tcPr>
          <w:p>
            <w:pPr>
              <w:ind w:left="480"/>
              <w:spacing w:after="0"/>
              <w:rPr>
                <w:sz w:val="20"/>
                <w:szCs w:val="20"/>
                <w:color w:val="auto"/>
              </w:rPr>
            </w:pPr>
            <w:r>
              <w:rPr>
                <w:rFonts w:ascii="Arial" w:cs="Arial" w:eastAsia="Arial" w:hAnsi="Arial"/>
                <w:sz w:val="14"/>
                <w:szCs w:val="14"/>
                <w:b w:val="1"/>
                <w:bCs w:val="1"/>
                <w:color w:val="auto"/>
                <w:w w:val="92"/>
              </w:rPr>
              <w:t>2019 Quarters</w:t>
            </w: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First</w:t>
            </w: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Quarter</w:t>
            </w:r>
          </w:p>
        </w:tc>
        <w:tc>
          <w:tcPr>
            <w:tcW w:w="860" w:type="dxa"/>
            <w:vAlign w:val="bottom"/>
          </w:tcPr>
          <w:p>
            <w:pPr>
              <w:jc w:val="right"/>
              <w:ind w:right="132"/>
              <w:spacing w:after="0"/>
              <w:rPr>
                <w:sz w:val="20"/>
                <w:szCs w:val="20"/>
                <w:color w:val="auto"/>
              </w:rPr>
            </w:pPr>
            <w:r>
              <w:rPr>
                <w:rFonts w:ascii="Arial" w:cs="Arial" w:eastAsia="Arial" w:hAnsi="Arial"/>
                <w:sz w:val="14"/>
                <w:szCs w:val="14"/>
                <w:b w:val="1"/>
                <w:bCs w:val="1"/>
                <w:color w:val="auto"/>
              </w:rPr>
              <w:t>Fourth</w:t>
            </w:r>
          </w:p>
        </w:tc>
        <w:tc>
          <w:tcPr>
            <w:tcW w:w="380" w:type="dxa"/>
            <w:vAlign w:val="bottom"/>
          </w:tcPr>
          <w:p>
            <w:pPr>
              <w:spacing w:after="0"/>
              <w:rPr>
                <w:sz w:val="14"/>
                <w:szCs w:val="14"/>
                <w:color w:val="auto"/>
              </w:rPr>
            </w:pPr>
          </w:p>
        </w:tc>
        <w:tc>
          <w:tcPr>
            <w:tcW w:w="1360" w:type="dxa"/>
            <w:vAlign w:val="bottom"/>
            <w:gridSpan w:val="3"/>
          </w:tcPr>
          <w:p>
            <w:pPr>
              <w:ind w:left="240"/>
              <w:spacing w:after="0"/>
              <w:rPr>
                <w:sz w:val="20"/>
                <w:szCs w:val="20"/>
                <w:color w:val="auto"/>
              </w:rPr>
            </w:pPr>
            <w:r>
              <w:rPr>
                <w:rFonts w:ascii="Arial" w:cs="Arial" w:eastAsia="Arial" w:hAnsi="Arial"/>
                <w:sz w:val="14"/>
                <w:szCs w:val="14"/>
                <w:b w:val="1"/>
                <w:bCs w:val="1"/>
                <w:color w:val="auto"/>
              </w:rPr>
              <w:t>Third</w:t>
            </w: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Second</w:t>
            </w:r>
          </w:p>
        </w:tc>
        <w:tc>
          <w:tcPr>
            <w:tcW w:w="920" w:type="dxa"/>
            <w:vAlign w:val="bottom"/>
            <w:gridSpan w:val="2"/>
          </w:tcPr>
          <w:p>
            <w:pPr>
              <w:ind w:left="220"/>
              <w:spacing w:after="0"/>
              <w:rPr>
                <w:sz w:val="20"/>
                <w:szCs w:val="20"/>
                <w:color w:val="auto"/>
              </w:rPr>
            </w:pPr>
            <w:r>
              <w:rPr>
                <w:rFonts w:ascii="Arial" w:cs="Arial" w:eastAsia="Arial" w:hAnsi="Arial"/>
                <w:sz w:val="14"/>
                <w:szCs w:val="14"/>
                <w:b w:val="1"/>
                <w:bCs w:val="1"/>
                <w:color w:val="auto"/>
              </w:rPr>
              <w:t>First</w:t>
            </w:r>
          </w:p>
        </w:tc>
        <w:tc>
          <w:tcPr>
            <w:tcW w:w="0" w:type="dxa"/>
            <w:vAlign w:val="bottom"/>
          </w:tcPr>
          <w:p>
            <w:pPr>
              <w:spacing w:after="0"/>
              <w:rPr>
                <w:sz w:val="1"/>
                <w:szCs w:val="1"/>
                <w:color w:val="auto"/>
              </w:rPr>
            </w:pPr>
          </w:p>
        </w:tc>
      </w:tr>
      <w:tr>
        <w:trPr>
          <w:trHeight w:val="180"/>
        </w:trPr>
        <w:tc>
          <w:tcPr>
            <w:tcW w:w="4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740" w:type="dxa"/>
            <w:vAlign w:val="bottom"/>
            <w:tcBorders>
              <w:top w:val="single" w:sz="8" w:color="auto"/>
            </w:tcBorders>
            <w:gridSpan w:val="4"/>
          </w:tcPr>
          <w:p>
            <w:pPr>
              <w:spacing w:after="0"/>
              <w:rPr>
                <w:sz w:val="20"/>
                <w:szCs w:val="20"/>
                <w:color w:val="auto"/>
              </w:rPr>
            </w:pPr>
            <w:r>
              <w:rPr>
                <w:rFonts w:ascii="Arial" w:cs="Arial" w:eastAsia="Arial" w:hAnsi="Arial"/>
                <w:sz w:val="14"/>
                <w:szCs w:val="14"/>
                <w:b w:val="1"/>
                <w:bCs w:val="1"/>
                <w:color w:val="auto"/>
              </w:rPr>
              <w:t>(Dollars in thousands)</w:t>
            </w:r>
          </w:p>
        </w:tc>
        <w:tc>
          <w:tcPr>
            <w:tcW w:w="60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02"/>
        </w:trPr>
        <w:tc>
          <w:tcPr>
            <w:tcW w:w="4740" w:type="dxa"/>
            <w:vAlign w:val="bottom"/>
          </w:tcPr>
          <w:p>
            <w:pPr>
              <w:spacing w:after="0"/>
              <w:rPr>
                <w:sz w:val="20"/>
                <w:szCs w:val="20"/>
                <w:color w:val="auto"/>
              </w:rPr>
            </w:pPr>
            <w:r>
              <w:rPr>
                <w:rFonts w:ascii="Arial" w:cs="Arial" w:eastAsia="Arial" w:hAnsi="Arial"/>
                <w:sz w:val="18"/>
                <w:szCs w:val="18"/>
                <w:color w:val="auto"/>
              </w:rPr>
              <w:t>Nonaccrual loans</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89"/>
              </w:rPr>
              <w:t>1,061,748</w:t>
            </w:r>
          </w:p>
        </w:tc>
        <w:tc>
          <w:tcPr>
            <w:tcW w:w="3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963,112</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1,005,249</w:t>
            </w: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865,384</w:t>
            </w:r>
          </w:p>
        </w:tc>
        <w:tc>
          <w:tcPr>
            <w:tcW w:w="3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881,611</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Real estate and other foreclosed assets</w:t>
            </w: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83,605</w:t>
            </w:r>
          </w:p>
        </w:tc>
        <w:tc>
          <w:tcPr>
            <w:tcW w:w="3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85,646</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79,735</w:t>
            </w: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72,907</w:t>
            </w:r>
          </w:p>
        </w:tc>
        <w:tc>
          <w:tcPr>
            <w:tcW w:w="3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81,335</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nonperforming assets</w:t>
            </w:r>
          </w:p>
        </w:tc>
        <w:tc>
          <w:tcPr>
            <w:tcW w:w="78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1,145,353</w:t>
            </w:r>
          </w:p>
        </w:tc>
        <w:tc>
          <w:tcPr>
            <w:tcW w:w="360" w:type="dxa"/>
            <w:vAlign w:val="bottom"/>
            <w:tcBorders>
              <w:bottom w:val="single" w:sz="8" w:color="CFF0FC"/>
            </w:tcBorders>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1,048,758</w:t>
            </w:r>
          </w:p>
        </w:tc>
        <w:tc>
          <w:tcPr>
            <w:tcW w:w="380" w:type="dxa"/>
            <w:vAlign w:val="bottom"/>
            <w:tcBorders>
              <w:bottom w:val="single" w:sz="8" w:color="CFF0FC"/>
            </w:tcBorders>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1,084,984</w:t>
            </w:r>
          </w:p>
        </w:tc>
        <w:tc>
          <w:tcPr>
            <w:tcW w:w="38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938,291</w:t>
            </w:r>
          </w:p>
        </w:tc>
        <w:tc>
          <w:tcPr>
            <w:tcW w:w="380" w:type="dxa"/>
            <w:vAlign w:val="bottom"/>
            <w:tcBorders>
              <w:bottom w:val="single" w:sz="8" w:color="CFF0FC"/>
            </w:tcBorders>
          </w:tcPr>
          <w:p>
            <w:pPr>
              <w:spacing w:after="0"/>
              <w:rPr>
                <w:sz w:val="22"/>
                <w:szCs w:val="22"/>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962,946</w:t>
            </w:r>
          </w:p>
        </w:tc>
        <w:tc>
          <w:tcPr>
            <w:tcW w:w="1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Accruing loans past due 90 days or more(a)</w:t>
            </w:r>
          </w:p>
        </w:tc>
        <w:tc>
          <w:tcPr>
            <w:tcW w:w="7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530,317</w:t>
            </w:r>
          </w:p>
        </w:tc>
        <w:tc>
          <w:tcPr>
            <w:tcW w:w="36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518,728</w:t>
            </w:r>
          </w:p>
        </w:tc>
        <w:tc>
          <w:tcPr>
            <w:tcW w:w="38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461,162</w:t>
            </w:r>
          </w:p>
        </w:tc>
        <w:tc>
          <w:tcPr>
            <w:tcW w:w="3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348,725</w:t>
            </w:r>
          </w:p>
        </w:tc>
        <w:tc>
          <w:tcPr>
            <w:tcW w:w="38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244,257</w:t>
            </w:r>
          </w:p>
        </w:tc>
        <w:tc>
          <w:tcPr>
            <w:tcW w:w="1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Arial" w:cs="Arial" w:eastAsia="Arial" w:hAnsi="Arial"/>
                <w:sz w:val="18"/>
                <w:szCs w:val="18"/>
                <w:color w:val="auto"/>
              </w:rPr>
              <w:t>Government guaranteed loans included in totals above:</w:t>
            </w:r>
          </w:p>
        </w:tc>
        <w:tc>
          <w:tcPr>
            <w:tcW w:w="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4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Nonaccrual loans</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50,561</w:t>
            </w:r>
          </w:p>
        </w:tc>
        <w:tc>
          <w:tcPr>
            <w:tcW w:w="3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50,891</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43,144</w:t>
            </w: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36,765</w:t>
            </w:r>
          </w:p>
        </w:tc>
        <w:tc>
          <w:tcPr>
            <w:tcW w:w="3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35,481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47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Accruing loans past due 90 days or more</w:t>
            </w:r>
          </w:p>
        </w:tc>
        <w:tc>
          <w:tcPr>
            <w:tcW w:w="780" w:type="dxa"/>
            <w:vAlign w:val="bottom"/>
            <w:tcBorders>
              <w:bottom w:val="single" w:sz="8" w:color="CFF0FC"/>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464,243</w:t>
            </w:r>
          </w:p>
        </w:tc>
        <w:tc>
          <w:tcPr>
            <w:tcW w:w="360" w:type="dxa"/>
            <w:vAlign w:val="bottom"/>
            <w:tcBorders>
              <w:bottom w:val="single" w:sz="8" w:color="CFF0FC"/>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479,829</w:t>
            </w:r>
          </w:p>
        </w:tc>
        <w:tc>
          <w:tcPr>
            <w:tcW w:w="380" w:type="dxa"/>
            <w:vAlign w:val="bottom"/>
            <w:tcBorders>
              <w:bottom w:val="single" w:sz="8" w:color="CFF0FC"/>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434,132</w:t>
            </w:r>
          </w:p>
        </w:tc>
        <w:tc>
          <w:tcPr>
            <w:tcW w:w="380" w:type="dxa"/>
            <w:vAlign w:val="bottom"/>
            <w:tcBorders>
              <w:bottom w:val="single" w:sz="8" w:color="CFF0FC"/>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320,305</w:t>
            </w:r>
          </w:p>
        </w:tc>
        <w:tc>
          <w:tcPr>
            <w:tcW w:w="380" w:type="dxa"/>
            <w:vAlign w:val="bottom"/>
            <w:tcBorders>
              <w:bottom w:val="single" w:sz="8" w:color="CFF0FC"/>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194,510</w:t>
            </w:r>
          </w:p>
        </w:tc>
        <w:tc>
          <w:tcPr>
            <w:tcW w:w="18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4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Renegotiated loans</w:t>
            </w:r>
          </w:p>
        </w:tc>
        <w:tc>
          <w:tcPr>
            <w:tcW w:w="7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232,439</w:t>
            </w:r>
          </w:p>
        </w:tc>
        <w:tc>
          <w:tcPr>
            <w:tcW w:w="36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234,424</w:t>
            </w:r>
          </w:p>
        </w:tc>
        <w:tc>
          <w:tcPr>
            <w:tcW w:w="38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240,781</w:t>
            </w:r>
          </w:p>
        </w:tc>
        <w:tc>
          <w:tcPr>
            <w:tcW w:w="3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254,332</w:t>
            </w:r>
          </w:p>
        </w:tc>
        <w:tc>
          <w:tcPr>
            <w:tcW w:w="38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267,952</w:t>
            </w:r>
          </w:p>
        </w:tc>
        <w:tc>
          <w:tcPr>
            <w:tcW w:w="1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Arial" w:cs="Arial" w:eastAsia="Arial" w:hAnsi="Arial"/>
                <w:sz w:val="18"/>
                <w:szCs w:val="18"/>
                <w:color w:val="auto"/>
              </w:rPr>
              <w:t>Acquired accruing loans past due 90 days or more(b)</w:t>
            </w: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FF0FC"/>
            </w:tcBorders>
            <w:vMerge w:val="continue"/>
          </w:tcPr>
          <w:p>
            <w:pPr>
              <w:spacing w:after="0"/>
              <w:rPr>
                <w:sz w:val="21"/>
                <w:szCs w:val="21"/>
                <w:color w:val="auto"/>
              </w:rPr>
            </w:pPr>
          </w:p>
        </w:tc>
        <w:tc>
          <w:tcPr>
            <w:tcW w:w="78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N/A</w:t>
            </w:r>
          </w:p>
        </w:tc>
        <w:tc>
          <w:tcPr>
            <w:tcW w:w="360" w:type="dxa"/>
            <w:vAlign w:val="bottom"/>
            <w:tcBorders>
              <w:bottom w:val="single" w:sz="8" w:color="CFF0FC"/>
            </w:tcBorders>
          </w:tcPr>
          <w:p>
            <w:pPr>
              <w:spacing w:after="0"/>
              <w:rPr>
                <w:sz w:val="21"/>
                <w:szCs w:val="21"/>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39,632</w:t>
            </w:r>
          </w:p>
        </w:tc>
        <w:tc>
          <w:tcPr>
            <w:tcW w:w="380" w:type="dxa"/>
            <w:vAlign w:val="bottom"/>
            <w:tcBorders>
              <w:bottom w:val="single" w:sz="8" w:color="CFF0FC"/>
            </w:tcBorders>
          </w:tcPr>
          <w:p>
            <w:pPr>
              <w:spacing w:after="0"/>
              <w:rPr>
                <w:sz w:val="21"/>
                <w:szCs w:val="2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40,733</w:t>
            </w:r>
          </w:p>
        </w:tc>
        <w:tc>
          <w:tcPr>
            <w:tcW w:w="38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43,079</w:t>
            </w:r>
          </w:p>
        </w:tc>
        <w:tc>
          <w:tcPr>
            <w:tcW w:w="380" w:type="dxa"/>
            <w:vAlign w:val="bottom"/>
            <w:tcBorders>
              <w:bottom w:val="single" w:sz="8" w:color="CFF0FC"/>
            </w:tcBorders>
          </w:tcPr>
          <w:p>
            <w:pPr>
              <w:spacing w:after="0"/>
              <w:rPr>
                <w:sz w:val="21"/>
                <w:szCs w:val="21"/>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43,995</w:t>
            </w:r>
          </w:p>
        </w:tc>
        <w:tc>
          <w:tcPr>
            <w:tcW w:w="18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Purchased impaired loans(c):</w:t>
            </w: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40" w:type="dxa"/>
            <w:vAlign w:val="bottom"/>
          </w:tcPr>
          <w:p>
            <w:pPr>
              <w:ind w:left="260"/>
              <w:spacing w:after="0"/>
              <w:rPr>
                <w:sz w:val="20"/>
                <w:szCs w:val="20"/>
                <w:color w:val="auto"/>
              </w:rPr>
            </w:pPr>
            <w:r>
              <w:rPr>
                <w:rFonts w:ascii="Arial" w:cs="Arial" w:eastAsia="Arial" w:hAnsi="Arial"/>
                <w:sz w:val="18"/>
                <w:szCs w:val="18"/>
                <w:color w:val="auto"/>
              </w:rPr>
              <w:t>Outstanding customer balance</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N/A</w:t>
            </w:r>
          </w:p>
        </w:tc>
        <w:tc>
          <w:tcPr>
            <w:tcW w:w="860" w:type="dxa"/>
            <w:vAlign w:val="bottom"/>
          </w:tcPr>
          <w:p>
            <w:pPr>
              <w:jc w:val="right"/>
              <w:spacing w:after="0"/>
              <w:rPr>
                <w:sz w:val="20"/>
                <w:szCs w:val="20"/>
                <w:color w:val="auto"/>
              </w:rPr>
            </w:pPr>
            <w:r>
              <w:rPr>
                <w:rFonts w:ascii="Arial" w:cs="Arial" w:eastAsia="Arial" w:hAnsi="Arial"/>
                <w:sz w:val="18"/>
                <w:szCs w:val="18"/>
                <w:color w:val="auto"/>
              </w:rPr>
              <w:t>415,413</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453,382</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473,834</w:t>
            </w: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495,163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Carrying amount</w:t>
            </w: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N/A</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227,545</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253,496</w:t>
            </w: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263,025</w:t>
            </w:r>
          </w:p>
        </w:tc>
        <w:tc>
          <w:tcPr>
            <w:tcW w:w="3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278,783</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Nonaccrual loans to total loans and leases, net of</w:t>
            </w:r>
          </w:p>
        </w:tc>
        <w:tc>
          <w:tcPr>
            <w:tcW w:w="8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55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unearned discount</w:t>
            </w: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1.13%</w:t>
            </w: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1.06%</w:t>
            </w: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1.12%</w:t>
            </w: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.96%</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.99%</w:t>
            </w:r>
          </w:p>
        </w:tc>
      </w:tr>
      <w:tr>
        <w:trPr>
          <w:trHeight w:val="215"/>
        </w:trPr>
        <w:tc>
          <w:tcPr>
            <w:tcW w:w="5520" w:type="dxa"/>
            <w:vAlign w:val="bottom"/>
          </w:tcPr>
          <w:p>
            <w:pPr>
              <w:spacing w:after="0"/>
              <w:rPr>
                <w:sz w:val="20"/>
                <w:szCs w:val="20"/>
                <w:color w:val="auto"/>
              </w:rPr>
            </w:pPr>
            <w:r>
              <w:rPr>
                <w:rFonts w:ascii="Arial" w:cs="Arial" w:eastAsia="Arial" w:hAnsi="Arial"/>
                <w:sz w:val="18"/>
                <w:szCs w:val="18"/>
                <w:color w:val="auto"/>
              </w:rPr>
              <w:t>Nonperforming assets to total net loans and leases and</w:t>
            </w: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5520" w:type="dxa"/>
            <w:vAlign w:val="bottom"/>
          </w:tcPr>
          <w:p>
            <w:pPr>
              <w:ind w:left="140"/>
              <w:spacing w:after="0"/>
              <w:rPr>
                <w:sz w:val="20"/>
                <w:szCs w:val="20"/>
                <w:color w:val="auto"/>
              </w:rPr>
            </w:pPr>
            <w:r>
              <w:rPr>
                <w:rFonts w:ascii="Arial" w:cs="Arial" w:eastAsia="Arial" w:hAnsi="Arial"/>
                <w:sz w:val="18"/>
                <w:szCs w:val="18"/>
                <w:color w:val="auto"/>
              </w:rPr>
              <w:t>real estate and other foreclosed assets</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1.22%</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1.15%</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1.21%</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1.04%</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1.09%</w:t>
            </w:r>
          </w:p>
        </w:tc>
      </w:tr>
      <w:tr>
        <w:trPr>
          <w:trHeight w:val="215"/>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Accruing loans past due 90 days or more(a) to total</w:t>
            </w:r>
          </w:p>
        </w:tc>
        <w:tc>
          <w:tcPr>
            <w:tcW w:w="8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55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loans and leases, net of unearned discount</w:t>
            </w: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.56%</w:t>
            </w: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.57%</w:t>
            </w: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.51%</w:t>
            </w: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.39%</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.28%</w:t>
            </w:r>
          </w:p>
        </w:tc>
      </w:tr>
      <w:tr>
        <w:trPr>
          <w:trHeight w:val="20"/>
        </w:trPr>
        <w:tc>
          <w:tcPr>
            <w:tcW w:w="552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r>
    </w:tbl>
    <w:p>
      <w:pPr>
        <w:spacing w:after="0" w:line="201" w:lineRule="exact"/>
        <w:rPr>
          <w:sz w:val="20"/>
          <w:szCs w:val="20"/>
          <w:color w:val="auto"/>
        </w:rPr>
      </w:pPr>
    </w:p>
    <w:p>
      <w:pPr>
        <w:ind w:left="700" w:hanging="692"/>
        <w:spacing w:after="0"/>
        <w:tabs>
          <w:tab w:leader="none" w:pos="70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Predominantly residential real estate loans. Prior to 2020, excludes loans acquired at a discount.</w:t>
      </w:r>
    </w:p>
    <w:p>
      <w:pPr>
        <w:spacing w:after="0" w:line="23" w:lineRule="exact"/>
        <w:rPr>
          <w:rFonts w:ascii="Arial" w:cs="Arial" w:eastAsia="Arial" w:hAnsi="Arial"/>
          <w:sz w:val="18"/>
          <w:szCs w:val="18"/>
          <w:i w:val="1"/>
          <w:iCs w:val="1"/>
          <w:color w:val="auto"/>
        </w:rPr>
      </w:pPr>
    </w:p>
    <w:p>
      <w:pPr>
        <w:ind w:left="560" w:hanging="552"/>
        <w:spacing w:after="0" w:line="250" w:lineRule="auto"/>
        <w:tabs>
          <w:tab w:leader="none" w:pos="56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Prior to 2020, loans acquired at a discount that were recorded at fair value at acquisition date. This category does not include purchased impaired loans that are presented separately.</w:t>
      </w:r>
    </w:p>
    <w:p>
      <w:pPr>
        <w:ind w:left="560" w:hanging="552"/>
        <w:spacing w:after="0"/>
        <w:tabs>
          <w:tab w:leader="none" w:pos="56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Prior to 2020, accruing loans acquired at a discount that were impaired at acquisition date and recorded at fair value.</w:t>
      </w:r>
    </w:p>
    <w:p>
      <w:pPr>
        <w:spacing w:after="0" w:line="103" w:lineRule="exact"/>
        <w:rPr>
          <w:sz w:val="20"/>
          <w:szCs w:val="20"/>
          <w:color w:val="auto"/>
        </w:rPr>
      </w:pPr>
    </w:p>
    <w:p>
      <w:pPr>
        <w:jc w:val="both"/>
        <w:ind w:firstLine="510"/>
        <w:spacing w:after="0" w:line="244" w:lineRule="auto"/>
        <w:rPr>
          <w:sz w:val="20"/>
          <w:szCs w:val="20"/>
          <w:color w:val="auto"/>
        </w:rPr>
      </w:pPr>
      <w:r>
        <w:rPr>
          <w:rFonts w:ascii="Arial" w:cs="Arial" w:eastAsia="Arial" w:hAnsi="Arial"/>
          <w:sz w:val="21"/>
          <w:szCs w:val="21"/>
          <w:color w:val="auto"/>
        </w:rPr>
        <w:t>Beginning in 2020, management determines the allowance for credit losses under new accounting guidance that requires estimating the amount of current expected credit losses over the remaining contractual term of the loan and leases portfolio. A description of the methodologies used by the Company to estimate its allowance for credit losses in 2020 can be found in note 3 of Notes to Financial Statements contained in this quarterly report on Form 10-Q. For periods prior to 2020, a description of the methodologies used by the Company for determining the allowance for credit losses may be found in the Provision for Credit Losses section of Management’s Discussion and Analysis of Financial Condition and Results of Operations in M&amp;T’s Annual Report on Form 10-K for the year ended December 31, 2019.</w:t>
      </w:r>
    </w:p>
    <w:p>
      <w:pPr>
        <w:spacing w:after="0" w:line="88" w:lineRule="exact"/>
        <w:rPr>
          <w:sz w:val="20"/>
          <w:szCs w:val="20"/>
          <w:color w:val="auto"/>
        </w:rPr>
      </w:pPr>
    </w:p>
    <w:p>
      <w:pPr>
        <w:jc w:val="both"/>
        <w:ind w:firstLine="510"/>
        <w:spacing w:after="0" w:line="246" w:lineRule="auto"/>
        <w:rPr>
          <w:sz w:val="20"/>
          <w:szCs w:val="20"/>
          <w:color w:val="auto"/>
        </w:rPr>
      </w:pPr>
      <w:r>
        <w:rPr>
          <w:rFonts w:ascii="Arial" w:cs="Arial" w:eastAsia="Arial" w:hAnsi="Arial"/>
          <w:sz w:val="21"/>
          <w:szCs w:val="21"/>
          <w:color w:val="auto"/>
        </w:rPr>
        <w:t>In establishing the allowance for credit losses subsequent to December 31, 2019, the Company estimates losses attributable to specific troubled credits identified through both normal and targeted credit review processes and also estimates losses for other loans and leases with similar risk characteristics on a collective basis. For purposes of determining the level of the allowance for credit losses, the Company evaluates its loan and lease portfolio by loan type. At the time of the Company’s analysis regarding the determination of the allowance for credit losses as of</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63" w:name="page64"/>
    <w:bookmarkEnd w:id="63"/>
    <w:p>
      <w:pPr>
        <w:jc w:val="both"/>
        <w:spacing w:after="0" w:line="256" w:lineRule="auto"/>
        <w:rPr>
          <w:sz w:val="20"/>
          <w:szCs w:val="20"/>
          <w:color w:val="auto"/>
        </w:rPr>
      </w:pPr>
      <w:r>
        <w:rPr>
          <w:rFonts w:ascii="Arial" w:cs="Arial" w:eastAsia="Arial" w:hAnsi="Arial"/>
          <w:sz w:val="20"/>
          <w:szCs w:val="20"/>
          <w:color w:val="auto"/>
        </w:rPr>
        <w:t>March 31, 2020, there existed substantial concerns about the likely economic decline related to the COVID-19 pandemic; the volatile nature of global commodity and export markets, including the impact international economic conditions could have on the U.S. economy; Federal Reserve positioning of monetary policy; and continued stagnant population growth in the upstate New York and central Pennsylvania regions (approximately 52% of the Company’s loans and leases are to customers in New York State and Pennsylvania). The Company utilizes a loan grading system to differentiate risk amongst its commercial loans and commercial real estate loans. Loans with a lower expectation of default are assigned one of ten possible “pass” loan grades and through the loss estimation modeling and other techniques used by the Company are generally ascribed lower loss factors when determining the allowance for credit losses. Loans with an elevated level of credit risk are classified as “criticized” and are ascribed higher loss amounts when determining the allowance for credit losses. Criticized loans may be classified as “nonaccrual” if the Company no longer expects to collect all amounts according to the contractual terms of the loan agreement or the loan is delinquent 90 days or more. Criticized commercial loans and commercial real estate loans totaled $2.4 billion at March 31, 2020, compared with $3.0 billion at March 31, 2019 and $2.5 billion at December 31, 2019. The declines from the first quarter of 2019 to the two most recent quarter-ends reflect payments received on criticized loans during 2019 and early 2020 and the removal of loans to customers experiencing improved financial condition.</w:t>
      </w:r>
    </w:p>
    <w:p>
      <w:pPr>
        <w:spacing w:after="0" w:line="72" w:lineRule="exact"/>
        <w:rPr>
          <w:sz w:val="20"/>
          <w:szCs w:val="20"/>
          <w:color w:val="auto"/>
        </w:rPr>
      </w:pPr>
    </w:p>
    <w:p>
      <w:pPr>
        <w:jc w:val="both"/>
        <w:ind w:firstLine="510"/>
        <w:spacing w:after="0" w:line="246" w:lineRule="auto"/>
        <w:rPr>
          <w:sz w:val="20"/>
          <w:szCs w:val="20"/>
          <w:color w:val="auto"/>
        </w:rPr>
      </w:pPr>
      <w:r>
        <w:rPr>
          <w:rFonts w:ascii="Arial" w:cs="Arial" w:eastAsia="Arial" w:hAnsi="Arial"/>
          <w:sz w:val="21"/>
          <w:szCs w:val="21"/>
          <w:color w:val="auto"/>
        </w:rPr>
        <w:t>The governmental responses to COVID-19 have led to a significant reduction in economic activity that has been detrimental to many businesses across the Company’s geographic regions. As a result, borrowers have been and will likely be significantly impacted by the shut-downs caused by the March 13, 2020 nationwide state of emergency resulting from the COVID-19 pandemic. Summaries of the commercial loan and lease and commercial real estate loan portfolios as of March 31, 2020 and December 31, 2019 are provided below.</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ind w:left="60"/>
              <w:spacing w:after="0"/>
              <w:rPr>
                <w:sz w:val="20"/>
                <w:szCs w:val="20"/>
                <w:color w:val="auto"/>
              </w:rPr>
            </w:pPr>
            <w:r>
              <w:rPr>
                <w:rFonts w:ascii="Arial" w:cs="Arial" w:eastAsia="Arial" w:hAnsi="Arial"/>
                <w:sz w:val="18"/>
                <w:szCs w:val="18"/>
                <w:b w:val="1"/>
                <w:bCs w:val="1"/>
                <w:color w:val="auto"/>
              </w:rPr>
              <w:t>March 31,</w:t>
            </w:r>
          </w:p>
        </w:tc>
        <w:tc>
          <w:tcPr>
            <w:tcW w:w="1400" w:type="dxa"/>
            <w:vAlign w:val="bottom"/>
            <w:gridSpan w:val="3"/>
          </w:tcPr>
          <w:p>
            <w:pPr>
              <w:ind w:left="40"/>
              <w:spacing w:after="0"/>
              <w:rPr>
                <w:sz w:val="20"/>
                <w:szCs w:val="20"/>
                <w:color w:val="auto"/>
              </w:rPr>
            </w:pPr>
            <w:r>
              <w:rPr>
                <w:rFonts w:ascii="Arial" w:cs="Arial" w:eastAsia="Arial" w:hAnsi="Arial"/>
                <w:sz w:val="18"/>
                <w:szCs w:val="18"/>
                <w:b w:val="1"/>
                <w:bCs w:val="1"/>
                <w:color w:val="auto"/>
              </w:rPr>
              <w:t>December 31,</w:t>
            </w: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520" w:type="dxa"/>
            <w:vAlign w:val="bottom"/>
            <w:gridSpan w:val="2"/>
          </w:tcPr>
          <w:p>
            <w:pPr>
              <w:spacing w:after="0" w:line="202" w:lineRule="exact"/>
              <w:rPr>
                <w:sz w:val="20"/>
                <w:szCs w:val="20"/>
                <w:color w:val="auto"/>
              </w:rPr>
            </w:pPr>
            <w:r>
              <w:rPr>
                <w:rFonts w:ascii="Arial" w:cs="Arial" w:eastAsia="Arial" w:hAnsi="Arial"/>
                <w:sz w:val="18"/>
                <w:szCs w:val="18"/>
                <w:color w:val="auto"/>
              </w:rPr>
              <w:t>Commercial, financial, leasing, etc.</w:t>
            </w: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311"/>
              <w:spacing w:after="0" w:line="202" w:lineRule="exact"/>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ind w:right="310"/>
              <w:spacing w:after="0" w:line="202" w:lineRule="exact"/>
              <w:rPr>
                <w:sz w:val="20"/>
                <w:szCs w:val="20"/>
                <w:color w:val="auto"/>
              </w:rPr>
            </w:pPr>
            <w:r>
              <w:rPr>
                <w:rFonts w:ascii="Arial" w:cs="Arial" w:eastAsia="Arial" w:hAnsi="Arial"/>
                <w:sz w:val="18"/>
                <w:szCs w:val="18"/>
                <w:b w:val="1"/>
                <w:bCs w:val="1"/>
                <w:color w:val="auto"/>
              </w:rPr>
              <w:t>2019</w:t>
            </w:r>
          </w:p>
        </w:tc>
        <w:tc>
          <w:tcPr>
            <w:tcW w:w="2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560" w:type="dxa"/>
            <w:vAlign w:val="bottom"/>
            <w:tcBorders>
              <w:top w:val="single" w:sz="8" w:color="auto"/>
            </w:tcBorders>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256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(In millions)</w:t>
            </w: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Industry</w:t>
            </w:r>
          </w:p>
        </w:tc>
        <w:tc>
          <w:tcPr>
            <w:tcW w:w="1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20" w:type="dxa"/>
            <w:vAlign w:val="bottom"/>
            <w:gridSpan w:val="2"/>
          </w:tcPr>
          <w:p>
            <w:pPr>
              <w:ind w:left="260"/>
              <w:spacing w:after="0"/>
              <w:rPr>
                <w:sz w:val="20"/>
                <w:szCs w:val="20"/>
                <w:color w:val="auto"/>
              </w:rPr>
            </w:pPr>
            <w:r>
              <w:rPr>
                <w:rFonts w:ascii="Arial" w:cs="Arial" w:eastAsia="Arial" w:hAnsi="Arial"/>
                <w:sz w:val="18"/>
                <w:szCs w:val="18"/>
                <w:color w:val="auto"/>
              </w:rPr>
              <w:t>Motor vehicle and recreational finance dealers</w:t>
            </w:r>
          </w:p>
        </w:tc>
        <w:tc>
          <w:tcPr>
            <w:tcW w:w="18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5,413</w:t>
            </w:r>
          </w:p>
        </w:tc>
        <w:tc>
          <w:tcPr>
            <w:tcW w:w="24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5,089</w:t>
            </w:r>
          </w:p>
        </w:tc>
        <w:tc>
          <w:tcPr>
            <w:tcW w:w="24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45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Services</w:t>
            </w:r>
          </w:p>
        </w:tc>
        <w:tc>
          <w:tcPr>
            <w:tcW w:w="16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4,212</w:t>
            </w:r>
          </w:p>
        </w:tc>
        <w:tc>
          <w:tcPr>
            <w:tcW w:w="24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3,769</w:t>
            </w:r>
          </w:p>
        </w:tc>
        <w:tc>
          <w:tcPr>
            <w:tcW w:w="240" w:type="dxa"/>
            <w:vAlign w:val="bottom"/>
            <w:shd w:val="clear" w:color="auto" w:fill="CFF0FC"/>
          </w:tcPr>
          <w:p>
            <w:pPr>
              <w:spacing w:after="0"/>
              <w:rPr>
                <w:sz w:val="22"/>
                <w:szCs w:val="22"/>
                <w:color w:val="auto"/>
              </w:rPr>
            </w:pPr>
          </w:p>
        </w:tc>
        <w:tc>
          <w:tcPr>
            <w:tcW w:w="2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520" w:type="dxa"/>
            <w:vAlign w:val="bottom"/>
            <w:gridSpan w:val="2"/>
          </w:tcPr>
          <w:p>
            <w:pPr>
              <w:ind w:left="260"/>
              <w:spacing w:after="0"/>
              <w:rPr>
                <w:sz w:val="20"/>
                <w:szCs w:val="20"/>
                <w:color w:val="auto"/>
              </w:rPr>
            </w:pPr>
            <w:r>
              <w:rPr>
                <w:rFonts w:ascii="Arial" w:cs="Arial" w:eastAsia="Arial" w:hAnsi="Arial"/>
                <w:sz w:val="18"/>
                <w:szCs w:val="18"/>
                <w:color w:val="auto"/>
              </w:rPr>
              <w:t>Manufacturing</w:t>
            </w:r>
          </w:p>
        </w:tc>
        <w:tc>
          <w:tcPr>
            <w:tcW w:w="1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3,391</w:t>
            </w: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2,995</w:t>
            </w:r>
          </w:p>
        </w:tc>
        <w:tc>
          <w:tcPr>
            <w:tcW w:w="24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5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Wholesale</w:t>
            </w:r>
          </w:p>
        </w:tc>
        <w:tc>
          <w:tcPr>
            <w:tcW w:w="16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2,231</w:t>
            </w:r>
          </w:p>
        </w:tc>
        <w:tc>
          <w:tcPr>
            <w:tcW w:w="24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2,296</w:t>
            </w:r>
          </w:p>
        </w:tc>
        <w:tc>
          <w:tcPr>
            <w:tcW w:w="240" w:type="dxa"/>
            <w:vAlign w:val="bottom"/>
            <w:shd w:val="clear" w:color="auto" w:fill="CFF0FC"/>
          </w:tcPr>
          <w:p>
            <w:pPr>
              <w:spacing w:after="0"/>
              <w:rPr>
                <w:sz w:val="22"/>
                <w:szCs w:val="22"/>
                <w:color w:val="auto"/>
              </w:rPr>
            </w:pPr>
          </w:p>
        </w:tc>
        <w:tc>
          <w:tcPr>
            <w:tcW w:w="2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520" w:type="dxa"/>
            <w:vAlign w:val="bottom"/>
            <w:gridSpan w:val="2"/>
          </w:tcPr>
          <w:p>
            <w:pPr>
              <w:ind w:left="260"/>
              <w:spacing w:after="0"/>
              <w:rPr>
                <w:sz w:val="20"/>
                <w:szCs w:val="20"/>
                <w:color w:val="auto"/>
              </w:rPr>
            </w:pPr>
            <w:r>
              <w:rPr>
                <w:rFonts w:ascii="Arial" w:cs="Arial" w:eastAsia="Arial" w:hAnsi="Arial"/>
                <w:sz w:val="18"/>
                <w:szCs w:val="18"/>
                <w:color w:val="auto"/>
              </w:rPr>
              <w:t>Financial and insurance</w:t>
            </w:r>
          </w:p>
        </w:tc>
        <w:tc>
          <w:tcPr>
            <w:tcW w:w="1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2,688</w:t>
            </w: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1,816</w:t>
            </w:r>
          </w:p>
        </w:tc>
        <w:tc>
          <w:tcPr>
            <w:tcW w:w="24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5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Health services</w:t>
            </w:r>
          </w:p>
        </w:tc>
        <w:tc>
          <w:tcPr>
            <w:tcW w:w="16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1,592</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1,621</w:t>
            </w:r>
          </w:p>
        </w:tc>
        <w:tc>
          <w:tcPr>
            <w:tcW w:w="240" w:type="dxa"/>
            <w:vAlign w:val="bottom"/>
            <w:shd w:val="clear" w:color="auto" w:fill="CFF0FC"/>
          </w:tcPr>
          <w:p>
            <w:pPr>
              <w:spacing w:after="0"/>
              <w:rPr>
                <w:sz w:val="21"/>
                <w:szCs w:val="21"/>
                <w:color w:val="auto"/>
              </w:rPr>
            </w:pPr>
          </w:p>
        </w:tc>
        <w:tc>
          <w:tcPr>
            <w:tcW w:w="2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20" w:type="dxa"/>
            <w:vAlign w:val="bottom"/>
            <w:gridSpan w:val="2"/>
          </w:tcPr>
          <w:p>
            <w:pPr>
              <w:ind w:left="260"/>
              <w:spacing w:after="0"/>
              <w:rPr>
                <w:sz w:val="20"/>
                <w:szCs w:val="20"/>
                <w:color w:val="auto"/>
              </w:rPr>
            </w:pPr>
            <w:r>
              <w:rPr>
                <w:rFonts w:ascii="Arial" w:cs="Arial" w:eastAsia="Arial" w:hAnsi="Arial"/>
                <w:sz w:val="18"/>
                <w:szCs w:val="18"/>
                <w:color w:val="auto"/>
              </w:rPr>
              <w:t>Transportation, communications, utilities</w:t>
            </w:r>
          </w:p>
        </w:tc>
        <w:tc>
          <w:tcPr>
            <w:tcW w:w="1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1,476</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1,450</w:t>
            </w:r>
          </w:p>
        </w:tc>
        <w:tc>
          <w:tcPr>
            <w:tcW w:w="24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Real estate investors</w:t>
            </w:r>
          </w:p>
        </w:tc>
        <w:tc>
          <w:tcPr>
            <w:tcW w:w="16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1,646</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1,507</w:t>
            </w:r>
          </w:p>
        </w:tc>
        <w:tc>
          <w:tcPr>
            <w:tcW w:w="240" w:type="dxa"/>
            <w:vAlign w:val="bottom"/>
            <w:shd w:val="clear" w:color="auto" w:fill="CFF0FC"/>
          </w:tcPr>
          <w:p>
            <w:pPr>
              <w:spacing w:after="0"/>
              <w:rPr>
                <w:sz w:val="21"/>
                <w:szCs w:val="21"/>
                <w:color w:val="auto"/>
              </w:rPr>
            </w:pPr>
          </w:p>
        </w:tc>
        <w:tc>
          <w:tcPr>
            <w:tcW w:w="2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20" w:type="dxa"/>
            <w:vAlign w:val="bottom"/>
            <w:gridSpan w:val="2"/>
          </w:tcPr>
          <w:p>
            <w:pPr>
              <w:ind w:left="260"/>
              <w:spacing w:after="0"/>
              <w:rPr>
                <w:sz w:val="20"/>
                <w:szCs w:val="20"/>
                <w:color w:val="auto"/>
              </w:rPr>
            </w:pPr>
            <w:r>
              <w:rPr>
                <w:rFonts w:ascii="Arial" w:cs="Arial" w:eastAsia="Arial" w:hAnsi="Arial"/>
                <w:sz w:val="18"/>
                <w:szCs w:val="18"/>
                <w:color w:val="auto"/>
              </w:rPr>
              <w:t>Retail</w:t>
            </w:r>
          </w:p>
        </w:tc>
        <w:tc>
          <w:tcPr>
            <w:tcW w:w="1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1,566</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1,403</w:t>
            </w:r>
          </w:p>
        </w:tc>
        <w:tc>
          <w:tcPr>
            <w:tcW w:w="24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Construction</w:t>
            </w:r>
          </w:p>
        </w:tc>
        <w:tc>
          <w:tcPr>
            <w:tcW w:w="16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1,244</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1,156</w:t>
            </w:r>
          </w:p>
        </w:tc>
        <w:tc>
          <w:tcPr>
            <w:tcW w:w="240" w:type="dxa"/>
            <w:vAlign w:val="bottom"/>
            <w:shd w:val="clear" w:color="auto" w:fill="CFF0FC"/>
          </w:tcPr>
          <w:p>
            <w:pPr>
              <w:spacing w:after="0"/>
              <w:rPr>
                <w:sz w:val="21"/>
                <w:szCs w:val="21"/>
                <w:color w:val="auto"/>
              </w:rPr>
            </w:pPr>
          </w:p>
        </w:tc>
        <w:tc>
          <w:tcPr>
            <w:tcW w:w="2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2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Other</w:t>
            </w:r>
          </w:p>
        </w:tc>
        <w:tc>
          <w:tcPr>
            <w:tcW w:w="168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w:t>
            </w:r>
          </w:p>
        </w:tc>
        <w:tc>
          <w:tcPr>
            <w:tcW w:w="24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w:t>
            </w:r>
          </w:p>
        </w:tc>
        <w:tc>
          <w:tcPr>
            <w:tcW w:w="240" w:type="dxa"/>
            <w:vAlign w:val="bottom"/>
            <w:tcBorders>
              <w:bottom w:val="single" w:sz="8" w:color="CFF0FC"/>
            </w:tcBorders>
          </w:tcPr>
          <w:p>
            <w:pPr>
              <w:spacing w:after="0"/>
              <w:rPr>
                <w:sz w:val="21"/>
                <w:szCs w:val="21"/>
                <w:color w:val="auto"/>
              </w:rPr>
            </w:pPr>
          </w:p>
        </w:tc>
        <w:tc>
          <w:tcPr>
            <w:tcW w:w="2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18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26,244</w:t>
            </w: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23,838</w:t>
            </w:r>
          </w:p>
        </w:tc>
        <w:tc>
          <w:tcPr>
            <w:tcW w:w="240" w:type="dxa"/>
            <w:vAlign w:val="bottom"/>
            <w:shd w:val="clear" w:color="auto" w:fill="CFF0FC"/>
          </w:tcPr>
          <w:p>
            <w:pPr>
              <w:spacing w:after="0"/>
              <w:rPr>
                <w:sz w:val="20"/>
                <w:szCs w:val="20"/>
                <w:color w:val="auto"/>
              </w:rPr>
            </w:pP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560" w:type="dxa"/>
            <w:vAlign w:val="bottom"/>
            <w:tcBorders>
              <w:top w:val="single" w:sz="8" w:color="CFF0FC"/>
            </w:tcBorders>
          </w:tcPr>
          <w:p>
            <w:pPr>
              <w:spacing w:after="0" w:line="20" w:lineRule="exact"/>
              <w:rPr>
                <w:sz w:val="1"/>
                <w:szCs w:val="1"/>
                <w:color w:val="auto"/>
              </w:rPr>
            </w:pPr>
          </w:p>
        </w:tc>
        <w:tc>
          <w:tcPr>
            <w:tcW w:w="1960" w:type="dxa"/>
            <w:vAlign w:val="bottom"/>
            <w:tcBorders>
              <w:top w:val="single" w:sz="8" w:color="CFF0FC"/>
            </w:tcBorders>
          </w:tcPr>
          <w:p>
            <w:pPr>
              <w:spacing w:after="0" w:line="20" w:lineRule="exact"/>
              <w:rPr>
                <w:sz w:val="1"/>
                <w:szCs w:val="1"/>
                <w:color w:val="auto"/>
              </w:rPr>
            </w:pPr>
          </w:p>
        </w:tc>
        <w:tc>
          <w:tcPr>
            <w:tcW w:w="1680" w:type="dxa"/>
            <w:vAlign w:val="bottom"/>
            <w:tcBorders>
              <w:top w:val="single" w:sz="8" w:color="CFF0FC"/>
              <w:bottom w:val="single" w:sz="8" w:color="CFF0FC"/>
            </w:tcBorders>
            <w:vMerge w:val="restart"/>
          </w:tcPr>
          <w:p>
            <w:pPr>
              <w:jc w:val="right"/>
              <w:ind w:right="290"/>
              <w:spacing w:after="0"/>
              <w:rPr>
                <w:sz w:val="20"/>
                <w:szCs w:val="20"/>
                <w:color w:val="auto"/>
              </w:rPr>
            </w:pPr>
            <w:r>
              <w:rPr>
                <w:rFonts w:ascii="Arial" w:cs="Arial" w:eastAsia="Arial" w:hAnsi="Arial"/>
                <w:sz w:val="18"/>
                <w:szCs w:val="18"/>
                <w:color w:val="auto"/>
              </w:rPr>
              <w:t>-64-</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3"/>
        </w:trPr>
        <w:tc>
          <w:tcPr>
            <w:tcW w:w="25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6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560" w:type="dxa"/>
            <w:vAlign w:val="bottom"/>
            <w:tcBorders>
              <w:bottom w:val="single" w:sz="8" w:color="9A9A9A"/>
            </w:tcBorders>
          </w:tcPr>
          <w:p>
            <w:pPr>
              <w:spacing w:after="0"/>
              <w:rPr>
                <w:sz w:val="9"/>
                <w:szCs w:val="9"/>
                <w:color w:val="auto"/>
              </w:rPr>
            </w:pPr>
          </w:p>
        </w:tc>
        <w:tc>
          <w:tcPr>
            <w:tcW w:w="196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2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-7620</wp:posOffset>
            </wp:positionV>
            <wp:extent cx="825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25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34"/>
        </w:trPr>
        <w:tc>
          <w:tcPr>
            <w:tcW w:w="166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ind w:left="60"/>
              <w:spacing w:after="0"/>
              <w:rPr>
                <w:sz w:val="20"/>
                <w:szCs w:val="20"/>
                <w:color w:val="auto"/>
              </w:rPr>
            </w:pPr>
            <w:r>
              <w:rPr>
                <w:rFonts w:ascii="Arial" w:cs="Arial" w:eastAsia="Arial" w:hAnsi="Arial"/>
                <w:sz w:val="18"/>
                <w:szCs w:val="18"/>
                <w:b w:val="1"/>
                <w:bCs w:val="1"/>
                <w:color w:val="auto"/>
              </w:rPr>
              <w:t>March 31,</w:t>
            </w:r>
          </w:p>
        </w:tc>
        <w:tc>
          <w:tcPr>
            <w:tcW w:w="1400" w:type="dxa"/>
            <w:vAlign w:val="bottom"/>
            <w:gridSpan w:val="3"/>
          </w:tcPr>
          <w:p>
            <w:pPr>
              <w:ind w:left="40"/>
              <w:spacing w:after="0"/>
              <w:rPr>
                <w:sz w:val="20"/>
                <w:szCs w:val="20"/>
                <w:color w:val="auto"/>
              </w:rPr>
            </w:pPr>
            <w:r>
              <w:rPr>
                <w:rFonts w:ascii="Arial" w:cs="Arial" w:eastAsia="Arial" w:hAnsi="Arial"/>
                <w:sz w:val="18"/>
                <w:szCs w:val="18"/>
                <w:b w:val="1"/>
                <w:bCs w:val="1"/>
                <w:color w:val="auto"/>
              </w:rPr>
              <w:t>December 31,</w:t>
            </w:r>
          </w:p>
        </w:tc>
      </w:tr>
      <w:tr>
        <w:trPr>
          <w:trHeight w:val="202"/>
        </w:trPr>
        <w:tc>
          <w:tcPr>
            <w:tcW w:w="4960" w:type="dxa"/>
            <w:vAlign w:val="bottom"/>
            <w:gridSpan w:val="2"/>
          </w:tcPr>
          <w:p>
            <w:pPr>
              <w:spacing w:after="0" w:line="202" w:lineRule="exact"/>
              <w:rPr>
                <w:sz w:val="20"/>
                <w:szCs w:val="20"/>
                <w:color w:val="auto"/>
              </w:rPr>
            </w:pPr>
            <w:r>
              <w:rPr>
                <w:rFonts w:ascii="Arial" w:cs="Arial" w:eastAsia="Arial" w:hAnsi="Arial"/>
                <w:sz w:val="18"/>
                <w:szCs w:val="18"/>
                <w:color w:val="auto"/>
              </w:rPr>
              <w:t>Commercial real estate</w:t>
            </w: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311"/>
              <w:spacing w:after="0" w:line="202" w:lineRule="exact"/>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ind w:right="310"/>
              <w:spacing w:after="0" w:line="202" w:lineRule="exact"/>
              <w:rPr>
                <w:sz w:val="20"/>
                <w:szCs w:val="20"/>
                <w:color w:val="auto"/>
              </w:rPr>
            </w:pPr>
            <w:r>
              <w:rPr>
                <w:rFonts w:ascii="Arial" w:cs="Arial" w:eastAsia="Arial" w:hAnsi="Arial"/>
                <w:sz w:val="18"/>
                <w:szCs w:val="18"/>
                <w:b w:val="1"/>
                <w:bCs w:val="1"/>
                <w:color w:val="auto"/>
              </w:rPr>
              <w:t>2019</w:t>
            </w:r>
          </w:p>
        </w:tc>
        <w:tc>
          <w:tcPr>
            <w:tcW w:w="240" w:type="dxa"/>
            <w:vAlign w:val="bottom"/>
          </w:tcPr>
          <w:p>
            <w:pPr>
              <w:spacing w:after="0"/>
              <w:rPr>
                <w:sz w:val="17"/>
                <w:szCs w:val="17"/>
                <w:color w:val="auto"/>
              </w:rPr>
            </w:pPr>
          </w:p>
        </w:tc>
      </w:tr>
      <w:tr>
        <w:trPr>
          <w:trHeight w:val="20"/>
        </w:trPr>
        <w:tc>
          <w:tcPr>
            <w:tcW w:w="1660" w:type="dxa"/>
            <w:vAlign w:val="bottom"/>
            <w:tcBorders>
              <w:top w:val="single" w:sz="8" w:color="auto"/>
            </w:tcBorders>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55"/>
        </w:trPr>
        <w:tc>
          <w:tcPr>
            <w:tcW w:w="166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(In millions)</w:t>
            </w: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243"/>
        </w:trPr>
        <w:tc>
          <w:tcPr>
            <w:tcW w:w="4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Investor-owned</w:t>
            </w:r>
          </w:p>
        </w:tc>
        <w:tc>
          <w:tcPr>
            <w:tcW w:w="1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r>
      <w:tr>
        <w:trPr>
          <w:trHeight w:val="243"/>
        </w:trPr>
        <w:tc>
          <w:tcPr>
            <w:tcW w:w="4960" w:type="dxa"/>
            <w:vAlign w:val="bottom"/>
            <w:gridSpan w:val="2"/>
          </w:tcPr>
          <w:p>
            <w:pPr>
              <w:ind w:left="260"/>
              <w:spacing w:after="0"/>
              <w:rPr>
                <w:sz w:val="20"/>
                <w:szCs w:val="20"/>
                <w:color w:val="auto"/>
              </w:rPr>
            </w:pPr>
            <w:r>
              <w:rPr>
                <w:rFonts w:ascii="Arial" w:cs="Arial" w:eastAsia="Arial" w:hAnsi="Arial"/>
                <w:sz w:val="18"/>
                <w:szCs w:val="18"/>
                <w:color w:val="auto"/>
              </w:rPr>
              <w:t>Permanent finance by property type</w:t>
            </w: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243"/>
        </w:trPr>
        <w:tc>
          <w:tcPr>
            <w:tcW w:w="496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Office</w:t>
            </w: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4,491</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4,468</w:t>
            </w:r>
          </w:p>
        </w:tc>
        <w:tc>
          <w:tcPr>
            <w:tcW w:w="240" w:type="dxa"/>
            <w:vAlign w:val="bottom"/>
            <w:shd w:val="clear" w:color="auto" w:fill="CFF0FC"/>
          </w:tcPr>
          <w:p>
            <w:pPr>
              <w:spacing w:after="0"/>
              <w:rPr>
                <w:sz w:val="21"/>
                <w:szCs w:val="21"/>
                <w:color w:val="auto"/>
              </w:rPr>
            </w:pPr>
          </w:p>
        </w:tc>
      </w:tr>
      <w:tr>
        <w:trPr>
          <w:trHeight w:val="243"/>
        </w:trPr>
        <w:tc>
          <w:tcPr>
            <w:tcW w:w="4960" w:type="dxa"/>
            <w:vAlign w:val="bottom"/>
            <w:gridSpan w:val="2"/>
          </w:tcPr>
          <w:p>
            <w:pPr>
              <w:ind w:left="380"/>
              <w:spacing w:after="0"/>
              <w:rPr>
                <w:sz w:val="20"/>
                <w:szCs w:val="20"/>
                <w:color w:val="auto"/>
              </w:rPr>
            </w:pPr>
            <w:r>
              <w:rPr>
                <w:rFonts w:ascii="Arial" w:cs="Arial" w:eastAsia="Arial" w:hAnsi="Arial"/>
                <w:sz w:val="18"/>
                <w:szCs w:val="18"/>
                <w:color w:val="auto"/>
              </w:rPr>
              <w:t>Apartments/Multifamily</w:t>
            </w: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4,634</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4,226</w:t>
            </w:r>
          </w:p>
        </w:tc>
        <w:tc>
          <w:tcPr>
            <w:tcW w:w="240" w:type="dxa"/>
            <w:vAlign w:val="bottom"/>
          </w:tcPr>
          <w:p>
            <w:pPr>
              <w:spacing w:after="0"/>
              <w:rPr>
                <w:sz w:val="21"/>
                <w:szCs w:val="21"/>
                <w:color w:val="auto"/>
              </w:rPr>
            </w:pPr>
          </w:p>
        </w:tc>
      </w:tr>
      <w:tr>
        <w:trPr>
          <w:trHeight w:val="243"/>
        </w:trPr>
        <w:tc>
          <w:tcPr>
            <w:tcW w:w="496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Retail/Service</w:t>
            </w:r>
          </w:p>
        </w:tc>
        <w:tc>
          <w:tcPr>
            <w:tcW w:w="1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4,601</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4,366</w:t>
            </w:r>
          </w:p>
        </w:tc>
        <w:tc>
          <w:tcPr>
            <w:tcW w:w="240" w:type="dxa"/>
            <w:vAlign w:val="bottom"/>
            <w:shd w:val="clear" w:color="auto" w:fill="CFF0FC"/>
          </w:tcPr>
          <w:p>
            <w:pPr>
              <w:spacing w:after="0"/>
              <w:rPr>
                <w:sz w:val="21"/>
                <w:szCs w:val="21"/>
                <w:color w:val="auto"/>
              </w:rPr>
            </w:pPr>
          </w:p>
        </w:tc>
      </w:tr>
      <w:tr>
        <w:trPr>
          <w:trHeight w:val="243"/>
        </w:trPr>
        <w:tc>
          <w:tcPr>
            <w:tcW w:w="4960" w:type="dxa"/>
            <w:vAlign w:val="bottom"/>
            <w:gridSpan w:val="2"/>
          </w:tcPr>
          <w:p>
            <w:pPr>
              <w:ind w:left="380"/>
              <w:spacing w:after="0"/>
              <w:rPr>
                <w:sz w:val="20"/>
                <w:szCs w:val="20"/>
                <w:color w:val="auto"/>
              </w:rPr>
            </w:pPr>
            <w:r>
              <w:rPr>
                <w:rFonts w:ascii="Arial" w:cs="Arial" w:eastAsia="Arial" w:hAnsi="Arial"/>
                <w:sz w:val="18"/>
                <w:szCs w:val="18"/>
                <w:color w:val="auto"/>
              </w:rPr>
              <w:t>Hotel</w:t>
            </w: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2,672</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2,629</w:t>
            </w:r>
          </w:p>
        </w:tc>
        <w:tc>
          <w:tcPr>
            <w:tcW w:w="240" w:type="dxa"/>
            <w:vAlign w:val="bottom"/>
          </w:tcPr>
          <w:p>
            <w:pPr>
              <w:spacing w:after="0"/>
              <w:rPr>
                <w:sz w:val="21"/>
                <w:szCs w:val="21"/>
                <w:color w:val="auto"/>
              </w:rPr>
            </w:pPr>
          </w:p>
        </w:tc>
      </w:tr>
      <w:tr>
        <w:trPr>
          <w:trHeight w:val="243"/>
        </w:trPr>
        <w:tc>
          <w:tcPr>
            <w:tcW w:w="496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Health facilities</w:t>
            </w:r>
          </w:p>
        </w:tc>
        <w:tc>
          <w:tcPr>
            <w:tcW w:w="1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2,563</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2,442</w:t>
            </w:r>
          </w:p>
        </w:tc>
        <w:tc>
          <w:tcPr>
            <w:tcW w:w="240" w:type="dxa"/>
            <w:vAlign w:val="bottom"/>
            <w:shd w:val="clear" w:color="auto" w:fill="CFF0FC"/>
          </w:tcPr>
          <w:p>
            <w:pPr>
              <w:spacing w:after="0"/>
              <w:rPr>
                <w:sz w:val="21"/>
                <w:szCs w:val="21"/>
                <w:color w:val="auto"/>
              </w:rPr>
            </w:pPr>
          </w:p>
        </w:tc>
      </w:tr>
      <w:tr>
        <w:trPr>
          <w:trHeight w:val="243"/>
        </w:trPr>
        <w:tc>
          <w:tcPr>
            <w:tcW w:w="4960" w:type="dxa"/>
            <w:vAlign w:val="bottom"/>
            <w:gridSpan w:val="2"/>
          </w:tcPr>
          <w:p>
            <w:pPr>
              <w:ind w:left="380"/>
              <w:spacing w:after="0"/>
              <w:rPr>
                <w:sz w:val="20"/>
                <w:szCs w:val="20"/>
                <w:color w:val="auto"/>
              </w:rPr>
            </w:pPr>
            <w:r>
              <w:rPr>
                <w:rFonts w:ascii="Arial" w:cs="Arial" w:eastAsia="Arial" w:hAnsi="Arial"/>
                <w:sz w:val="18"/>
                <w:szCs w:val="18"/>
                <w:color w:val="auto"/>
              </w:rPr>
              <w:t>Industrial/Warehouse</w:t>
            </w: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1,499</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1,529</w:t>
            </w:r>
          </w:p>
        </w:tc>
        <w:tc>
          <w:tcPr>
            <w:tcW w:w="240" w:type="dxa"/>
            <w:vAlign w:val="bottom"/>
          </w:tcPr>
          <w:p>
            <w:pPr>
              <w:spacing w:after="0"/>
              <w:rPr>
                <w:sz w:val="21"/>
                <w:szCs w:val="21"/>
                <w:color w:val="auto"/>
              </w:rPr>
            </w:pPr>
          </w:p>
        </w:tc>
      </w:tr>
      <w:tr>
        <w:trPr>
          <w:trHeight w:val="243"/>
        </w:trPr>
        <w:tc>
          <w:tcPr>
            <w:tcW w:w="496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Other</w:t>
            </w:r>
          </w:p>
        </w:tc>
        <w:tc>
          <w:tcPr>
            <w:tcW w:w="1240" w:type="dxa"/>
            <w:vAlign w:val="bottom"/>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w:t>
            </w:r>
          </w:p>
        </w:tc>
        <w:tc>
          <w:tcPr>
            <w:tcW w:w="240" w:type="dxa"/>
            <w:vAlign w:val="bottom"/>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w:t>
            </w:r>
          </w:p>
        </w:tc>
        <w:tc>
          <w:tcPr>
            <w:tcW w:w="240" w:type="dxa"/>
            <w:vAlign w:val="bottom"/>
            <w:shd w:val="clear" w:color="auto" w:fill="CFF0FC"/>
          </w:tcPr>
          <w:p>
            <w:pPr>
              <w:spacing w:after="0"/>
              <w:rPr>
                <w:sz w:val="21"/>
                <w:szCs w:val="21"/>
                <w:color w:val="auto"/>
              </w:rPr>
            </w:pPr>
          </w:p>
        </w:tc>
      </w:tr>
      <w:tr>
        <w:trPr>
          <w:trHeight w:val="236"/>
        </w:trPr>
        <w:tc>
          <w:tcPr>
            <w:tcW w:w="4960" w:type="dxa"/>
            <w:vAlign w:val="bottom"/>
            <w:gridSpan w:val="2"/>
          </w:tcPr>
          <w:p>
            <w:pPr>
              <w:ind w:left="620"/>
              <w:spacing w:after="0"/>
              <w:rPr>
                <w:sz w:val="20"/>
                <w:szCs w:val="20"/>
                <w:color w:val="auto"/>
              </w:rPr>
            </w:pPr>
            <w:r>
              <w:rPr>
                <w:rFonts w:ascii="Arial" w:cs="Arial" w:eastAsia="Arial" w:hAnsi="Arial"/>
                <w:sz w:val="18"/>
                <w:szCs w:val="18"/>
                <w:color w:val="auto"/>
              </w:rPr>
              <w:t>Total permanent</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20,782</w:t>
            </w:r>
          </w:p>
        </w:tc>
        <w:tc>
          <w:tcPr>
            <w:tcW w:w="24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19,879</w:t>
            </w:r>
          </w:p>
        </w:tc>
        <w:tc>
          <w:tcPr>
            <w:tcW w:w="240" w:type="dxa"/>
            <w:vAlign w:val="bottom"/>
          </w:tcPr>
          <w:p>
            <w:pPr>
              <w:spacing w:after="0"/>
              <w:rPr>
                <w:sz w:val="20"/>
                <w:szCs w:val="20"/>
                <w:color w:val="auto"/>
              </w:rPr>
            </w:pPr>
          </w:p>
        </w:tc>
      </w:tr>
      <w:tr>
        <w:trPr>
          <w:trHeight w:val="236"/>
        </w:trPr>
        <w:tc>
          <w:tcPr>
            <w:tcW w:w="4960" w:type="dxa"/>
            <w:vAlign w:val="bottom"/>
            <w:tcBorders>
              <w:top w:val="single" w:sz="8" w:color="CFF0FC"/>
            </w:tcBorders>
            <w:gridSpan w:val="2"/>
            <w:shd w:val="clear" w:color="auto" w:fill="CFF0FC"/>
          </w:tcPr>
          <w:p>
            <w:pPr>
              <w:ind w:left="380"/>
              <w:spacing w:after="0"/>
              <w:rPr>
                <w:sz w:val="20"/>
                <w:szCs w:val="20"/>
                <w:color w:val="auto"/>
              </w:rPr>
            </w:pPr>
            <w:r>
              <w:rPr>
                <w:rFonts w:ascii="Arial" w:cs="Arial" w:eastAsia="Arial" w:hAnsi="Arial"/>
                <w:sz w:val="18"/>
                <w:szCs w:val="18"/>
                <w:color w:val="auto"/>
              </w:rPr>
              <w:t>Total construction/development</w:t>
            </w:r>
          </w:p>
        </w:tc>
        <w:tc>
          <w:tcPr>
            <w:tcW w:w="1240" w:type="dxa"/>
            <w:vAlign w:val="bottom"/>
            <w:tcBorders>
              <w:top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8,761</w:t>
            </w:r>
          </w:p>
        </w:tc>
        <w:tc>
          <w:tcPr>
            <w:tcW w:w="240" w:type="dxa"/>
            <w:vAlign w:val="bottom"/>
            <w:tcBorders>
              <w:top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spacing w:after="0"/>
              <w:rPr>
                <w:sz w:val="20"/>
                <w:szCs w:val="20"/>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8,501</w:t>
            </w:r>
          </w:p>
        </w:tc>
        <w:tc>
          <w:tcPr>
            <w:tcW w:w="240" w:type="dxa"/>
            <w:vAlign w:val="bottom"/>
            <w:tcBorders>
              <w:top w:val="single" w:sz="8" w:color="CFF0FC"/>
            </w:tcBorders>
            <w:shd w:val="clear" w:color="auto" w:fill="CFF0FC"/>
          </w:tcPr>
          <w:p>
            <w:pPr>
              <w:spacing w:after="0"/>
              <w:rPr>
                <w:sz w:val="20"/>
                <w:szCs w:val="20"/>
                <w:color w:val="auto"/>
              </w:rPr>
            </w:pPr>
          </w:p>
        </w:tc>
      </w:tr>
      <w:tr>
        <w:trPr>
          <w:trHeight w:val="236"/>
        </w:trPr>
        <w:tc>
          <w:tcPr>
            <w:tcW w:w="4960" w:type="dxa"/>
            <w:vAlign w:val="bottom"/>
            <w:gridSpan w:val="2"/>
          </w:tcPr>
          <w:p>
            <w:pPr>
              <w:spacing w:after="0"/>
              <w:rPr>
                <w:sz w:val="20"/>
                <w:szCs w:val="20"/>
                <w:color w:val="auto"/>
              </w:rPr>
            </w:pPr>
            <w:r>
              <w:rPr>
                <w:rFonts w:ascii="Arial" w:cs="Arial" w:eastAsia="Arial" w:hAnsi="Arial"/>
                <w:sz w:val="18"/>
                <w:szCs w:val="18"/>
                <w:color w:val="auto"/>
              </w:rPr>
              <w:t>Total investor-owned</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29,543</w:t>
            </w:r>
          </w:p>
        </w:tc>
        <w:tc>
          <w:tcPr>
            <w:tcW w:w="24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28,380</w:t>
            </w:r>
          </w:p>
        </w:tc>
        <w:tc>
          <w:tcPr>
            <w:tcW w:w="240" w:type="dxa"/>
            <w:vAlign w:val="bottom"/>
          </w:tcPr>
          <w:p>
            <w:pPr>
              <w:spacing w:after="0"/>
              <w:rPr>
                <w:sz w:val="20"/>
                <w:szCs w:val="20"/>
                <w:color w:val="auto"/>
              </w:rPr>
            </w:pPr>
          </w:p>
        </w:tc>
      </w:tr>
      <w:tr>
        <w:trPr>
          <w:trHeight w:val="236"/>
        </w:trPr>
        <w:tc>
          <w:tcPr>
            <w:tcW w:w="49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Owner-occupied by industry</w:t>
            </w:r>
          </w:p>
        </w:tc>
        <w:tc>
          <w:tcPr>
            <w:tcW w:w="1240" w:type="dxa"/>
            <w:vAlign w:val="bottom"/>
            <w:tcBorders>
              <w:top w:val="single" w:sz="8" w:color="CFF0FC"/>
            </w:tcBorders>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240" w:type="dxa"/>
            <w:vAlign w:val="bottom"/>
            <w:tcBorders>
              <w:top w:val="single" w:sz="8" w:color="CFF0FC"/>
            </w:tcBorders>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spacing w:after="0"/>
              <w:rPr>
                <w:sz w:val="20"/>
                <w:szCs w:val="20"/>
                <w:color w:val="auto"/>
              </w:rPr>
            </w:pPr>
          </w:p>
        </w:tc>
        <w:tc>
          <w:tcPr>
            <w:tcW w:w="240" w:type="dxa"/>
            <w:vAlign w:val="bottom"/>
            <w:tcBorders>
              <w:top w:val="single" w:sz="8" w:color="CFF0FC"/>
            </w:tcBorders>
            <w:shd w:val="clear" w:color="auto" w:fill="CFF0FC"/>
          </w:tcPr>
          <w:p>
            <w:pPr>
              <w:spacing w:after="0"/>
              <w:rPr>
                <w:sz w:val="20"/>
                <w:szCs w:val="20"/>
                <w:color w:val="auto"/>
              </w:rPr>
            </w:pPr>
          </w:p>
        </w:tc>
      </w:tr>
      <w:tr>
        <w:trPr>
          <w:trHeight w:val="243"/>
        </w:trPr>
        <w:tc>
          <w:tcPr>
            <w:tcW w:w="4960" w:type="dxa"/>
            <w:vAlign w:val="bottom"/>
            <w:gridSpan w:val="2"/>
          </w:tcPr>
          <w:p>
            <w:pPr>
              <w:ind w:left="380"/>
              <w:spacing w:after="0"/>
              <w:rPr>
                <w:sz w:val="20"/>
                <w:szCs w:val="20"/>
                <w:color w:val="auto"/>
              </w:rPr>
            </w:pPr>
            <w:r>
              <w:rPr>
                <w:rFonts w:ascii="Arial" w:cs="Arial" w:eastAsia="Arial" w:hAnsi="Arial"/>
                <w:sz w:val="18"/>
                <w:szCs w:val="18"/>
                <w:color w:val="auto"/>
              </w:rPr>
              <w:t>Other services</w:t>
            </w: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1,445</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1,467</w:t>
            </w:r>
          </w:p>
        </w:tc>
        <w:tc>
          <w:tcPr>
            <w:tcW w:w="240" w:type="dxa"/>
            <w:vAlign w:val="bottom"/>
          </w:tcPr>
          <w:p>
            <w:pPr>
              <w:spacing w:after="0"/>
              <w:rPr>
                <w:sz w:val="21"/>
                <w:szCs w:val="21"/>
                <w:color w:val="auto"/>
              </w:rPr>
            </w:pPr>
          </w:p>
        </w:tc>
      </w:tr>
      <w:tr>
        <w:trPr>
          <w:trHeight w:val="243"/>
        </w:trPr>
        <w:tc>
          <w:tcPr>
            <w:tcW w:w="496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Retail</w:t>
            </w:r>
          </w:p>
        </w:tc>
        <w:tc>
          <w:tcPr>
            <w:tcW w:w="1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1,168</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1,157</w:t>
            </w:r>
          </w:p>
        </w:tc>
        <w:tc>
          <w:tcPr>
            <w:tcW w:w="240" w:type="dxa"/>
            <w:vAlign w:val="bottom"/>
            <w:shd w:val="clear" w:color="auto" w:fill="CFF0FC"/>
          </w:tcPr>
          <w:p>
            <w:pPr>
              <w:spacing w:after="0"/>
              <w:rPr>
                <w:sz w:val="21"/>
                <w:szCs w:val="21"/>
                <w:color w:val="auto"/>
              </w:rPr>
            </w:pPr>
          </w:p>
        </w:tc>
      </w:tr>
      <w:tr>
        <w:trPr>
          <w:trHeight w:val="243"/>
        </w:trPr>
        <w:tc>
          <w:tcPr>
            <w:tcW w:w="4960" w:type="dxa"/>
            <w:vAlign w:val="bottom"/>
            <w:gridSpan w:val="2"/>
          </w:tcPr>
          <w:p>
            <w:pPr>
              <w:ind w:left="380"/>
              <w:spacing w:after="0"/>
              <w:rPr>
                <w:sz w:val="20"/>
                <w:szCs w:val="20"/>
                <w:color w:val="auto"/>
              </w:rPr>
            </w:pPr>
            <w:r>
              <w:rPr>
                <w:rFonts w:ascii="Arial" w:cs="Arial" w:eastAsia="Arial" w:hAnsi="Arial"/>
                <w:sz w:val="18"/>
                <w:szCs w:val="18"/>
                <w:color w:val="auto"/>
              </w:rPr>
              <w:t>Motor vehicle and recreational finance dealers</w:t>
            </w: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1,161</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1,164</w:t>
            </w:r>
          </w:p>
        </w:tc>
        <w:tc>
          <w:tcPr>
            <w:tcW w:w="240" w:type="dxa"/>
            <w:vAlign w:val="bottom"/>
          </w:tcPr>
          <w:p>
            <w:pPr>
              <w:spacing w:after="0"/>
              <w:rPr>
                <w:sz w:val="21"/>
                <w:szCs w:val="21"/>
                <w:color w:val="auto"/>
              </w:rPr>
            </w:pPr>
          </w:p>
        </w:tc>
      </w:tr>
      <w:tr>
        <w:trPr>
          <w:trHeight w:val="243"/>
        </w:trPr>
        <w:tc>
          <w:tcPr>
            <w:tcW w:w="496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Health services</w:t>
            </w:r>
          </w:p>
        </w:tc>
        <w:tc>
          <w:tcPr>
            <w:tcW w:w="1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899</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903</w:t>
            </w:r>
          </w:p>
        </w:tc>
        <w:tc>
          <w:tcPr>
            <w:tcW w:w="240" w:type="dxa"/>
            <w:vAlign w:val="bottom"/>
            <w:shd w:val="clear" w:color="auto" w:fill="CFF0FC"/>
          </w:tcPr>
          <w:p>
            <w:pPr>
              <w:spacing w:after="0"/>
              <w:rPr>
                <w:sz w:val="21"/>
                <w:szCs w:val="21"/>
                <w:color w:val="auto"/>
              </w:rPr>
            </w:pPr>
          </w:p>
        </w:tc>
      </w:tr>
      <w:tr>
        <w:trPr>
          <w:trHeight w:val="243"/>
        </w:trPr>
        <w:tc>
          <w:tcPr>
            <w:tcW w:w="4960" w:type="dxa"/>
            <w:vAlign w:val="bottom"/>
            <w:gridSpan w:val="2"/>
          </w:tcPr>
          <w:p>
            <w:pPr>
              <w:ind w:left="380"/>
              <w:spacing w:after="0"/>
              <w:rPr>
                <w:sz w:val="20"/>
                <w:szCs w:val="20"/>
                <w:color w:val="auto"/>
              </w:rPr>
            </w:pPr>
            <w:r>
              <w:rPr>
                <w:rFonts w:ascii="Arial" w:cs="Arial" w:eastAsia="Arial" w:hAnsi="Arial"/>
                <w:sz w:val="18"/>
                <w:szCs w:val="18"/>
                <w:color w:val="auto"/>
              </w:rPr>
              <w:t>Wholesale</w:t>
            </w: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763</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781</w:t>
            </w:r>
          </w:p>
        </w:tc>
        <w:tc>
          <w:tcPr>
            <w:tcW w:w="240" w:type="dxa"/>
            <w:vAlign w:val="bottom"/>
          </w:tcPr>
          <w:p>
            <w:pPr>
              <w:spacing w:after="0"/>
              <w:rPr>
                <w:sz w:val="21"/>
                <w:szCs w:val="21"/>
                <w:color w:val="auto"/>
              </w:rPr>
            </w:pPr>
          </w:p>
        </w:tc>
      </w:tr>
      <w:tr>
        <w:trPr>
          <w:trHeight w:val="243"/>
        </w:trPr>
        <w:tc>
          <w:tcPr>
            <w:tcW w:w="496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Manufacturing</w:t>
            </w:r>
          </w:p>
        </w:tc>
        <w:tc>
          <w:tcPr>
            <w:tcW w:w="1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589</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591</w:t>
            </w:r>
          </w:p>
        </w:tc>
        <w:tc>
          <w:tcPr>
            <w:tcW w:w="240" w:type="dxa"/>
            <w:vAlign w:val="bottom"/>
            <w:shd w:val="clear" w:color="auto" w:fill="CFF0FC"/>
          </w:tcPr>
          <w:p>
            <w:pPr>
              <w:spacing w:after="0"/>
              <w:rPr>
                <w:sz w:val="21"/>
                <w:szCs w:val="21"/>
                <w:color w:val="auto"/>
              </w:rPr>
            </w:pPr>
          </w:p>
        </w:tc>
      </w:tr>
      <w:tr>
        <w:trPr>
          <w:trHeight w:val="243"/>
        </w:trPr>
        <w:tc>
          <w:tcPr>
            <w:tcW w:w="4960" w:type="dxa"/>
            <w:vAlign w:val="bottom"/>
            <w:tcBorders>
              <w:bottom w:val="single" w:sz="8" w:color="CFF0FC"/>
            </w:tcBorders>
            <w:gridSpan w:val="2"/>
          </w:tcPr>
          <w:p>
            <w:pPr>
              <w:ind w:left="380"/>
              <w:spacing w:after="0"/>
              <w:rPr>
                <w:sz w:val="20"/>
                <w:szCs w:val="20"/>
                <w:color w:val="auto"/>
              </w:rPr>
            </w:pPr>
            <w:r>
              <w:rPr>
                <w:rFonts w:ascii="Arial" w:cs="Arial" w:eastAsia="Arial" w:hAnsi="Arial"/>
                <w:sz w:val="18"/>
                <w:szCs w:val="18"/>
                <w:color w:val="auto"/>
              </w:rPr>
              <w:t>Other</w:t>
            </w:r>
          </w:p>
        </w:tc>
        <w:tc>
          <w:tcPr>
            <w:tcW w:w="124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1,116</w:t>
            </w:r>
          </w:p>
        </w:tc>
        <w:tc>
          <w:tcPr>
            <w:tcW w:w="24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1,099</w:t>
            </w:r>
          </w:p>
        </w:tc>
        <w:tc>
          <w:tcPr>
            <w:tcW w:w="240" w:type="dxa"/>
            <w:vAlign w:val="bottom"/>
            <w:tcBorders>
              <w:bottom w:val="single" w:sz="8" w:color="CFF0FC"/>
            </w:tcBorders>
          </w:tcPr>
          <w:p>
            <w:pPr>
              <w:spacing w:after="0"/>
              <w:rPr>
                <w:sz w:val="21"/>
                <w:szCs w:val="21"/>
                <w:color w:val="auto"/>
              </w:rPr>
            </w:pPr>
          </w:p>
        </w:tc>
      </w:tr>
      <w:tr>
        <w:trPr>
          <w:trHeight w:val="236"/>
        </w:trPr>
        <w:tc>
          <w:tcPr>
            <w:tcW w:w="4960" w:type="dxa"/>
            <w:vAlign w:val="bottom"/>
            <w:gridSpan w:val="2"/>
            <w:shd w:val="clear" w:color="auto" w:fill="CFF0FC"/>
          </w:tcPr>
          <w:p>
            <w:pPr>
              <w:ind w:left="620"/>
              <w:spacing w:after="0"/>
              <w:rPr>
                <w:sz w:val="20"/>
                <w:szCs w:val="20"/>
                <w:color w:val="auto"/>
              </w:rPr>
            </w:pPr>
            <w:r>
              <w:rPr>
                <w:rFonts w:ascii="Arial" w:cs="Arial" w:eastAsia="Arial" w:hAnsi="Arial"/>
                <w:sz w:val="18"/>
                <w:szCs w:val="18"/>
                <w:color w:val="auto"/>
              </w:rPr>
              <w:t>Total owner-occupied</w:t>
            </w:r>
          </w:p>
        </w:tc>
        <w:tc>
          <w:tcPr>
            <w:tcW w:w="1240" w:type="dxa"/>
            <w:vAlign w:val="bottom"/>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7,141</w:t>
            </w:r>
          </w:p>
        </w:tc>
        <w:tc>
          <w:tcPr>
            <w:tcW w:w="240" w:type="dxa"/>
            <w:vAlign w:val="bottom"/>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7,162</w:t>
            </w:r>
          </w:p>
        </w:tc>
        <w:tc>
          <w:tcPr>
            <w:tcW w:w="240" w:type="dxa"/>
            <w:vAlign w:val="bottom"/>
            <w:shd w:val="clear" w:color="auto" w:fill="CFF0FC"/>
          </w:tcPr>
          <w:p>
            <w:pPr>
              <w:spacing w:after="0"/>
              <w:rPr>
                <w:sz w:val="20"/>
                <w:szCs w:val="20"/>
                <w:color w:val="auto"/>
              </w:rPr>
            </w:pPr>
          </w:p>
        </w:tc>
      </w:tr>
      <w:tr>
        <w:trPr>
          <w:trHeight w:val="236"/>
        </w:trPr>
        <w:tc>
          <w:tcPr>
            <w:tcW w:w="49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36,684</w:t>
            </w:r>
          </w:p>
        </w:tc>
        <w:tc>
          <w:tcPr>
            <w:tcW w:w="24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35,542</w:t>
            </w:r>
          </w:p>
        </w:tc>
        <w:tc>
          <w:tcPr>
            <w:tcW w:w="240" w:type="dxa"/>
            <w:vAlign w:val="bottom"/>
          </w:tcPr>
          <w:p>
            <w:pPr>
              <w:spacing w:after="0"/>
              <w:rPr>
                <w:sz w:val="20"/>
                <w:szCs w:val="20"/>
                <w:color w:val="auto"/>
              </w:rPr>
            </w:pPr>
          </w:p>
        </w:tc>
      </w:tr>
      <w:tr>
        <w:trPr>
          <w:trHeight w:val="20"/>
        </w:trPr>
        <w:tc>
          <w:tcPr>
            <w:tcW w:w="16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510"/>
        <w:spacing w:after="0" w:line="291" w:lineRule="auto"/>
        <w:rPr>
          <w:sz w:val="20"/>
          <w:szCs w:val="20"/>
          <w:color w:val="auto"/>
        </w:rPr>
      </w:pPr>
      <w:r>
        <w:rPr>
          <w:rFonts w:ascii="Arial" w:cs="Arial" w:eastAsia="Arial" w:hAnsi="Arial"/>
          <w:sz w:val="19"/>
          <w:szCs w:val="19"/>
          <w:color w:val="auto"/>
        </w:rPr>
        <w:t>In preparing its financial statements as of March 31, 2020, the Company did not attempt to re-grade its commercial loans and commercial real estate loans for COVID-19 impacts unless it had individual borrower-specific information indicating it should do so. The Company expects that loans will likely be re-graded in subsequent periods as more information becomes available.</w:t>
      </w:r>
    </w:p>
    <w:p>
      <w:pPr>
        <w:spacing w:after="0" w:line="41" w:lineRule="exact"/>
        <w:rPr>
          <w:sz w:val="20"/>
          <w:szCs w:val="20"/>
          <w:color w:val="auto"/>
        </w:rPr>
      </w:pPr>
    </w:p>
    <w:p>
      <w:pPr>
        <w:jc w:val="both"/>
        <w:ind w:firstLine="510"/>
        <w:spacing w:after="0" w:line="256" w:lineRule="auto"/>
        <w:rPr>
          <w:sz w:val="20"/>
          <w:szCs w:val="20"/>
          <w:color w:val="auto"/>
        </w:rPr>
      </w:pPr>
      <w:r>
        <w:rPr>
          <w:rFonts w:ascii="Arial" w:cs="Arial" w:eastAsia="Arial" w:hAnsi="Arial"/>
          <w:sz w:val="20"/>
          <w:szCs w:val="20"/>
          <w:color w:val="auto"/>
        </w:rPr>
        <w:t>Loan officers in different geographic locations with the support of the Company’s credit department personnel review and reassign loan grades based on their detailed knowledge of individual borrowers and the regions in which they operate. The Company will be re-assessing its loan grades for those borrowers most impacted by COVID-19 in the second quarter of 2020. At least annually, updated financial information is obtained from commercial borrowers associated with pass grade loans and additional analysis is performed. On a quarterly basis, the Company’s centralized credit department reviews all criticized commercial loans and commercial real estate loans greater than $1 million to determine the appropriateness of the assigned loan grade, including whether the loan should be reported as accruing or nonaccruing. For criticized nonaccrual loans, additional meetings are held with loan officers and their managers, workout specialists and senior management to discuss each of the relationships. In analyzing criticized loans, borrower-specific information is reviewed, including operating results, future cash flows, recent developments and the borrower’s outlook, and other pertinent data. The timing and extent of potential losses, considering collateral valuation and other factors, and the Company’s potential courses of action are contemplated.</w:t>
      </w:r>
    </w:p>
    <w:p>
      <w:pPr>
        <w:spacing w:after="0" w:line="79" w:lineRule="exact"/>
        <w:rPr>
          <w:sz w:val="20"/>
          <w:szCs w:val="20"/>
          <w:color w:val="auto"/>
        </w:rPr>
      </w:pPr>
    </w:p>
    <w:p>
      <w:pPr>
        <w:jc w:val="both"/>
        <w:ind w:firstLine="510"/>
        <w:spacing w:after="0" w:line="258" w:lineRule="auto"/>
        <w:rPr>
          <w:sz w:val="20"/>
          <w:szCs w:val="20"/>
          <w:color w:val="auto"/>
        </w:rPr>
      </w:pPr>
      <w:r>
        <w:rPr>
          <w:rFonts w:ascii="Arial" w:cs="Arial" w:eastAsia="Arial" w:hAnsi="Arial"/>
          <w:sz w:val="20"/>
          <w:szCs w:val="20"/>
          <w:color w:val="auto"/>
        </w:rPr>
        <w:t>With regard to residential real estate loans, the Company’s loss identification and estimation techniques make reference to loan performance and house price data in specific areas of the country where collateral securing the Company’s residential real estate loans is located. For residential real estate-related loans, including home equity loans and lines of credit, the excess of the loan balance over the net realizable value of the property collateralizing the loan is charged-off when the loan becomes 150 days delinquent. That charge-off is based on recent indications of value from external parties that are generally obtained shortly after a loan becomes nonaccrual. Loans to consumers that file for bankruptcy are generally charged off to estimated net collateral value shortly after the Company is notified of such filings. At March 31, 2020, approximately 59% of the Company’s home equity portfolio consisted of first lien loans and lines of credit. Of the remaining junior lien loans in the portfolio,</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5" w:name="page66"/>
    <w:bookmarkEnd w:id="65"/>
    <w:p>
      <w:pPr>
        <w:jc w:val="both"/>
        <w:spacing w:after="0" w:line="256" w:lineRule="auto"/>
        <w:rPr>
          <w:sz w:val="20"/>
          <w:szCs w:val="20"/>
          <w:color w:val="auto"/>
        </w:rPr>
      </w:pPr>
      <w:r>
        <w:rPr>
          <w:rFonts w:ascii="Arial" w:cs="Arial" w:eastAsia="Arial" w:hAnsi="Arial"/>
          <w:sz w:val="20"/>
          <w:szCs w:val="20"/>
          <w:color w:val="auto"/>
        </w:rPr>
        <w:t>approximately 61% (or approximately 24% of the aggregate home equity portfolio) consisted of junior lien loans that were behind a first lien mortgage loan that was not owned or serviced by the Company. To the extent known by the Company, if a senior lien loan would be on nonaccrual status because of payment delinquency, even if such senior lien loan was not owned by the Company, the junior lien loan or line that is owned by the Company is placed on nonaccrual status. At March 31, 2020, the balance of junior lien loans and lines that were in nonaccrual status solely as a result of first lien loan performance was $6 million, compared with $8 million at March 31, 2019 and $6 million at December 31, 2019. In monitoring the credit quality of its home equity portfolio for purposes of determining the allowance for credit losses, the Company reviews delinquency and nonaccrual information and considers recent charge-off experience. When evaluating individual home equity loans and lines of credit for charge off and for purposes of estimating incurred losses in determining the allowance for credit losses, the Company gives consideration to the required repayment of any first lien positions related to collateral property. Home equity line of credit terms vary but such lines are generally originated with an open draw period of ten years followed by an amortization period of up to twenty years. At March 31, 2020, approximately 83% of all outstanding balances of home equity lines of credit related to lines that were still in the draw period, the weighted-average remaining draw periods were approximately six years, and approximately 25% were making contractually allowed payments that do not include any repayment of principal.</w:t>
      </w:r>
    </w:p>
    <w:p>
      <w:pPr>
        <w:spacing w:after="0" w:line="72"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20"/>
          <w:szCs w:val="20"/>
          <w:color w:val="auto"/>
        </w:rPr>
        <w:t>Factors that influence the Company’s credit loss experience include overall economic conditions affecting businesses and consumers, generally, but also residential and commercial real estate valuations, in particular, given the size of the Company’s real estate loan portfolios. Commercial real estate valuations can be highly subjective, as they are based upon many assumptions. Such valuations can be significantly affected over relatively short periods of time by changes in business climate, economic conditions, interest rates and, in many cases, the results of operations of businesses and other occupants of the real property. Similarly, residential real estate valuations can be impacted by housing trends, the availability of financing at reasonable interest rates, and general economic conditions affecting consumers.</w:t>
      </w:r>
    </w:p>
    <w:p>
      <w:pPr>
        <w:spacing w:after="0" w:line="70" w:lineRule="exact"/>
        <w:rPr>
          <w:sz w:val="20"/>
          <w:szCs w:val="20"/>
          <w:color w:val="auto"/>
        </w:rPr>
      </w:pPr>
    </w:p>
    <w:p>
      <w:pPr>
        <w:jc w:val="both"/>
        <w:ind w:firstLine="510"/>
        <w:spacing w:after="0" w:line="285" w:lineRule="auto"/>
        <w:rPr>
          <w:sz w:val="20"/>
          <w:szCs w:val="20"/>
          <w:color w:val="auto"/>
        </w:rPr>
      </w:pPr>
      <w:r>
        <w:rPr>
          <w:rFonts w:ascii="Arial" w:cs="Arial" w:eastAsia="Arial" w:hAnsi="Arial"/>
          <w:sz w:val="18"/>
          <w:szCs w:val="18"/>
          <w:color w:val="auto"/>
        </w:rPr>
        <w:t>The Company generally estimates current expected credit losses on loans with similar risk characteristics on a collective basis. To estimate expected losses, the Company utilizes statistically developed models to project principal balances over the remaining contractual lives of the loan portfolios and determine estimated credit losses through a reasonable and supportable forecast period. The Company’s approach for estimating current expected credit losses for loans and leases at March 31, 2020 and January 1, 2020 included utilizing macro-economic assumptions to project losses over a two-year reasonable and supportable forecast period. Subsequent to the forecast period, the Company reverted to longer-term historical loss experience, over a period of one year, to estimate expected credit losses over the remaining contractual life. Forward-looking estimates of certain macro-economic variables are determined by the M&amp;T Scenario Development Group, which is comprised of senior management business leaders and economists. Changes in the forecasted economic assumptions from January 1, 2020 to March 31, 2020 primarily reflect the projected impact of the COVID-19 pandemic. Specifically, the forecast at March 31, 2020 reflected a sharp contraction of economic activity in the second quarter of 2020 resulting in a projected unemployment rate of 9.3% and an annualized rate of decrease in real gross domestic product as low as (26.1%). Additionally, commercial real estate prices were anticipated to decline by an average of 15.6% in the first forecast year, followed by improvement of 9.8% in year 2. The forecast utilized as of March 31 contemplated an economic recovery beginning in the third quarter of 2020. The assumptions utilized as of January 1, 2020 at the time of adoption of the expected credit loss accounting standard were significantly less severe. Those assumptions anticipated unemployment rates that averaged under 4% and steady growth in real gross domestic product of 3.3% over the eight quarter forecast period. Forecasted changes in real estate prices as of that date were not significant. The assumptions utilized were based on information available to the Company at or near March 31, 2020 and January 1, 2020 at the time it was preparing its estimate of expected credit losses as of those dates.</w:t>
      </w:r>
    </w:p>
    <w:p>
      <w:pPr>
        <w:spacing w:after="0" w:line="52" w:lineRule="exact"/>
        <w:rPr>
          <w:sz w:val="20"/>
          <w:szCs w:val="20"/>
          <w:color w:val="auto"/>
        </w:rPr>
      </w:pPr>
    </w:p>
    <w:p>
      <w:pPr>
        <w:jc w:val="both"/>
        <w:ind w:firstLine="510"/>
        <w:spacing w:after="0" w:line="246" w:lineRule="auto"/>
        <w:rPr>
          <w:sz w:val="20"/>
          <w:szCs w:val="20"/>
          <w:color w:val="auto"/>
        </w:rPr>
      </w:pPr>
      <w:r>
        <w:rPr>
          <w:rFonts w:ascii="Arial" w:cs="Arial" w:eastAsia="Arial" w:hAnsi="Arial"/>
          <w:sz w:val="21"/>
          <w:szCs w:val="21"/>
          <w:color w:val="auto"/>
        </w:rPr>
        <w:t>In establishing the allowance for credit losses the Company also considers the impact of portfolio concentrations, changes in underwriting practices, product expansions into new markets, imprecision in its economic forecasts, geopolitical conditions and other risk factors that influence its loss estimation process. Geopolitical conditions assessed at March 31, 2020 included the potential impact of COVID-19 on economic activity that could influence the ability of customers to repay loan amounts in accordance with their contractual obligations. With</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66" w:name="page67"/>
    <w:bookmarkEnd w:id="66"/>
    <w:p>
      <w:pPr>
        <w:jc w:val="both"/>
        <w:spacing w:after="0" w:line="279" w:lineRule="auto"/>
        <w:rPr>
          <w:sz w:val="20"/>
          <w:szCs w:val="20"/>
          <w:color w:val="auto"/>
        </w:rPr>
      </w:pPr>
      <w:r>
        <w:rPr>
          <w:rFonts w:ascii="Arial" w:cs="Arial" w:eastAsia="Arial" w:hAnsi="Arial"/>
          <w:sz w:val="19"/>
          <w:szCs w:val="19"/>
          <w:color w:val="auto"/>
        </w:rPr>
        <w:t>respect to economic forecasts the Company assessed the likelihood of alternative economic scenarios during the two-year reasonable and supportable time period and of more negative or positive outcomes on its allowance for credit losses. Economic forecasts have changed rapidly in the recent past due to the uncertain impacts of COVID-19. Generally, an increase in unemployment rate or a decrease in any of the rate of positive change in real gross domestic product, commercial real estate prices or home prices would have an adverse impact on expected credit losses and would likely result in an increase to the allowance for credit losses.</w:t>
      </w:r>
    </w:p>
    <w:p>
      <w:pPr>
        <w:spacing w:after="0" w:line="51" w:lineRule="exact"/>
        <w:rPr>
          <w:sz w:val="20"/>
          <w:szCs w:val="20"/>
          <w:color w:val="auto"/>
        </w:rPr>
      </w:pPr>
    </w:p>
    <w:p>
      <w:pPr>
        <w:jc w:val="both"/>
        <w:ind w:right="20" w:firstLine="510"/>
        <w:spacing w:after="0" w:line="263" w:lineRule="auto"/>
        <w:rPr>
          <w:sz w:val="20"/>
          <w:szCs w:val="20"/>
          <w:color w:val="auto"/>
        </w:rPr>
      </w:pPr>
      <w:r>
        <w:rPr>
          <w:rFonts w:ascii="Arial" w:cs="Arial" w:eastAsia="Arial" w:hAnsi="Arial"/>
          <w:sz w:val="21"/>
          <w:szCs w:val="21"/>
          <w:color w:val="auto"/>
        </w:rPr>
        <w:t>Further information about the Company’s methodology to estimate expected credit losses is included in note 3 of Notes to Financial Statements.</w:t>
      </w:r>
    </w:p>
    <w:p>
      <w:pPr>
        <w:spacing w:after="0" w:line="64" w:lineRule="exact"/>
        <w:rPr>
          <w:sz w:val="20"/>
          <w:szCs w:val="20"/>
          <w:color w:val="auto"/>
        </w:rPr>
      </w:pPr>
    </w:p>
    <w:p>
      <w:pPr>
        <w:jc w:val="both"/>
        <w:ind w:firstLine="510"/>
        <w:spacing w:after="0" w:line="256" w:lineRule="auto"/>
        <w:rPr>
          <w:sz w:val="20"/>
          <w:szCs w:val="20"/>
          <w:color w:val="auto"/>
        </w:rPr>
      </w:pPr>
      <w:r>
        <w:rPr>
          <w:rFonts w:ascii="Arial" w:cs="Arial" w:eastAsia="Arial" w:hAnsi="Arial"/>
          <w:sz w:val="20"/>
          <w:szCs w:val="20"/>
          <w:color w:val="auto"/>
        </w:rPr>
        <w:t>Management believes that the allowance for credit losses at March 31, 2020 appropriately reflected expected credit losses inherent in the portfolio as of that date. The allowance for credit losses totaled $1.38 billion at March 31, 2020, compared with $1.18 billion on January 1, 2020 when the new accounting pronouncement became effective. The increase in the allowance for credit losses during the first quarter was primarily the result of deteriorated forecasted economic conditions as a result of the COVID-19 pandemic. The allowance for credit losses totaled $1.02 billion at March 31, 2019 and $1.05 billion at December 31, 2019. As a percentage of loans and leases outstanding, the allowance was 1.47% at March 31, 2020 compared with 1.30% at January 1, 2020, 1.15% as of March 31, 2019 and 1.16% at December 31, 2019. The level of the allowance reflects management’s evaluation of the loan and lease portfolio using the methodology and considering the factors previously referred to. Should the various economic forecasts and credit factors considered by management in establishing the allowance for credit losses change and should management’s assessment of losses in the loan portfolio also change, the level of the allowance as a percentage of loans could increase or decrease in future periods. The reported level of the allowance reflects management’s evaluation of the loan and lease portfolio as of each respective date.</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Other Income</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Other income totaled $529 million in the first quarter of 2020, compared with $501 million in the corresponding 2019 quarter and $521 million in the final quarter of 2019. The recent quarter’s improvement as compared with the first three months of 2019 reflects higher mortgage banking revenues, trust income and trading account and foreign exchange gains, partially offset by unrealized valuation losses on equity securities and a reduction in distributed income from BLG of $14 million. As compared with the fourth quarter of 2019, the recent quarter’s increase reflected higher levels of distributed income from BLG of $23 million in the initial 2020 quarter and increased mortgage banking revenues that were partially offset by unrealized valuation losses on equity securities and declines in loan syndication and other credit-related fees of $11 million.</w:t>
      </w:r>
    </w:p>
    <w:p>
      <w:pPr>
        <w:spacing w:after="0" w:line="70" w:lineRule="exact"/>
        <w:rPr>
          <w:sz w:val="20"/>
          <w:szCs w:val="20"/>
          <w:color w:val="auto"/>
        </w:rPr>
      </w:pPr>
    </w:p>
    <w:p>
      <w:pPr>
        <w:jc w:val="both"/>
        <w:ind w:firstLine="510"/>
        <w:spacing w:after="0" w:line="246" w:lineRule="auto"/>
        <w:rPr>
          <w:sz w:val="20"/>
          <w:szCs w:val="20"/>
          <w:color w:val="auto"/>
        </w:rPr>
      </w:pPr>
      <w:r>
        <w:rPr>
          <w:rFonts w:ascii="Arial" w:cs="Arial" w:eastAsia="Arial" w:hAnsi="Arial"/>
          <w:sz w:val="21"/>
          <w:szCs w:val="21"/>
          <w:color w:val="auto"/>
        </w:rPr>
        <w:t>Mortgage banking revenues were $128 million in the initial 2020 quarter, compared with $95 million in the year-earlier period and $118 million in the fourth quarter of 2019. Mortgage banking revenues are comprised of both residential and commercial mortgage banking activities. The Company’s involvement in commercial mortgage banking activities includes the origination, sales and servicing of loans under the multi-family loan programs of Fannie Mae, Freddie Mac and the U.S. Department of Housing and Urban Development.</w:t>
      </w:r>
    </w:p>
    <w:p>
      <w:pPr>
        <w:spacing w:after="0" w:line="84" w:lineRule="exact"/>
        <w:rPr>
          <w:sz w:val="20"/>
          <w:szCs w:val="20"/>
          <w:color w:val="auto"/>
        </w:rPr>
      </w:pPr>
    </w:p>
    <w:p>
      <w:pPr>
        <w:jc w:val="both"/>
        <w:ind w:firstLine="510"/>
        <w:spacing w:after="0" w:line="258" w:lineRule="auto"/>
        <w:rPr>
          <w:sz w:val="20"/>
          <w:szCs w:val="20"/>
          <w:color w:val="auto"/>
        </w:rPr>
      </w:pPr>
      <w:r>
        <w:rPr>
          <w:rFonts w:ascii="Arial" w:cs="Arial" w:eastAsia="Arial" w:hAnsi="Arial"/>
          <w:sz w:val="20"/>
          <w:szCs w:val="20"/>
          <w:color w:val="auto"/>
        </w:rPr>
        <w:t>Residential mortgage banking revenues, consisting of realized gains from sales of residential real estate loans and loan servicing rights, unrealized gains and losses on residential real estate loans held for sale and related commitments, residential real estate loan servicing fees, and other residential real estate loan-related fees and income, were $98 million in the first quarter of 2020, compared with $66 million in the corresponding quarter of 2019 and $91 million in the final 2019 quarter. As compared with the first quarter of 2019, the higher residential mortgage banking revenues in the recent quarter resulted from increased gains associated with loans held for sale and related commitments, reflecting higher origination volumes and improved margins, and higher servicing income. The recent quarter’s improvement from the last quarter of 2019 was predominantly due to higher gains associated with loans held for sale and related commitments.</w:t>
      </w:r>
    </w:p>
    <w:p>
      <w:pPr>
        <w:spacing w:after="0" w:line="72" w:lineRule="exact"/>
        <w:rPr>
          <w:sz w:val="20"/>
          <w:szCs w:val="20"/>
          <w:color w:val="auto"/>
        </w:rPr>
      </w:pPr>
    </w:p>
    <w:p>
      <w:pPr>
        <w:jc w:val="both"/>
        <w:ind w:firstLine="510"/>
        <w:spacing w:after="0" w:line="248" w:lineRule="auto"/>
        <w:rPr>
          <w:sz w:val="20"/>
          <w:szCs w:val="20"/>
          <w:color w:val="auto"/>
        </w:rPr>
      </w:pPr>
      <w:r>
        <w:rPr>
          <w:rFonts w:ascii="Arial" w:cs="Arial" w:eastAsia="Arial" w:hAnsi="Arial"/>
          <w:sz w:val="21"/>
          <w:szCs w:val="21"/>
          <w:color w:val="auto"/>
        </w:rPr>
        <w:t>New commitments to originate residential real estate loans to be sold were approximately $919 million in the initial quarter of 2020, compared with $422 million in the year-earlier quarter and $697 million in the final 2019 quarter. Realized gains from sales of residential real estate loans and loan servicing rights and recognized net unrealized gains or losses attributable to residential real estate loans held for sale, commitments to originate loans for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67" w:name="page68"/>
    <w:bookmarkEnd w:id="67"/>
    <w:p>
      <w:pPr>
        <w:jc w:val="both"/>
        <w:spacing w:after="0" w:line="263" w:lineRule="auto"/>
        <w:rPr>
          <w:sz w:val="20"/>
          <w:szCs w:val="20"/>
          <w:color w:val="auto"/>
        </w:rPr>
      </w:pPr>
      <w:r>
        <w:rPr>
          <w:rFonts w:ascii="Arial" w:cs="Arial" w:eastAsia="Arial" w:hAnsi="Arial"/>
          <w:sz w:val="21"/>
          <w:szCs w:val="21"/>
          <w:color w:val="auto"/>
        </w:rPr>
        <w:t>sale and commitments to sell loans totaled to gains of $31 million in the first three months of 2020, $10 million in the similar period of 2019 and $26 million in 2019’s fourth quarter.</w:t>
      </w:r>
    </w:p>
    <w:p>
      <w:pPr>
        <w:spacing w:after="0" w:line="64"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20"/>
          <w:szCs w:val="20"/>
          <w:color w:val="auto"/>
        </w:rPr>
        <w:t>Loans held for sale that were secured by residential real estate aggregated $374 million at March 31, 2020, $178 million at March 31, 2019 and $414 million at December 31, 2019. Commitments to sell residential real estate loans and commitments to originate residential real estate loans for sale at pre-determined rates totaled $782 million and $712 million, respectively, at March 31, 2020, compared with $380 million and $314 million, respectively, at March 31, 2019 and $713 million and $423 million, respectively, at December 31, 2019. Net recognized unrealized gains on residential real estate loans held for sale, commitments to sell loans, and commitments to originate loans for sale were $17 million and $8 million at March 31, 2020 and March 31, 2019, respectively, compared with $12 million at December 31, 2019. Changes in net unrealized gains or losses are recorded in mortgage banking revenues and resulted in net increases in revenues of $5 million and $1 million in the first quarters of 2020 and 2019, respectively. The impact of such changes in the fourth quarter of 2019 was nil.</w:t>
      </w:r>
    </w:p>
    <w:p>
      <w:pPr>
        <w:spacing w:after="0" w:line="76" w:lineRule="exact"/>
        <w:rPr>
          <w:sz w:val="20"/>
          <w:szCs w:val="20"/>
          <w:color w:val="auto"/>
        </w:rPr>
      </w:pPr>
    </w:p>
    <w:p>
      <w:pPr>
        <w:jc w:val="both"/>
        <w:ind w:firstLine="510"/>
        <w:spacing w:after="0" w:line="272" w:lineRule="auto"/>
        <w:rPr>
          <w:sz w:val="20"/>
          <w:szCs w:val="20"/>
          <w:color w:val="auto"/>
        </w:rPr>
      </w:pPr>
      <w:r>
        <w:rPr>
          <w:rFonts w:ascii="Arial" w:cs="Arial" w:eastAsia="Arial" w:hAnsi="Arial"/>
          <w:sz w:val="19"/>
          <w:szCs w:val="19"/>
          <w:color w:val="auto"/>
        </w:rPr>
        <w:t>Revenues from servicing residential real estate loans for others were $67 million during the three-month period ended March 31, 2020, compared with $56 million and $65 million during the quarters ended March 31, 2019 and December 31, 2019, respectively. Residential real estate loans serviced for others totaled $93.5 billion at March 31, 2020, $90.1 billion at March 31, 2019 and $95.1 billion at December 31, 2019. Reflected in residential real estate loans serviced for others were loans sub-serviced for others of $61.9 billion, $54.9 billion and $62.8 billion at March 31, 2020, March 31, 2019 and December 31, 2019, respectively. Revenues earned for sub-servicing loans totaled $37 million during the recent quarter, compared with $28 million in the first quarter of 2019 and $35 million in the final quarter of 2019. The Company added approximately $16.6 billion to its residential mortgage loan sub-servicing portfolio during the second quarter of 2019 and another $1.0 billion was added during the fourth quarter of 2019. The contractual servicing rights associated with loans sub-serviced by the Company were predominantly held by affiliates of BLG. Information about the Company’s relationship with BLG and its affiliates is included in note 14 of Notes to Financial Statements.</w:t>
      </w:r>
    </w:p>
    <w:p>
      <w:pPr>
        <w:spacing w:after="0" w:line="59" w:lineRule="exact"/>
        <w:rPr>
          <w:sz w:val="20"/>
          <w:szCs w:val="20"/>
          <w:color w:val="auto"/>
        </w:rPr>
      </w:pPr>
    </w:p>
    <w:p>
      <w:pPr>
        <w:jc w:val="both"/>
        <w:ind w:firstLine="510"/>
        <w:spacing w:after="0" w:line="244" w:lineRule="auto"/>
        <w:rPr>
          <w:sz w:val="20"/>
          <w:szCs w:val="20"/>
          <w:color w:val="auto"/>
        </w:rPr>
      </w:pPr>
      <w:r>
        <w:rPr>
          <w:rFonts w:ascii="Arial" w:cs="Arial" w:eastAsia="Arial" w:hAnsi="Arial"/>
          <w:sz w:val="21"/>
          <w:szCs w:val="21"/>
          <w:color w:val="auto"/>
        </w:rPr>
        <w:t>Capitalized residential mortgage servicing assets totaled $224 million at March 31, 2020 (net of a $17 million valuation allowance), $260 million at March 31, 2019 and $237 million at December 31, 2019 (net of a $7 million valuation allowance). A provision for impairment of capitalized residential mortgage servicing rights of $10 million was recorded in the initial 2020 quarter resulting from changes in the estimated fair value of capitalized mortgage servicing rights that reflected the impact of lower interest rates on the expected rate of residential mortgage loan prepayments. During the fourth quarter of 2019, the Company reduced the valuation allowance for capitalized residential mortgage servicing rights by $16 million, reflecting the impact of higher interest rates at that time.</w:t>
      </w:r>
    </w:p>
    <w:p>
      <w:pPr>
        <w:spacing w:after="0" w:line="88" w:lineRule="exact"/>
        <w:rPr>
          <w:sz w:val="20"/>
          <w:szCs w:val="20"/>
          <w:color w:val="auto"/>
        </w:rPr>
      </w:pPr>
    </w:p>
    <w:p>
      <w:pPr>
        <w:jc w:val="both"/>
        <w:ind w:firstLine="510"/>
        <w:spacing w:after="0" w:line="270" w:lineRule="auto"/>
        <w:rPr>
          <w:sz w:val="20"/>
          <w:szCs w:val="20"/>
          <w:color w:val="auto"/>
        </w:rPr>
      </w:pPr>
      <w:r>
        <w:rPr>
          <w:rFonts w:ascii="Arial" w:cs="Arial" w:eastAsia="Arial" w:hAnsi="Arial"/>
          <w:sz w:val="19"/>
          <w:szCs w:val="19"/>
          <w:color w:val="auto"/>
        </w:rPr>
        <w:t>Commercial mortgage banking revenues totaled $30 million in the recent quarter, compared with $29 million and $27 million in the first and fourth quarters of 2019, respectively. Included in such amounts were revenues from loan origination and sales activities of $14 million in the first quarter of 2020, $15 million in the year-earlier quarter and $11 million in the final quarter of 2019. Commercial real estate loans originated for sale to other investors were approximately $611 million in the recent quarter, compared with $777 million in the first quarter of 2019 and $709 million in the fourth quarter of 2019. Loan servicing revenues totaled $16 million in each of the two most recent quarters, compared with $14 million in the initial 2019 quarter. Capitalized commercial mortgage servicing assets were $129 million and $117 million at March 31, 2020 and 2019, respectively, and $131 million at December 31, 2019. Commercial real estate loans serviced for other investors totaled $21.0 billion at each of March 31, 2020 and December 31, 2019 and $19.2 billion at March 31, 2019. Those servicing amounts included $3.8 billion at March 31, 2020, $3.5 billion at March 31, 2019 and $3.9 billion at December 31, 2019, of loan balances for which investors had recourse to the Company if such balances are ultimately uncollectible. Commitments to sell commercial real estate loans and commitments to originate commercial real estate loans for sale were $542 million and $291 million, respectively, at March 31, 2020, $366 million and $200 million, respectively, at March 31, 2019 and $193 million and $164 million, respectively, at December 31, 2019. Commercial real estate loans held for sale at March 31, 2020, March 31, 2019 and December 31, 2019 were $250 million, $166 million and $28 million, respectively.</w:t>
      </w:r>
    </w:p>
    <w:p>
      <w:pPr>
        <w:spacing w:after="0" w:line="65"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21"/>
          <w:szCs w:val="21"/>
          <w:color w:val="auto"/>
        </w:rPr>
        <w:t>Service charges on deposit accounts were $106 million and $103 million in the first quarters of 2020 and 2019, respectively, and $111 million in the fourth quarter of 2019. The decline in such service charges in the recent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68" w:name="page69"/>
    <w:bookmarkEnd w:id="68"/>
    <w:p>
      <w:pPr>
        <w:jc w:val="both"/>
        <w:spacing w:after="0" w:line="263" w:lineRule="auto"/>
        <w:rPr>
          <w:sz w:val="20"/>
          <w:szCs w:val="20"/>
          <w:color w:val="auto"/>
        </w:rPr>
      </w:pPr>
      <w:r>
        <w:rPr>
          <w:rFonts w:ascii="Arial" w:cs="Arial" w:eastAsia="Arial" w:hAnsi="Arial"/>
          <w:sz w:val="21"/>
          <w:szCs w:val="21"/>
          <w:color w:val="auto"/>
        </w:rPr>
        <w:t>quarter as compared with the immediately preceding quarter resulted largely from seasonally lower consumer service charges related to overdraft fees and debit card transactions.</w:t>
      </w:r>
    </w:p>
    <w:p>
      <w:pPr>
        <w:spacing w:after="0" w:line="64"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9"/>
          <w:szCs w:val="19"/>
          <w:color w:val="auto"/>
        </w:rPr>
        <w:t>Trust income includes fees related to two significant businesses. The Institutional Client Services (“ICS”) business provides a variety of trustee, agency, investment management and administrative services for corporations and institutions, investment bankers, corporate tax, finance and legal executives, and other institutional clients who: (i) use capital markets financing structures; (ii) use independent trustees to hold retirement plan and other assets; and (iii) need investment and cash management services. The Wealth Advisory Services (“WAS”) business helps high net worth clients grow their wealth, protect it, and transfer it to their heirs. A comprehensive array of wealth management services are offered, including asset management, fiduciary services and family office services. Trust income aggregated $149 million in the first quarter of 2020, compared with $133 million in the year-earlier quarter and $151 million in the fourth quarter of 2019. Revenues associated with the ICS business were approximately $85 million, $71 million and $84 million during the quarters ended March 31, 2020, March 31, 2019 and December 31, 2019, respectively. The higher revenues in the most recent quarter as compared with the year-earlier quarter reflect the impact of higher sales activities and increased retirement services income resuting from growth in collective fund balances. Revenues attributable to WAS totaled approximately $56 million, $55 million and $60 million for the three-month periods ended March 31, 2020, March 31, 2019 and December 31, 2019, respectively. The lower revenues in the recent quarter as compared with the final 2019 quarter largely reflect lower recurring fees due to declining equity market performance, changing product mix and competitive factors. Trust assets under management were $103.6 billion, $92.9 billion and $113.0 billion at March 31, 2020, March 31, 2019 and December 31, 2019, respectively. Trust assets under management include the Company’s proprietary mutual funds’ assets of $12.8 billion, $11.3 billion and $12.5 billion at March 31, 2020, March 31, 2019 and December 31, 2019, respectively. Additional trust income from investment management activities was $8 million in the two most recent quarters, compared with $7 million in the first quarter of 2019 and is predominantly comprised of fees earned from retail customer investment accounts.</w:t>
      </w:r>
    </w:p>
    <w:p>
      <w:pPr>
        <w:spacing w:after="0" w:line="67"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20"/>
          <w:szCs w:val="20"/>
          <w:color w:val="auto"/>
        </w:rPr>
        <w:t>Brokerage services income, which includes revenues from the sale of mutual funds and annuities and securities brokerage fees, totaled $13 million in the recent quarter, compared with $12 million in each of the first and fourth quarters of 2019. Trading account and foreign exchange activity resulted in gains of $21 million and $11 million during the quarters ended March 31, 2020 and 2019, respectively, compared with gains of $17 million in the fourth quarter of 2019. The higher gains in the recent quarter as compared with the first and fourth quarters of 2019 were predominantly due to increased activity related to interest rate swap agreements executed on behalf of commercial customers. The Company enters into interest rate and foreign exchange contracts with customers who need such services and concomitantly enters into offsetting trading positions with third parties to minimize the risks involved with these types of transactions. Information about the notional amount of interest rate, foreign exchange and other contracts entered into by the Company for trading account purposes is included in note 9 of Notes to Financial Statements and herein under the heading “Taxable-equivalent Net Interest Income.”</w:t>
      </w:r>
    </w:p>
    <w:p>
      <w:pPr>
        <w:spacing w:after="0" w:line="72" w:lineRule="exact"/>
        <w:rPr>
          <w:sz w:val="20"/>
          <w:szCs w:val="20"/>
          <w:color w:val="auto"/>
        </w:rPr>
      </w:pPr>
    </w:p>
    <w:p>
      <w:pPr>
        <w:jc w:val="both"/>
        <w:ind w:firstLine="510"/>
        <w:spacing w:after="0" w:line="252" w:lineRule="auto"/>
        <w:rPr>
          <w:sz w:val="20"/>
          <w:szCs w:val="20"/>
          <w:color w:val="auto"/>
        </w:rPr>
      </w:pPr>
      <w:r>
        <w:rPr>
          <w:rFonts w:ascii="Arial" w:cs="Arial" w:eastAsia="Arial" w:hAnsi="Arial"/>
          <w:sz w:val="21"/>
          <w:szCs w:val="21"/>
          <w:color w:val="auto"/>
        </w:rPr>
        <w:t>The Company recognized net losses on investment securities of $21 million in the recent quarter and $6 million in the fourth quarter of 2019, compared with net gains of $12 million in the first quarter of 2019. The gains and losses represented unrealized gains and losses on investments in Fannie Mae and Freddie Mac preferred stock holdings.</w:t>
      </w:r>
    </w:p>
    <w:p>
      <w:pPr>
        <w:spacing w:after="0" w:line="75" w:lineRule="exact"/>
        <w:rPr>
          <w:sz w:val="20"/>
          <w:szCs w:val="20"/>
          <w:color w:val="auto"/>
        </w:rPr>
      </w:pPr>
    </w:p>
    <w:p>
      <w:pPr>
        <w:jc w:val="both"/>
        <w:ind w:firstLine="510"/>
        <w:spacing w:after="0" w:line="272" w:lineRule="auto"/>
        <w:rPr>
          <w:sz w:val="20"/>
          <w:szCs w:val="20"/>
          <w:color w:val="auto"/>
        </w:rPr>
      </w:pPr>
      <w:r>
        <w:rPr>
          <w:rFonts w:ascii="Arial" w:cs="Arial" w:eastAsia="Arial" w:hAnsi="Arial"/>
          <w:sz w:val="19"/>
          <w:szCs w:val="19"/>
          <w:color w:val="auto"/>
        </w:rPr>
        <w:t>Other revenues from operations were $133 million in the first three months of 2020, compared with $134 million in the similar 2019 period and $118 million in the fourth quarter of 2019. The most significant contributor to the higher revenues in the initial 2020 quarter as compared with the final three months of 2019 was a $23 million income distribution from BLG in 2020, partially offset by lower loan syndication fees of $10 million. Included in other revenues from operations were the following significant components. Letter of credit and other credit-related fees aggregated $32 million in the recent quarter, compared with $24 million in the year-earlier quarter and $43 million in the fourth quarter of 2019. Revenues from merchant discount and credit card fees were $30 million in the initial quarter of 2020, compared with $27 million in the year-earlier quarter and $28 million in the final 2019 quarter. Tax-exempt income from bank owned life insurance, which includes increases in the cash surrender value of life insurance policies and benefits received, totaled $12 million in each of the first quarters of 2020 and 2019 and in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69" w:name="page70"/>
    <w:bookmarkEnd w:id="69"/>
    <w:p>
      <w:pPr>
        <w:jc w:val="both"/>
        <w:spacing w:after="0" w:line="248" w:lineRule="auto"/>
        <w:rPr>
          <w:sz w:val="20"/>
          <w:szCs w:val="20"/>
          <w:color w:val="auto"/>
        </w:rPr>
      </w:pPr>
      <w:r>
        <w:rPr>
          <w:rFonts w:ascii="Arial" w:cs="Arial" w:eastAsia="Arial" w:hAnsi="Arial"/>
          <w:sz w:val="21"/>
          <w:szCs w:val="21"/>
          <w:color w:val="auto"/>
        </w:rPr>
        <w:t>the fourth quarter of 2019. Insurance-related sales commissions and other revenues totaled $15 million in the quarter ended March 31, 2020, compared with $14 million and $11 million in 2019’s first and fourth quarters, respectively. M&amp;T’s investment in BLG resulted in income in the first quarters of 2020 and 2019 of $23 million and $37 million, respectively. There was no such income in the fourth quarter of 2019.</w:t>
      </w:r>
    </w:p>
    <w:p>
      <w:pPr>
        <w:spacing w:after="0" w:line="18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Other Expense</w:t>
      </w:r>
    </w:p>
    <w:p>
      <w:pPr>
        <w:spacing w:after="0" w:line="115"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Other expense totaled $906 million in the first quarter of 2020, compared with $894 million in the corresponding quarter of 2019 and $824 million in the final three months of 2019. Included in those amounts are expenses considered to be “nonoperating” in nature consisting of amortization of core deposit and other intangible assets of $4 million in each of the two most recent quarters, compared with $5 million in the first quarter of 2019. Exclusive of those nonoperating expenses, noninterest operating expenses were $903 million in the recent quarter, compared with $889 million in the year-earlier period and $819 million in the final quarter of 2019. Factors contributing to the higher level of expenses in the recent quarter as compared with the year-earlier quarter were increased costs for salaries and employee benefits, outside data processing and software, and a $10 million increase to the valuation allowance for capitalized residential mortgage servicing rights, partially offset by lower costs of $60 million for legal-related matters and professional and outside services. The recent quarter’s rise in noninterest operating expenses as compared with the fourth quarter of 2019 was largely attributable to higher salaries and employee benefits expenses, reflecting seasonally higher stock-based compensation and employee benefits expenses, and changes in the valuation allowance for capitalized residential mortgage servicing rights. That allowance was increased by $10 million during the recent quarter, compared with a reduction of $16 million in the fourth quarter of 2019. Table 2 provides a reconciliation of other expense to noninterest operating expense.</w:t>
      </w:r>
    </w:p>
    <w:p>
      <w:pPr>
        <w:spacing w:after="0" w:line="68" w:lineRule="exact"/>
        <w:rPr>
          <w:sz w:val="20"/>
          <w:szCs w:val="20"/>
          <w:color w:val="auto"/>
        </w:rPr>
      </w:pPr>
    </w:p>
    <w:p>
      <w:pPr>
        <w:jc w:val="both"/>
        <w:ind w:firstLine="510"/>
        <w:spacing w:after="0" w:line="270" w:lineRule="auto"/>
        <w:rPr>
          <w:sz w:val="20"/>
          <w:szCs w:val="20"/>
          <w:color w:val="auto"/>
        </w:rPr>
      </w:pPr>
      <w:r>
        <w:rPr>
          <w:rFonts w:ascii="Arial" w:cs="Arial" w:eastAsia="Arial" w:hAnsi="Arial"/>
          <w:sz w:val="19"/>
          <w:szCs w:val="19"/>
          <w:color w:val="auto"/>
        </w:rPr>
        <w:t>Salaries and employee benefits expense totaled $537 million in the initial quarter of 2020, compared with $499 million in the similar 2019 quarter and $469 million in the fourth quarter of 2019. The higher salaries and employee benefits expenses in the recent quarter as compared with the year-earlier period reflect the impact of higher staffing levels, as well as merit and other increases for employees, higher incentive-based compensation and increased employee benefit costs. The increase in salaries and employee benefits expense in the recent quarter as compared with 2019’s fourth quarter reflects seasonally higher stock-based compensation, medical plan costs, payroll-related taxes, unemployment insurance and the Company’s contributions for retirement savings plan benefits related to annual incentive compensation payments. The Company, in accordance with GAAP, has accelerated the recognition of compensation costs for stock-based awards granted to retirement-eligible employees and employees who will become retirement-eligible prior to full vesting of the award. As a result, stock-based compensation expense during the first quarters of 2020 and 2019 included $31 million and $27 million, respectively, that would have been recognized over the normal vesting period if not for the accelerated recognition provisions of GAAP. That acceleration had no effect on the value of stock-based compensation awarded to employees. Salaries and employee benefits expense included stock-based compensation of $43 million and $40 million in the three-month periods ended March 31, 2020 and March 31, 2019, respectively, and $11 million in the three-month period ended December 31, 2019. The number of full-time equivalent employees was 17,416 at March 31, 2020, compared with 17,080 and 17,503 at March 31, 2019 and December 31, 2019, respectively.</w:t>
      </w:r>
    </w:p>
    <w:p>
      <w:pPr>
        <w:spacing w:after="0" w:line="62" w:lineRule="exact"/>
        <w:rPr>
          <w:sz w:val="20"/>
          <w:szCs w:val="20"/>
          <w:color w:val="auto"/>
        </w:rPr>
      </w:pPr>
    </w:p>
    <w:p>
      <w:pPr>
        <w:jc w:val="both"/>
        <w:ind w:firstLine="510"/>
        <w:spacing w:after="0" w:line="258" w:lineRule="auto"/>
        <w:rPr>
          <w:sz w:val="20"/>
          <w:szCs w:val="20"/>
          <w:color w:val="auto"/>
        </w:rPr>
      </w:pPr>
      <w:r>
        <w:rPr>
          <w:rFonts w:ascii="Arial" w:cs="Arial" w:eastAsia="Arial" w:hAnsi="Arial"/>
          <w:sz w:val="20"/>
          <w:szCs w:val="20"/>
          <w:color w:val="auto"/>
        </w:rPr>
        <w:t>Excluding the nonoperating expense items described earlier from each quarter, nonpersonnel operating expenses were $366 million and $390 million in the quarters ended March 31, 2020 and March 31, 2019, respectively, and $350 million in the final quarter of 2019. The decline in nonpersonnel expenses in the recent quarter as compared with the first quarter of 2019 reflects lower costs of $60 million for legal-related matters and professional and outside services, largely resulting from a first quarter 2019 addition to the reserve for legal matters of $50 million. The higher level of nonpersonnel operating expenses in the recent quarter as compared with the final 2019 quarter was predominantly attributable to the $10 million addition to the valuation allowance for capitalized residential mortgage servicing rights in the initial 2020 quarter, compared with a reduction in that valuation allowance of $16 million in the final three months of 2019.</w:t>
      </w:r>
    </w:p>
    <w:p>
      <w:pPr>
        <w:spacing w:after="0" w:line="72" w:lineRule="exact"/>
        <w:rPr>
          <w:sz w:val="20"/>
          <w:szCs w:val="20"/>
          <w:color w:val="auto"/>
        </w:rPr>
      </w:pPr>
    </w:p>
    <w:p>
      <w:pPr>
        <w:jc w:val="both"/>
        <w:ind w:firstLine="510"/>
        <w:spacing w:after="0" w:line="252" w:lineRule="auto"/>
        <w:rPr>
          <w:sz w:val="20"/>
          <w:szCs w:val="20"/>
          <w:color w:val="auto"/>
        </w:rPr>
      </w:pPr>
      <w:r>
        <w:rPr>
          <w:rFonts w:ascii="Arial" w:cs="Arial" w:eastAsia="Arial" w:hAnsi="Arial"/>
          <w:sz w:val="21"/>
          <w:szCs w:val="21"/>
          <w:color w:val="auto"/>
        </w:rPr>
        <w:t>The efficiency ratio measures the relationship of noninterest operating expenses to revenues. The Company’s efficiency ratio was 58.9% during the recent quarter, compared with 57.6% and 53.1% in the first and fourth quarters of 2019, respectively. The calculation of the efficiency ratio is presented in Table 2.</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70" w:name="page71"/>
    <w:bookmarkEnd w:id="70"/>
    <w:p>
      <w:pPr>
        <w:spacing w:after="0"/>
        <w:rPr>
          <w:sz w:val="20"/>
          <w:szCs w:val="20"/>
          <w:color w:val="auto"/>
        </w:rPr>
      </w:pPr>
      <w:r>
        <w:rPr>
          <w:rFonts w:ascii="Arial" w:cs="Arial" w:eastAsia="Arial" w:hAnsi="Arial"/>
          <w:sz w:val="21"/>
          <w:szCs w:val="21"/>
          <w:b w:val="1"/>
          <w:bCs w:val="1"/>
          <w:color w:val="auto"/>
        </w:rPr>
        <w:t>Income Taxes</w:t>
      </w:r>
    </w:p>
    <w:p>
      <w:pPr>
        <w:spacing w:after="0" w:line="115"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The provision for income taxes was $81 million in the first quarter of 2020, compared with $152 million in the year-earlier quarter and $159 million in the final 2019 quarter. The effective tax rates were 23.1%, 23.9% and 24.4% for the quarters ended March 31, 2020, March 31, 2019 and December 31, 2019, respectively.</w:t>
      </w:r>
    </w:p>
    <w:p>
      <w:pPr>
        <w:spacing w:after="0" w:line="75" w:lineRule="exact"/>
        <w:rPr>
          <w:sz w:val="20"/>
          <w:szCs w:val="20"/>
          <w:color w:val="auto"/>
        </w:rPr>
      </w:pPr>
    </w:p>
    <w:p>
      <w:pPr>
        <w:jc w:val="both"/>
        <w:ind w:firstLine="510"/>
        <w:spacing w:after="0" w:line="245" w:lineRule="auto"/>
        <w:rPr>
          <w:sz w:val="20"/>
          <w:szCs w:val="20"/>
          <w:color w:val="auto"/>
        </w:rPr>
      </w:pPr>
      <w:r>
        <w:rPr>
          <w:rFonts w:ascii="Arial" w:cs="Arial" w:eastAsia="Arial" w:hAnsi="Arial"/>
          <w:sz w:val="21"/>
          <w:szCs w:val="21"/>
          <w:color w:val="auto"/>
        </w:rPr>
        <w:t>The effective tax rate is affected by the level of income earned that is exempt from tax relative to the overall level of pre-tax income, the level of income allocated to the various state and local jurisdictions where the Company operates, because tax rates differ among such jurisdictions, and the impact of any large discrete or infrequently occurring items. The Company’s effective tax rate in future periods will also be affected by any change in income tax laws or regulations and interpretations of income tax regulations that differ from the Company’s interpretations by any of various tax authorities that may examine tax returns filed by M&amp;T or any of its subsidiaries.</w:t>
      </w:r>
    </w:p>
    <w:p>
      <w:pPr>
        <w:spacing w:after="0" w:line="18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Capital</w:t>
      </w:r>
    </w:p>
    <w:p>
      <w:pPr>
        <w:spacing w:after="0" w:line="115" w:lineRule="exact"/>
        <w:rPr>
          <w:sz w:val="20"/>
          <w:szCs w:val="20"/>
          <w:color w:val="auto"/>
        </w:rPr>
      </w:pPr>
    </w:p>
    <w:p>
      <w:pPr>
        <w:jc w:val="both"/>
        <w:ind w:right="20"/>
        <w:spacing w:after="0" w:line="263" w:lineRule="auto"/>
        <w:rPr>
          <w:sz w:val="20"/>
          <w:szCs w:val="20"/>
          <w:color w:val="auto"/>
        </w:rPr>
      </w:pPr>
      <w:r>
        <w:rPr>
          <w:rFonts w:ascii="Arial" w:cs="Arial" w:eastAsia="Arial" w:hAnsi="Arial"/>
          <w:sz w:val="21"/>
          <w:szCs w:val="21"/>
          <w:color w:val="auto"/>
        </w:rPr>
        <w:t>Shareholders’ equity was $15.8 billion at March 31, 2020, representing 12.70% of total assets, compared with $15.6 billion or 12.99% a year earlier and $15.7 billion or 13.11% at December 31, 2019.</w:t>
      </w:r>
    </w:p>
    <w:p>
      <w:pPr>
        <w:spacing w:after="0" w:line="64"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21"/>
          <w:szCs w:val="21"/>
          <w:color w:val="auto"/>
        </w:rPr>
        <w:t>Included in shareholders’ equity was preferred stock with financial statement carrying values of $1.25 billion at each of March 31, 2020 and December 31, 2019, compared with $1.23 billion at March 31, 2019.</w:t>
      </w:r>
    </w:p>
    <w:p>
      <w:pPr>
        <w:spacing w:after="0" w:line="64" w:lineRule="exact"/>
        <w:rPr>
          <w:sz w:val="20"/>
          <w:szCs w:val="20"/>
          <w:color w:val="auto"/>
        </w:rPr>
      </w:pPr>
    </w:p>
    <w:p>
      <w:pPr>
        <w:jc w:val="both"/>
        <w:ind w:firstLine="510"/>
        <w:spacing w:after="0" w:line="274" w:lineRule="auto"/>
        <w:rPr>
          <w:sz w:val="20"/>
          <w:szCs w:val="20"/>
          <w:color w:val="auto"/>
        </w:rPr>
      </w:pPr>
      <w:r>
        <w:rPr>
          <w:rFonts w:ascii="Arial" w:cs="Arial" w:eastAsia="Arial" w:hAnsi="Arial"/>
          <w:sz w:val="19"/>
          <w:szCs w:val="19"/>
          <w:color w:val="auto"/>
        </w:rPr>
        <w:t>Reflecting the impact of repurchases of M&amp;T’s common stock, common shareholders’ equity was $14.6 billion, or $113.54 per share, at March 31, 2020, compared with $14.4 billion, or $105.04 per share, a year earlier and $14.5 billion, or $110.78 per share, at December 31, 2019. Tangible equity per common share, which excludes goodwill and core deposit and other intangible assets and applicable deferred tax balances, was $77.60 at the end of the recent quarter, compared with $71.19 at March 31, 2019 and $75.44 at December 31, 2019. The Company’s ratio of tangible common equity to tangible assets was 8.30% at March 31, 2020, compared with 8.43% a year earlier and 8.55% at December 31, 2019. Reconciliations of total common shareholders’ equity and tangible common equity and total assets and tangible assets as of each of those respective dates are presented in table 2.</w:t>
      </w:r>
    </w:p>
    <w:p>
      <w:pPr>
        <w:spacing w:after="0" w:line="61"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20"/>
          <w:szCs w:val="20"/>
          <w:color w:val="auto"/>
        </w:rPr>
        <w:t>Shareholders’ equity reflects accumulated other comprehensive income or loss, which includes the net after-tax impact of unrealized gains or losses on investment securities classified as available for sale, remaining unrealized losses on held-to-maturity securities transferred from available for sale that have not yet been amortized, gains or losses associated with interest rate swap agreements designated as cash flow hedges, foreign currency translation adjustments and adjustments to reflect the funded status of defined benefit pension and other postretirement plans. Net unrealized gains on investment securities reflected in shareholders’ equity, net of applicable tax effect, were $135 million, or $1.05 per common share, at March 31, 2020 and $37 million, or $.29 per common share, at December 31, 2019, compared with net unrealized losses of $63 million, or $.46 per common share at March 31, 2019. Changes in unrealized gains and losses on investment securities are predominantly reflective of the impact of changes in interest rates on the values of such securities. Information about unrealized gains and losses as of March 31, 2020 and December 31, 2019 is included in note 2 of Notes to Financial Statements.</w:t>
      </w:r>
    </w:p>
    <w:p>
      <w:pPr>
        <w:spacing w:after="0" w:line="72" w:lineRule="exact"/>
        <w:rPr>
          <w:sz w:val="20"/>
          <w:szCs w:val="20"/>
          <w:color w:val="auto"/>
        </w:rPr>
      </w:pPr>
    </w:p>
    <w:p>
      <w:pPr>
        <w:jc w:val="both"/>
        <w:ind w:firstLine="510"/>
        <w:spacing w:after="0" w:line="248" w:lineRule="auto"/>
        <w:rPr>
          <w:sz w:val="20"/>
          <w:szCs w:val="20"/>
          <w:color w:val="auto"/>
        </w:rPr>
      </w:pPr>
      <w:r>
        <w:rPr>
          <w:rFonts w:ascii="Arial" w:cs="Arial" w:eastAsia="Arial" w:hAnsi="Arial"/>
          <w:sz w:val="21"/>
          <w:szCs w:val="21"/>
          <w:color w:val="auto"/>
        </w:rPr>
        <w:t>Reflected in the carrying amount of available-for-sale investment securities at March 31, 2020 were pre-tax effect unrealized gains of $212 million on securities with an amortized cost of $5.7 billion and pre-tax effect unrealized losses of $20 million on securities with an amortized cost of $245 million. Information concerning the Company’s fair valuations of investment securities is provided in notes 2 and 11 of Notes to Financial Statements.</w:t>
      </w:r>
    </w:p>
    <w:p>
      <w:pPr>
        <w:spacing w:after="0" w:line="81" w:lineRule="exact"/>
        <w:rPr>
          <w:sz w:val="20"/>
          <w:szCs w:val="20"/>
          <w:color w:val="auto"/>
        </w:rPr>
      </w:pPr>
    </w:p>
    <w:p>
      <w:pPr>
        <w:jc w:val="both"/>
        <w:ind w:firstLine="510"/>
        <w:spacing w:after="0" w:line="258" w:lineRule="auto"/>
        <w:rPr>
          <w:sz w:val="20"/>
          <w:szCs w:val="20"/>
          <w:color w:val="auto"/>
        </w:rPr>
      </w:pPr>
      <w:r>
        <w:rPr>
          <w:rFonts w:ascii="Arial" w:cs="Arial" w:eastAsia="Arial" w:hAnsi="Arial"/>
          <w:sz w:val="20"/>
          <w:szCs w:val="20"/>
          <w:color w:val="auto"/>
        </w:rPr>
        <w:t>Each reporting period the Company reviews its available-for-sale investment securities for declines in value that might be indicative of credit-related losses through an analysis of the creditworthiness of the issuer or the credit performance of the underlying collateral supporting the bond. If the Company does not expect to recover the entire amortized cost basis of a debt security a credit loss is recognized and such loss would be recognized in the consolidated statement of income. Beginning January 1, 2020, an allowance for credit losses would reduce the carrying value of available-for-sale investment securities. Previously if a credit-related loss was deemed to have occurred, the investment security’s cost basis was adjusted, as appropriate for the circumstances. A loss is also recognized in the consolidated statement of income if the Company intends to sell a bond or it more likely than not will be required to sell a bond before recovery of the amortized cost basis.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71" w:name="page72"/>
    <w:bookmarkEnd w:id="71"/>
    <w:p>
      <w:pPr>
        <w:jc w:val="both"/>
        <w:ind w:firstLine="510"/>
        <w:spacing w:after="0" w:line="279" w:lineRule="auto"/>
        <w:rPr>
          <w:sz w:val="20"/>
          <w:szCs w:val="20"/>
          <w:color w:val="auto"/>
        </w:rPr>
      </w:pPr>
      <w:r>
        <w:rPr>
          <w:rFonts w:ascii="Arial" w:cs="Arial" w:eastAsia="Arial" w:hAnsi="Arial"/>
          <w:sz w:val="19"/>
          <w:szCs w:val="19"/>
          <w:color w:val="auto"/>
        </w:rPr>
        <w:t>As of March 31, 2020, based on a review of each of the securities in the available-for-sale investment securities portfolio, the Company concluded that it expected to realize the amortized cost basis of each security. As of March 31, 2020, the Company did not intend to sell nor is it anticipated that it would be required to sell any securities for which fair value was less than the amortized cost basis of the security. The Company intends to continue to closely monitor the performance of its securities because changes in their underlying credit performance or other events could cause the amortized cost basis of those securities to become uncollectible.</w:t>
      </w:r>
    </w:p>
    <w:p>
      <w:pPr>
        <w:spacing w:after="0" w:line="51"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9"/>
          <w:szCs w:val="19"/>
          <w:color w:val="auto"/>
        </w:rPr>
        <w:t>On January 1, 2020 the Company adopted amended accounting guidance that requires investment securities held to maturity to be presented at their net carrying value that is expected to be collected over their contractual term. The Company estimated no material allowance for credit losses for its investment securities classified as held-to-maturity at January 1, 2020 and March 31, 2020 as the substantial majority of such investment securities were obligations backed by the U.S. government or its agencies. The Company assessed the potential for expected credit losses on privately issued mortgage-backed securities in the held-to-maturity portfolio by performing internal modeling to estimate bond-specific cash flows considering recent performance of the mortgage loan collateral and utilizing assumptions about future defaults and loss severity. These bond-specific cash flows also reflect the placement of the bond in the overall securitization structure and the remaining subordination levels. In total, at March 31, 2020 and December 31, 2019, the Company had in its held-to-maturity portfolio privately issued mortgage-backed securities with an amortized cost basis of $90 million and $93 million, respectively, and a fair value of $78 million and $87 million, respectively. At March 31, 2020, 82% of the mortgage-backed securities were in the most senior tranche of the securitization structure with 19% being independently rated as investment grade. The mortgage-backed securities are generally collateralized by residential and small-balance commercial real estate loans originated between 2004 and 2008 and had a weighted-average credit enhancement of 10% at March 31, 2020, calculated by dividing the remaining unpaid principal balance of bonds subordinate to the bonds owned by the Company plus any overcollateralization remaining in the securitization structure by the remaining unpaid principal balance of all bonds in the securitization structure. The weighted-average default percentage and loss severity assumptions utilized in the Company’s internal modeling were 32% and 68% respectively. Given the securitization structure, some of the bonds held by the Company may defer interest payments in certain circumstances, but after considering the repayment structure and estimated future collateral cash flows of each individual senior and subordinate tranche bond, the Company has concluded that as of March 31, 2020, it expected to recover the amortized cost basis of those privately issued mortgage-backed securities. Nevertheless, it is possible that adverse changes in the estimated future performance of mortgage loan collateral underlying such securities could impact the Company’s conclusions.</w:t>
      </w:r>
    </w:p>
    <w:p>
      <w:pPr>
        <w:spacing w:after="0" w:line="62" w:lineRule="exact"/>
        <w:rPr>
          <w:sz w:val="20"/>
          <w:szCs w:val="20"/>
          <w:color w:val="auto"/>
        </w:rPr>
      </w:pPr>
    </w:p>
    <w:p>
      <w:pPr>
        <w:jc w:val="both"/>
        <w:ind w:firstLine="510"/>
        <w:spacing w:after="0" w:line="291" w:lineRule="auto"/>
        <w:rPr>
          <w:sz w:val="20"/>
          <w:szCs w:val="20"/>
          <w:color w:val="auto"/>
        </w:rPr>
      </w:pPr>
      <w:r>
        <w:rPr>
          <w:rFonts w:ascii="Arial" w:cs="Arial" w:eastAsia="Arial" w:hAnsi="Arial"/>
          <w:sz w:val="19"/>
          <w:szCs w:val="19"/>
          <w:color w:val="auto"/>
        </w:rPr>
        <w:t>Adjustments to reflect the funded status of defined benefit pension and other postretirement plans, net of applicable tax effect, reduced accumulated other comprehensive income by $333 million or $2.60 per common share, at March 31, 2020, $259 million or $1.90 per common share, at March 31, 2019 and $342 million, or $2.62 per common share, at December 31, 2019.</w:t>
      </w:r>
    </w:p>
    <w:p>
      <w:pPr>
        <w:spacing w:after="0" w:line="41" w:lineRule="exact"/>
        <w:rPr>
          <w:sz w:val="20"/>
          <w:szCs w:val="20"/>
          <w:color w:val="auto"/>
        </w:rPr>
      </w:pPr>
    </w:p>
    <w:p>
      <w:pPr>
        <w:jc w:val="both"/>
        <w:ind w:firstLine="510"/>
        <w:spacing w:after="0" w:line="246" w:lineRule="auto"/>
        <w:rPr>
          <w:sz w:val="20"/>
          <w:szCs w:val="20"/>
          <w:color w:val="auto"/>
        </w:rPr>
      </w:pPr>
      <w:r>
        <w:rPr>
          <w:rFonts w:ascii="Arial" w:cs="Arial" w:eastAsia="Arial" w:hAnsi="Arial"/>
          <w:sz w:val="21"/>
          <w:szCs w:val="21"/>
          <w:color w:val="auto"/>
        </w:rPr>
        <w:t>Pursuant to previously approved capital plans and authorizations by M&amp;T’s Board of Directors, M&amp;T repurchased 2,577,000 shares of its common stock for $374 million in the first quarter of 2020. During the initial 2019 quarter, M&amp;T repurchased 2,150,000 common shares at a total cost of $366 million. Repurchases of common stock in the final 2019 quarter totaled 1,724,000 shares at a cost of $282 million. In light of the COVID-19 pandemic impact on overall economic conditions, M&amp;T has ceased repurchasing its common stock for the time being.</w:t>
      </w:r>
    </w:p>
    <w:p>
      <w:pPr>
        <w:spacing w:after="0" w:line="84" w:lineRule="exact"/>
        <w:rPr>
          <w:sz w:val="20"/>
          <w:szCs w:val="20"/>
          <w:color w:val="auto"/>
        </w:rPr>
      </w:pPr>
    </w:p>
    <w:p>
      <w:pPr>
        <w:jc w:val="both"/>
        <w:ind w:firstLine="468"/>
        <w:spacing w:after="0" w:line="279" w:lineRule="auto"/>
        <w:rPr>
          <w:sz w:val="20"/>
          <w:szCs w:val="20"/>
          <w:color w:val="auto"/>
        </w:rPr>
      </w:pPr>
      <w:r>
        <w:rPr>
          <w:rFonts w:ascii="Arial" w:cs="Arial" w:eastAsia="Arial" w:hAnsi="Arial"/>
          <w:sz w:val="19"/>
          <w:szCs w:val="19"/>
          <w:color w:val="auto"/>
        </w:rPr>
        <w:t>Cash dividends declared on M&amp;T’s common stock totaled $143 million in the initial quarter of 2020, compared with $139 million and $145 million in the three-month periods ended March 31, 2019 and December 31, 2019, respectively. During the fourth quarter of 2019, M&amp;T’s Board of Directors authorized an increase in the quarterly common stock dividend to $1.10 per common share, from the previous rate of $1.00 per common share. Cash dividends declared on preferred stock aggregated $17 million in each of the first quarter of 2020 and fourth quarter of 2019, compared with $18 million in the initial quarter of 2019.</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72" w:name="page73"/>
    <w:bookmarkEnd w:id="72"/>
    <w:p>
      <w:pPr>
        <w:ind w:right="20" w:firstLine="464"/>
        <w:spacing w:after="0" w:line="263" w:lineRule="auto"/>
        <w:rPr>
          <w:sz w:val="20"/>
          <w:szCs w:val="20"/>
          <w:color w:val="auto"/>
        </w:rPr>
      </w:pPr>
      <w:r>
        <w:rPr>
          <w:rFonts w:ascii="Arial" w:cs="Arial" w:eastAsia="Arial" w:hAnsi="Arial"/>
          <w:sz w:val="21"/>
          <w:szCs w:val="21"/>
          <w:color w:val="auto"/>
        </w:rPr>
        <w:t>M&amp;T and its subsidiary banks are required to comply with applicable capital adequacy standards established by the federal banking agencies. Pursuant to those regulations, the minimum capital ratios are as follows:</w:t>
      </w:r>
    </w:p>
    <w:p>
      <w:pPr>
        <w:spacing w:after="0" w:line="37" w:lineRule="exact"/>
        <w:rPr>
          <w:sz w:val="20"/>
          <w:szCs w:val="20"/>
          <w:color w:val="auto"/>
        </w:rPr>
      </w:pPr>
    </w:p>
    <w:p>
      <w:pPr>
        <w:ind w:left="740" w:hanging="368"/>
        <w:spacing w:after="0"/>
        <w:tabs>
          <w:tab w:leader="none" w:pos="740" w:val="left"/>
        </w:tabs>
        <w:numPr>
          <w:ilvl w:val="0"/>
          <w:numId w:val="24"/>
        </w:numPr>
        <w:rPr>
          <w:rFonts w:ascii="Arial" w:cs="Arial" w:eastAsia="Arial" w:hAnsi="Arial"/>
          <w:sz w:val="21"/>
          <w:szCs w:val="21"/>
          <w:color w:val="auto"/>
        </w:rPr>
      </w:pPr>
      <w:r>
        <w:rPr>
          <w:rFonts w:ascii="Arial" w:cs="Arial" w:eastAsia="Arial" w:hAnsi="Arial"/>
          <w:sz w:val="21"/>
          <w:szCs w:val="21"/>
          <w:color w:val="auto"/>
        </w:rPr>
        <w:t>4.5% Common Equity Tier 1 (“CET1”) to risk-weighted assets (each as defined in the capital regulations);</w:t>
      </w:r>
    </w:p>
    <w:p>
      <w:pPr>
        <w:spacing w:after="0" w:line="68" w:lineRule="exact"/>
        <w:rPr>
          <w:rFonts w:ascii="Arial" w:cs="Arial" w:eastAsia="Arial" w:hAnsi="Arial"/>
          <w:sz w:val="21"/>
          <w:szCs w:val="21"/>
          <w:color w:val="auto"/>
        </w:rPr>
      </w:pPr>
    </w:p>
    <w:p>
      <w:pPr>
        <w:ind w:left="740" w:hanging="368"/>
        <w:spacing w:after="0" w:line="263" w:lineRule="auto"/>
        <w:tabs>
          <w:tab w:leader="none" w:pos="740" w:val="left"/>
        </w:tabs>
        <w:numPr>
          <w:ilvl w:val="0"/>
          <w:numId w:val="24"/>
        </w:numPr>
        <w:rPr>
          <w:rFonts w:ascii="Arial" w:cs="Arial" w:eastAsia="Arial" w:hAnsi="Arial"/>
          <w:sz w:val="21"/>
          <w:szCs w:val="21"/>
          <w:color w:val="auto"/>
        </w:rPr>
      </w:pPr>
      <w:r>
        <w:rPr>
          <w:rFonts w:ascii="Arial" w:cs="Arial" w:eastAsia="Arial" w:hAnsi="Arial"/>
          <w:sz w:val="21"/>
          <w:szCs w:val="21"/>
          <w:color w:val="auto"/>
        </w:rPr>
        <w:t>6.0% Tier 1 capital (that is, CET1 plus Additional Tier 1 capital) to risk-weighted assets (each as defined in the capital regulations);</w:t>
      </w:r>
    </w:p>
    <w:p>
      <w:pPr>
        <w:spacing w:after="0" w:line="64" w:lineRule="exact"/>
        <w:rPr>
          <w:rFonts w:ascii="Arial" w:cs="Arial" w:eastAsia="Arial" w:hAnsi="Arial"/>
          <w:sz w:val="21"/>
          <w:szCs w:val="21"/>
          <w:color w:val="auto"/>
        </w:rPr>
      </w:pPr>
    </w:p>
    <w:p>
      <w:pPr>
        <w:ind w:left="740" w:right="20" w:hanging="368"/>
        <w:spacing w:after="0" w:line="263" w:lineRule="auto"/>
        <w:tabs>
          <w:tab w:leader="none" w:pos="740" w:val="left"/>
        </w:tabs>
        <w:numPr>
          <w:ilvl w:val="0"/>
          <w:numId w:val="24"/>
        </w:numPr>
        <w:rPr>
          <w:rFonts w:ascii="Arial" w:cs="Arial" w:eastAsia="Arial" w:hAnsi="Arial"/>
          <w:sz w:val="21"/>
          <w:szCs w:val="21"/>
          <w:color w:val="auto"/>
        </w:rPr>
      </w:pPr>
      <w:r>
        <w:rPr>
          <w:rFonts w:ascii="Arial" w:cs="Arial" w:eastAsia="Arial" w:hAnsi="Arial"/>
          <w:sz w:val="21"/>
          <w:szCs w:val="21"/>
          <w:color w:val="auto"/>
        </w:rPr>
        <w:t>8.0% Total capital (that is, Tier 1 capital plus Tier 2 capital) to risk-weighted assets (each as defined in the capital regulations); and</w:t>
      </w:r>
    </w:p>
    <w:p>
      <w:pPr>
        <w:spacing w:after="0" w:line="64" w:lineRule="exact"/>
        <w:rPr>
          <w:rFonts w:ascii="Arial" w:cs="Arial" w:eastAsia="Arial" w:hAnsi="Arial"/>
          <w:sz w:val="21"/>
          <w:szCs w:val="21"/>
          <w:color w:val="auto"/>
        </w:rPr>
      </w:pPr>
    </w:p>
    <w:p>
      <w:pPr>
        <w:ind w:left="740" w:hanging="368"/>
        <w:spacing w:after="0" w:line="263" w:lineRule="auto"/>
        <w:tabs>
          <w:tab w:leader="none" w:pos="740" w:val="left"/>
        </w:tabs>
        <w:numPr>
          <w:ilvl w:val="0"/>
          <w:numId w:val="24"/>
        </w:numPr>
        <w:rPr>
          <w:rFonts w:ascii="Arial" w:cs="Arial" w:eastAsia="Arial" w:hAnsi="Arial"/>
          <w:sz w:val="21"/>
          <w:szCs w:val="21"/>
          <w:color w:val="auto"/>
        </w:rPr>
      </w:pPr>
      <w:r>
        <w:rPr>
          <w:rFonts w:ascii="Arial" w:cs="Arial" w:eastAsia="Arial" w:hAnsi="Arial"/>
          <w:sz w:val="21"/>
          <w:szCs w:val="21"/>
          <w:color w:val="auto"/>
        </w:rPr>
        <w:t>4.0% Tier 1 capital to average consolidated assets as reported on consolidated financial statements (known as the “leverage ratio”), as defined in the capital regulations.</w:t>
      </w:r>
    </w:p>
    <w:p>
      <w:pPr>
        <w:spacing w:after="0" w:line="64"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21"/>
          <w:szCs w:val="21"/>
          <w:color w:val="auto"/>
        </w:rPr>
        <w:t>In addition, capital regulations require a “capital conservation buffer” of 2.5% composed entirely of CET1 on top of these minimum risk-weighted asset ratios.</w:t>
      </w:r>
    </w:p>
    <w:p>
      <w:pPr>
        <w:spacing w:after="0" w:line="64" w:lineRule="exact"/>
        <w:rPr>
          <w:sz w:val="20"/>
          <w:szCs w:val="20"/>
          <w:color w:val="auto"/>
        </w:rPr>
      </w:pPr>
    </w:p>
    <w:p>
      <w:pPr>
        <w:jc w:val="both"/>
        <w:ind w:firstLine="510"/>
        <w:spacing w:after="0" w:line="245" w:lineRule="auto"/>
        <w:rPr>
          <w:sz w:val="20"/>
          <w:szCs w:val="20"/>
          <w:color w:val="auto"/>
        </w:rPr>
      </w:pPr>
      <w:r>
        <w:rPr>
          <w:rFonts w:ascii="Arial" w:cs="Arial" w:eastAsia="Arial" w:hAnsi="Arial"/>
          <w:sz w:val="21"/>
          <w:szCs w:val="21"/>
          <w:color w:val="auto"/>
        </w:rPr>
        <w:t>The federal bank regulatory agencies have issued rules that allow banks and bank holding companies to phase -in the impact of adopting the expected credit loss accounting model on regulatory capital. Those rules allow banks and bank holding companies to delay for two years the day one impact on retained earnings of adopting the expected loss accounting standard and 25% of the cumulative change in the reported allowance for credit losses subsequent to the initial adoption, followed by a three year transition period. M&amp;T and its subsidiary banks have elected to adopt these rules and the impact is reflected in the regulatory capital ratios presented below.</w:t>
      </w:r>
    </w:p>
    <w:p>
      <w:pPr>
        <w:spacing w:after="0" w:line="85" w:lineRule="exact"/>
        <w:rPr>
          <w:sz w:val="20"/>
          <w:szCs w:val="20"/>
          <w:color w:val="auto"/>
        </w:rPr>
      </w:pPr>
    </w:p>
    <w:p>
      <w:pPr>
        <w:ind w:firstLine="510"/>
        <w:spacing w:after="0" w:line="263" w:lineRule="auto"/>
        <w:rPr>
          <w:sz w:val="20"/>
          <w:szCs w:val="20"/>
          <w:color w:val="auto"/>
        </w:rPr>
      </w:pPr>
      <w:r>
        <w:rPr>
          <w:rFonts w:ascii="Arial" w:cs="Arial" w:eastAsia="Arial" w:hAnsi="Arial"/>
          <w:sz w:val="21"/>
          <w:szCs w:val="21"/>
          <w:color w:val="auto"/>
        </w:rPr>
        <w:t>The regulatory capital ratios of the Company and its bank subsidiaries, M&amp;T Bank and Wilmington Trust, N.A., as of March 31, 2020 are presented in the accompanying table.</w:t>
      </w:r>
    </w:p>
    <w:p>
      <w:pPr>
        <w:spacing w:after="0" w:line="64" w:lineRule="exact"/>
        <w:rPr>
          <w:sz w:val="20"/>
          <w:szCs w:val="20"/>
          <w:color w:val="auto"/>
        </w:rPr>
      </w:pPr>
    </w:p>
    <w:p>
      <w:pPr>
        <w:spacing w:after="0"/>
        <w:rPr>
          <w:sz w:val="20"/>
          <w:szCs w:val="20"/>
          <w:color w:val="auto"/>
        </w:rPr>
      </w:pPr>
      <w:r>
        <w:rPr>
          <w:rFonts w:ascii="Arial" w:cs="Arial" w:eastAsia="Arial" w:hAnsi="Arial"/>
          <w:sz w:val="21"/>
          <w:szCs w:val="21"/>
          <w:color w:val="auto"/>
        </w:rPr>
        <w:t>REGULATORY CAPITAL RATIOS</w:t>
      </w:r>
    </w:p>
    <w:p>
      <w:pPr>
        <w:spacing w:after="0" w:line="19" w:lineRule="exact"/>
        <w:rPr>
          <w:sz w:val="20"/>
          <w:szCs w:val="20"/>
          <w:color w:val="auto"/>
        </w:rPr>
      </w:pPr>
    </w:p>
    <w:p>
      <w:pPr>
        <w:spacing w:after="0"/>
        <w:rPr>
          <w:sz w:val="20"/>
          <w:szCs w:val="20"/>
          <w:color w:val="auto"/>
        </w:rPr>
      </w:pPr>
      <w:r>
        <w:rPr>
          <w:rFonts w:ascii="Arial" w:cs="Arial" w:eastAsia="Arial" w:hAnsi="Arial"/>
          <w:sz w:val="21"/>
          <w:szCs w:val="21"/>
          <w:color w:val="auto"/>
        </w:rPr>
        <w:t>March 31, 2020</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6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M&amp;T</w:t>
            </w:r>
          </w:p>
        </w:tc>
        <w:tc>
          <w:tcPr>
            <w:tcW w:w="1300" w:type="dxa"/>
            <w:vAlign w:val="bottom"/>
            <w:gridSpan w:val="2"/>
          </w:tcPr>
          <w:p>
            <w:pPr>
              <w:ind w:left="340"/>
              <w:spacing w:after="0"/>
              <w:rPr>
                <w:sz w:val="20"/>
                <w:szCs w:val="20"/>
                <w:color w:val="auto"/>
              </w:rPr>
            </w:pPr>
            <w:r>
              <w:rPr>
                <w:rFonts w:ascii="Arial" w:cs="Arial" w:eastAsia="Arial" w:hAnsi="Arial"/>
                <w:sz w:val="14"/>
                <w:szCs w:val="14"/>
                <w:b w:val="1"/>
                <w:bCs w:val="1"/>
                <w:color w:val="auto"/>
              </w:rPr>
              <w:t>M&amp;T</w:t>
            </w:r>
          </w:p>
        </w:tc>
        <w:tc>
          <w:tcPr>
            <w:tcW w:w="1140" w:type="dxa"/>
            <w:vAlign w:val="bottom"/>
            <w:gridSpan w:val="2"/>
          </w:tcPr>
          <w:p>
            <w:pPr>
              <w:ind w:left="160"/>
              <w:spacing w:after="0"/>
              <w:rPr>
                <w:sz w:val="20"/>
                <w:szCs w:val="20"/>
                <w:color w:val="auto"/>
              </w:rPr>
            </w:pPr>
            <w:r>
              <w:rPr>
                <w:rFonts w:ascii="Arial" w:cs="Arial" w:eastAsia="Arial" w:hAnsi="Arial"/>
                <w:sz w:val="14"/>
                <w:szCs w:val="14"/>
                <w:b w:val="1"/>
                <w:bCs w:val="1"/>
                <w:color w:val="auto"/>
              </w:rPr>
              <w:t>Wilmington</w:t>
            </w:r>
          </w:p>
        </w:tc>
      </w:tr>
      <w:tr>
        <w:trPr>
          <w:trHeight w:val="171"/>
        </w:trPr>
        <w:tc>
          <w:tcPr>
            <w:tcW w:w="526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(Consolidated)</w:t>
            </w:r>
          </w:p>
        </w:tc>
        <w:tc>
          <w:tcPr>
            <w:tcW w:w="1300" w:type="dxa"/>
            <w:vAlign w:val="bottom"/>
            <w:gridSpan w:val="2"/>
          </w:tcPr>
          <w:p>
            <w:pPr>
              <w:ind w:left="340"/>
              <w:spacing w:after="0"/>
              <w:rPr>
                <w:sz w:val="20"/>
                <w:szCs w:val="20"/>
                <w:color w:val="auto"/>
              </w:rPr>
            </w:pPr>
            <w:r>
              <w:rPr>
                <w:rFonts w:ascii="Arial" w:cs="Arial" w:eastAsia="Arial" w:hAnsi="Arial"/>
                <w:sz w:val="14"/>
                <w:szCs w:val="14"/>
                <w:b w:val="1"/>
                <w:bCs w:val="1"/>
                <w:color w:val="auto"/>
              </w:rPr>
              <w:t>Bank</w:t>
            </w:r>
          </w:p>
        </w:tc>
        <w:tc>
          <w:tcPr>
            <w:tcW w:w="1140" w:type="dxa"/>
            <w:vAlign w:val="bottom"/>
            <w:gridSpan w:val="2"/>
          </w:tcPr>
          <w:p>
            <w:pPr>
              <w:ind w:left="180"/>
              <w:spacing w:after="0"/>
              <w:rPr>
                <w:sz w:val="20"/>
                <w:szCs w:val="20"/>
                <w:color w:val="auto"/>
              </w:rPr>
            </w:pPr>
            <w:r>
              <w:rPr>
                <w:rFonts w:ascii="Arial" w:cs="Arial" w:eastAsia="Arial" w:hAnsi="Arial"/>
                <w:sz w:val="14"/>
                <w:szCs w:val="14"/>
                <w:b w:val="1"/>
                <w:bCs w:val="1"/>
                <w:color w:val="auto"/>
              </w:rPr>
              <w:t>Trust, N.A.</w:t>
            </w:r>
          </w:p>
        </w:tc>
      </w:tr>
      <w:tr>
        <w:trPr>
          <w:trHeight w:val="452"/>
        </w:trPr>
        <w:tc>
          <w:tcPr>
            <w:tcW w:w="5260" w:type="dxa"/>
            <w:vAlign w:val="bottom"/>
          </w:tcPr>
          <w:p>
            <w:pPr>
              <w:spacing w:after="0"/>
              <w:rPr>
                <w:sz w:val="20"/>
                <w:szCs w:val="20"/>
                <w:color w:val="auto"/>
              </w:rPr>
            </w:pPr>
            <w:r>
              <w:rPr>
                <w:rFonts w:ascii="Arial" w:cs="Arial" w:eastAsia="Arial" w:hAnsi="Arial"/>
                <w:sz w:val="18"/>
                <w:szCs w:val="18"/>
                <w:color w:val="auto"/>
              </w:rPr>
              <w:t>Common equity Tier 1</w:t>
            </w: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9.19%</w:t>
            </w:r>
          </w:p>
        </w:tc>
        <w:tc>
          <w:tcPr>
            <w:tcW w:w="260" w:type="dxa"/>
            <w:vAlign w:val="bottom"/>
          </w:tcPr>
          <w:p>
            <w:pPr>
              <w:spacing w:after="0"/>
              <w:rPr>
                <w:sz w:val="24"/>
                <w:szCs w:val="24"/>
                <w:color w:val="auto"/>
              </w:rPr>
            </w:pPr>
          </w:p>
        </w:tc>
        <w:tc>
          <w:tcPr>
            <w:tcW w:w="10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9.84%</w:t>
            </w:r>
          </w:p>
        </w:tc>
        <w:tc>
          <w:tcPr>
            <w:tcW w:w="260" w:type="dxa"/>
            <w:vAlign w:val="bottom"/>
          </w:tcPr>
          <w:p>
            <w:pPr>
              <w:spacing w:after="0"/>
              <w:rPr>
                <w:sz w:val="24"/>
                <w:szCs w:val="24"/>
                <w:color w:val="auto"/>
              </w:rPr>
            </w:pPr>
          </w:p>
        </w:tc>
        <w:tc>
          <w:tcPr>
            <w:tcW w:w="1060" w:type="dxa"/>
            <w:vAlign w:val="bottom"/>
            <w:tcBorders>
              <w:top w:val="single" w:sz="8" w:color="auto"/>
            </w:tcBorders>
          </w:tcPr>
          <w:p>
            <w:pPr>
              <w:jc w:val="right"/>
              <w:ind w:right="136"/>
              <w:spacing w:after="0"/>
              <w:rPr>
                <w:sz w:val="20"/>
                <w:szCs w:val="20"/>
                <w:color w:val="auto"/>
              </w:rPr>
            </w:pPr>
            <w:r>
              <w:rPr>
                <w:rFonts w:ascii="Arial" w:cs="Arial" w:eastAsia="Arial" w:hAnsi="Arial"/>
                <w:sz w:val="18"/>
                <w:szCs w:val="18"/>
                <w:color w:val="auto"/>
              </w:rPr>
              <w:t>48.72%</w:t>
            </w:r>
          </w:p>
        </w:tc>
        <w:tc>
          <w:tcPr>
            <w:tcW w:w="80" w:type="dxa"/>
            <w:vAlign w:val="bottom"/>
          </w:tcPr>
          <w:p>
            <w:pPr>
              <w:spacing w:after="0"/>
              <w:rPr>
                <w:sz w:val="24"/>
                <w:szCs w:val="24"/>
                <w:color w:val="auto"/>
              </w:rPr>
            </w:pPr>
          </w:p>
        </w:tc>
      </w:tr>
      <w:tr>
        <w:trPr>
          <w:trHeight w:val="229"/>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Tier 1 capital</w:t>
            </w:r>
          </w:p>
        </w:tc>
        <w:tc>
          <w:tcPr>
            <w:tcW w:w="10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10.35%</w:t>
            </w: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9.84%</w:t>
            </w: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36"/>
              <w:spacing w:after="0"/>
              <w:rPr>
                <w:sz w:val="20"/>
                <w:szCs w:val="20"/>
                <w:color w:val="auto"/>
              </w:rPr>
            </w:pPr>
            <w:r>
              <w:rPr>
                <w:rFonts w:ascii="Arial" w:cs="Arial" w:eastAsia="Arial" w:hAnsi="Arial"/>
                <w:sz w:val="18"/>
                <w:szCs w:val="18"/>
                <w:color w:val="auto"/>
              </w:rPr>
              <w:t>48.72%</w:t>
            </w:r>
          </w:p>
        </w:tc>
        <w:tc>
          <w:tcPr>
            <w:tcW w:w="80" w:type="dxa"/>
            <w:vAlign w:val="bottom"/>
            <w:shd w:val="clear" w:color="auto" w:fill="CFF0FC"/>
          </w:tcPr>
          <w:p>
            <w:pPr>
              <w:spacing w:after="0"/>
              <w:rPr>
                <w:sz w:val="19"/>
                <w:szCs w:val="19"/>
                <w:color w:val="auto"/>
              </w:rPr>
            </w:pPr>
          </w:p>
        </w:tc>
      </w:tr>
      <w:tr>
        <w:trPr>
          <w:trHeight w:val="229"/>
        </w:trPr>
        <w:tc>
          <w:tcPr>
            <w:tcW w:w="5260" w:type="dxa"/>
            <w:vAlign w:val="bottom"/>
          </w:tcPr>
          <w:p>
            <w:pPr>
              <w:spacing w:after="0"/>
              <w:rPr>
                <w:sz w:val="20"/>
                <w:szCs w:val="20"/>
                <w:color w:val="auto"/>
              </w:rPr>
            </w:pPr>
            <w:r>
              <w:rPr>
                <w:rFonts w:ascii="Arial" w:cs="Arial" w:eastAsia="Arial" w:hAnsi="Arial"/>
                <w:sz w:val="18"/>
                <w:szCs w:val="18"/>
                <w:color w:val="auto"/>
              </w:rPr>
              <w:t>Total capital</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12.54%</w:t>
            </w:r>
          </w:p>
        </w:tc>
        <w:tc>
          <w:tcPr>
            <w:tcW w:w="26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11.56%</w:t>
            </w:r>
          </w:p>
        </w:tc>
        <w:tc>
          <w:tcPr>
            <w:tcW w:w="260" w:type="dxa"/>
            <w:vAlign w:val="bottom"/>
          </w:tcPr>
          <w:p>
            <w:pPr>
              <w:spacing w:after="0"/>
              <w:rPr>
                <w:sz w:val="19"/>
                <w:szCs w:val="19"/>
                <w:color w:val="auto"/>
              </w:rPr>
            </w:pPr>
          </w:p>
        </w:tc>
        <w:tc>
          <w:tcPr>
            <w:tcW w:w="1060" w:type="dxa"/>
            <w:vAlign w:val="bottom"/>
          </w:tcPr>
          <w:p>
            <w:pPr>
              <w:jc w:val="right"/>
              <w:ind w:right="136"/>
              <w:spacing w:after="0"/>
              <w:rPr>
                <w:sz w:val="20"/>
                <w:szCs w:val="20"/>
                <w:color w:val="auto"/>
              </w:rPr>
            </w:pPr>
            <w:r>
              <w:rPr>
                <w:rFonts w:ascii="Arial" w:cs="Arial" w:eastAsia="Arial" w:hAnsi="Arial"/>
                <w:sz w:val="18"/>
                <w:szCs w:val="18"/>
                <w:color w:val="auto"/>
              </w:rPr>
              <w:t>48.88%</w:t>
            </w:r>
          </w:p>
        </w:tc>
        <w:tc>
          <w:tcPr>
            <w:tcW w:w="80" w:type="dxa"/>
            <w:vAlign w:val="bottom"/>
          </w:tcPr>
          <w:p>
            <w:pPr>
              <w:spacing w:after="0"/>
              <w:rPr>
                <w:sz w:val="19"/>
                <w:szCs w:val="19"/>
                <w:color w:val="auto"/>
              </w:rPr>
            </w:pPr>
          </w:p>
        </w:tc>
      </w:tr>
      <w:tr>
        <w:trPr>
          <w:trHeight w:val="229"/>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Tier 1 leverage</w:t>
            </w:r>
          </w:p>
        </w:tc>
        <w:tc>
          <w:tcPr>
            <w:tcW w:w="10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9.59%</w:t>
            </w: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9.13%</w:t>
            </w: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36"/>
              <w:spacing w:after="0"/>
              <w:rPr>
                <w:sz w:val="20"/>
                <w:szCs w:val="20"/>
                <w:color w:val="auto"/>
              </w:rPr>
            </w:pPr>
            <w:r>
              <w:rPr>
                <w:rFonts w:ascii="Arial" w:cs="Arial" w:eastAsia="Arial" w:hAnsi="Arial"/>
                <w:sz w:val="18"/>
                <w:szCs w:val="18"/>
                <w:color w:val="auto"/>
              </w:rPr>
              <w:t>11.98%</w:t>
            </w:r>
          </w:p>
        </w:tc>
        <w:tc>
          <w:tcPr>
            <w:tcW w:w="8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jc w:val="both"/>
        <w:ind w:firstLine="468"/>
        <w:spacing w:after="0" w:line="257" w:lineRule="auto"/>
        <w:rPr>
          <w:sz w:val="20"/>
          <w:szCs w:val="20"/>
          <w:color w:val="auto"/>
        </w:rPr>
      </w:pPr>
      <w:r>
        <w:rPr>
          <w:rFonts w:ascii="Arial" w:cs="Arial" w:eastAsia="Arial" w:hAnsi="Arial"/>
          <w:sz w:val="20"/>
          <w:szCs w:val="20"/>
          <w:color w:val="auto"/>
        </w:rPr>
        <w:t>The Company is subject to the comprehensive regulatory framework applicable to bank and financial holding companies and their subsidiaries, which includes regular examinations by a number of regulators. Regulation of financial institutions such as M&amp;T and its subsidiaries is intended primarily for the protection of depositors, the Deposit Insurance Fund of the FDIC and the banking and financial system as a whole, and generally is not intended for the protection of shareholders, investors or creditors other than insured depositors. Changes in laws, regulations and regulatory policies applicable to the Company’s operations can increase or decrease the cost of doing business, limit or expand permissible activities or affect the competitive environment in which the Company operates, all of which could have a material effect on the business, financial condition or results of operations of the Company and in M&amp;T’s ability to pay dividends. For additional information concerning this comprehensive regulatory framework, refer to Part I, Item 1 of M&amp;T’s Form 10-K for the year ended December 31, 2019.</w:t>
      </w:r>
    </w:p>
    <w:p>
      <w:pPr>
        <w:spacing w:after="0" w:line="17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Segment Information</w:t>
      </w:r>
    </w:p>
    <w:p>
      <w:pPr>
        <w:spacing w:after="0" w:line="115"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The Company's reportable segments have been determined based upon its internal profitability reporting system, which is organized by strategic business unit. Financial information about the Company's segments is presented in note 13 of Notes to Financial Statements. The reportable segments are Business Banking, Commercial Banking, Commercial Real Estate, Discretionary Portfolio, Residential Mortgage Banking and Retail Banking.</w:t>
      </w:r>
    </w:p>
    <w:p>
      <w:pPr>
        <w:spacing w:after="0" w:line="81" w:lineRule="exact"/>
        <w:rPr>
          <w:sz w:val="20"/>
          <w:szCs w:val="20"/>
          <w:color w:val="auto"/>
        </w:rPr>
      </w:pPr>
    </w:p>
    <w:p>
      <w:pPr>
        <w:jc w:val="both"/>
        <w:ind w:firstLine="464"/>
        <w:spacing w:after="0" w:line="263" w:lineRule="auto"/>
        <w:rPr>
          <w:sz w:val="20"/>
          <w:szCs w:val="20"/>
          <w:color w:val="auto"/>
        </w:rPr>
      </w:pPr>
      <w:r>
        <w:rPr>
          <w:rFonts w:ascii="Arial" w:cs="Arial" w:eastAsia="Arial" w:hAnsi="Arial"/>
          <w:sz w:val="21"/>
          <w:szCs w:val="21"/>
          <w:color w:val="auto"/>
        </w:rPr>
        <w:t>Net income of the Business Banking segment was $33 million during the quarter ended March 31, 2020, compared with $43 million in the year-earlier quarter and $37 million in the fourth quarter of 2019. As compared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73" w:name="page74"/>
    <w:bookmarkEnd w:id="73"/>
    <w:p>
      <w:pPr>
        <w:jc w:val="both"/>
        <w:spacing w:after="0" w:line="257" w:lineRule="auto"/>
        <w:rPr>
          <w:sz w:val="20"/>
          <w:szCs w:val="20"/>
          <w:color w:val="auto"/>
        </w:rPr>
      </w:pPr>
      <w:r>
        <w:rPr>
          <w:rFonts w:ascii="Arial" w:cs="Arial" w:eastAsia="Arial" w:hAnsi="Arial"/>
          <w:sz w:val="20"/>
          <w:szCs w:val="20"/>
          <w:color w:val="auto"/>
        </w:rPr>
        <w:t>with the initial 2019 quarter, the recent quarter’s decline reflected an $8 million increase in the provision for credit losses, due to higher net charge-offs and a $4 million decrease in net interest income. The lower net interest income reflected a narrowing of the net interest margin on deposits of 42 basis points offset, in part, by a 21 basis point widening of the net interest margin on loans and higher average balances of loans of $300 million and deposits of $304 million. The decrease in net income in the recent quarter as compared with the final quarter of 2019 was predominantly due to an increase in the provision for credit losses of $6 million, due to higher net charge-offs, and lower net interest income of $5 million, partially offset by a $5 million decrease in centrally-allocated costs, largely associated with data processing, risk management and other support services provided to the Business Banking segment. The decline in net interest income reflected a narrowing of the net interest margin on deposits of 10 basis points and lower average deposit balances of $452 million.</w:t>
      </w:r>
    </w:p>
    <w:p>
      <w:pPr>
        <w:spacing w:after="0" w:line="76" w:lineRule="exact"/>
        <w:rPr>
          <w:sz w:val="20"/>
          <w:szCs w:val="20"/>
          <w:color w:val="auto"/>
        </w:rPr>
      </w:pPr>
    </w:p>
    <w:p>
      <w:pPr>
        <w:jc w:val="both"/>
        <w:ind w:firstLine="464"/>
        <w:spacing w:after="0" w:line="255" w:lineRule="auto"/>
        <w:rPr>
          <w:sz w:val="20"/>
          <w:szCs w:val="20"/>
          <w:color w:val="auto"/>
        </w:rPr>
      </w:pPr>
      <w:r>
        <w:rPr>
          <w:rFonts w:ascii="Arial" w:cs="Arial" w:eastAsia="Arial" w:hAnsi="Arial"/>
          <w:sz w:val="20"/>
          <w:szCs w:val="20"/>
          <w:color w:val="auto"/>
        </w:rPr>
        <w:t>The Commercial Banking segment contributed net income of $144 million in the recent quarter, compared with $132 million in each of the first and fourth quarters of 2019. The 9% improvement in the first quarter of 2020 as compared with the corresponding quarter of 2019 was primarily the result of an increase in letter of credit and other credit-related fees of $8 million, a $7 million increase in net interest income and a $5 million rise in trading account and foreign exchange gains, due largely to increased activity related to interest rate swap transactions executed on behalf of commercial customers. The higher net interest income reflected increases in average outstanding loan and deposit balances of $1.2 billion and $1.1 billion, respectively, and a seven basis point expansion of the net interest margin on loans, partially offset by a 40 basis point narrowing of the net interest margin on deposits. Partially offsetting those favorable factors was an $8 million increase in the provision for credit losses, mainly resulting from higher net charge-offs (due to net recoveries of previously charged-off loans in 2019’s initial quarter). As compared with 2019’s fourth quarter, the higher recent quarter net income was primarily due to an $8 million decrease in centrally-allocated costs associated with data processing, risk management and other support services provided to the Commercial Banking segment, a $7 million increase to net interest income and a $5 million decline in the provision for credit losses, mainly due to lower charge-offs, offset, in part, by a $8 million decline in letter of credit and other credit-related fees resulting from lower loan syndication fees. The higher net interest income reflected a widening of the net interest margin on loans of four basis points and an increase in average outstanding loan balances of $889 million.</w:t>
      </w:r>
    </w:p>
    <w:p>
      <w:pPr>
        <w:spacing w:after="0" w:line="83" w:lineRule="exact"/>
        <w:rPr>
          <w:sz w:val="20"/>
          <w:szCs w:val="20"/>
          <w:color w:val="auto"/>
        </w:rPr>
      </w:pPr>
    </w:p>
    <w:p>
      <w:pPr>
        <w:jc w:val="both"/>
        <w:ind w:firstLine="464"/>
        <w:spacing w:after="0" w:line="257" w:lineRule="auto"/>
        <w:rPr>
          <w:sz w:val="20"/>
          <w:szCs w:val="20"/>
          <w:color w:val="auto"/>
        </w:rPr>
      </w:pPr>
      <w:r>
        <w:rPr>
          <w:rFonts w:ascii="Arial" w:cs="Arial" w:eastAsia="Arial" w:hAnsi="Arial"/>
          <w:sz w:val="20"/>
          <w:szCs w:val="20"/>
          <w:color w:val="auto"/>
        </w:rPr>
        <w:t>Net income of the Commercial Real Estate segment was $117 million in each of the first quarters of 2020 and 2019, compared with $115 million in the fourth quarter of 2019. The results in the recent quarter as compared with the initial 2019 quarter reflected a $6 million increase in trading account and foreign exchange gains due largely to increased activity related to interest rate swap transactions executed on behalf of commercial customers, partially offset by a decrease of $4 million in net interest income. The lower net interest income was predominantly attributable to a narrowing of the net interest margin on deposits of 42 basis points. The increase in net income in the recent quarter as compared with the final quarter of 2019 resulted primarily from an increase of $5 million in commercial mortgage banking revenues, reflecting higher origination and servicing income, partially offset by a $3 million decline in net interest income, driven by a narrowing of the net interest margin on loans of 11 basis points offset, in part, by higher average outstanding loan balances of $750 million.</w:t>
      </w:r>
    </w:p>
    <w:p>
      <w:pPr>
        <w:spacing w:after="0" w:line="76" w:lineRule="exact"/>
        <w:rPr>
          <w:sz w:val="20"/>
          <w:szCs w:val="20"/>
          <w:color w:val="auto"/>
        </w:rPr>
      </w:pPr>
    </w:p>
    <w:p>
      <w:pPr>
        <w:jc w:val="both"/>
        <w:ind w:firstLine="464"/>
        <w:spacing w:after="0" w:line="257" w:lineRule="auto"/>
        <w:rPr>
          <w:sz w:val="20"/>
          <w:szCs w:val="20"/>
          <w:color w:val="auto"/>
        </w:rPr>
      </w:pPr>
      <w:r>
        <w:rPr>
          <w:rFonts w:ascii="Arial" w:cs="Arial" w:eastAsia="Arial" w:hAnsi="Arial"/>
          <w:sz w:val="20"/>
          <w:szCs w:val="20"/>
          <w:color w:val="auto"/>
        </w:rPr>
        <w:t>Net income earned by the Discretionary Portfolio segment totaled $26 million during the three-month period ended March 31, 2020, compared with $39 million in the year-earlier period and $37 million in the fourth quarter of 2019. As compared with the first quarter of 2019, the recent quarter’s decline in net income was primarily due to $21 million of unrealized valuation losses on marketable equity securities in 2020 (compared with unrealized valuation gains of $12 million in 2019), offset, in part, by a $19 million increase in net interest income. That increase reflected a widening of the net interest margin on average loan balances of 83 basis points. The decline in net income in the recent quarter as compared with the immediately preceding quarter reflected higher unrealized losses on equity securities of $14 million in the recent quarter and a $4 million increase in the provision for credit losses, due to higher net charge-offs, partially offset by an increase of $3 million in net interest income. The improvement in net interest income reflected a 32 basis point widening of the net interest margin on loans, partially offset by a 31 basis point narrowing of the margin on investment securities.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74" w:name="page75"/>
    <w:bookmarkEnd w:id="74"/>
    <w:p>
      <w:pPr>
        <w:jc w:val="both"/>
        <w:ind w:firstLine="464"/>
        <w:spacing w:after="0" w:line="257" w:lineRule="auto"/>
        <w:rPr>
          <w:sz w:val="20"/>
          <w:szCs w:val="20"/>
          <w:color w:val="auto"/>
        </w:rPr>
      </w:pPr>
      <w:r>
        <w:rPr>
          <w:rFonts w:ascii="Arial" w:cs="Arial" w:eastAsia="Arial" w:hAnsi="Arial"/>
          <w:sz w:val="20"/>
          <w:szCs w:val="20"/>
          <w:color w:val="auto"/>
        </w:rPr>
        <w:t>The Residential Mortgage Banking segment contributed net income of $25 million in the initial 2020 quarter, compared with $13 million in the year-earlier quarter and $36 million in 2019’s fourth quarter. The higher net income in the recent quarter as compared with the first quarter of 2019 was due to higher revenues of $27 million associated with mortgage origination and sales activities (including intersegment revenues) and $10 million in servicing revenues (including intersegment revenues), partially offset by a $10 million addition to the valuation allowance for capitalized mortgage servicing rights, $7 million of higher servicing-related costs and a $4 million rise in personnel-related costs. As compared with the final quarter of 2019, lower net income in the recent quarter was primarily the result of changes in the valuation allowance for capitalized mortgage servicing rights. That allowance was increased by $10 million during the recent quarter, compared with a reduction of $16 million in the fourth quarter of 2019. Partially offsetting that unfavorable impact were higher revenues of $7 million associated with mortgage origination and sales activities (including intersegment revenues).</w:t>
      </w:r>
    </w:p>
    <w:p>
      <w:pPr>
        <w:spacing w:after="0" w:line="72" w:lineRule="exact"/>
        <w:rPr>
          <w:sz w:val="20"/>
          <w:szCs w:val="20"/>
          <w:color w:val="auto"/>
        </w:rPr>
      </w:pPr>
    </w:p>
    <w:p>
      <w:pPr>
        <w:jc w:val="both"/>
        <w:ind w:firstLine="464"/>
        <w:spacing w:after="0" w:line="271" w:lineRule="auto"/>
        <w:rPr>
          <w:sz w:val="20"/>
          <w:szCs w:val="20"/>
          <w:color w:val="auto"/>
        </w:rPr>
      </w:pPr>
      <w:r>
        <w:rPr>
          <w:rFonts w:ascii="Arial" w:cs="Arial" w:eastAsia="Arial" w:hAnsi="Arial"/>
          <w:sz w:val="19"/>
          <w:szCs w:val="19"/>
          <w:color w:val="auto"/>
        </w:rPr>
        <w:t>Net income of the Retail Banking segment totaled $110 million in each of the first quarter of 2020 and the fourth quarter of 2019, compared with $145 million in the first quarter of 2019. The 24% decline in net income in the recent quarter as compared with the year-earlier period reflected a $25 million decrease in net interest income, a $6 million increase in the provision for credit losses, due to higher net charge-offs, a $6 million increase in personnel-related costs and a $6 million increase in centrally-allocated costs, largely associated with data processing, risk management and other support services provided to the Retail Banking segment. The lower net interest income reflected a narrowing of the net interest margin on deposits of 41 basis points, partially offset by an increase in average outstanding loan balances of $1.6 billion and a widening of the net interest margin on loans of 14 basis points. As compared with the fourth quarter of 2019, the recent quarter’s results reflected decreases of $9 million in advertising and marketing expenses and $8 million in centrally-allocated costs largely associated with data processing, risk management and other support services provided to the Retail Banking segment. Those favorable factors were offset, in part, by $7 million decreases in service charges on deposit accounts, due to seasonally lower charges related to overdraft fees and debit card transactions, and net interest income, reflecting a narrowing of the net interest margin on deposits of 14 basis points.</w:t>
      </w:r>
    </w:p>
    <w:p>
      <w:pPr>
        <w:spacing w:after="0" w:line="60" w:lineRule="exact"/>
        <w:rPr>
          <w:sz w:val="20"/>
          <w:szCs w:val="20"/>
          <w:color w:val="auto"/>
        </w:rPr>
      </w:pPr>
    </w:p>
    <w:p>
      <w:pPr>
        <w:jc w:val="both"/>
        <w:ind w:firstLine="464"/>
        <w:spacing w:after="0" w:line="269" w:lineRule="auto"/>
        <w:rPr>
          <w:sz w:val="20"/>
          <w:szCs w:val="20"/>
          <w:color w:val="auto"/>
        </w:rPr>
      </w:pPr>
      <w:r>
        <w:rPr>
          <w:rFonts w:ascii="Arial" w:cs="Arial" w:eastAsia="Arial" w:hAnsi="Arial"/>
          <w:sz w:val="19"/>
          <w:szCs w:val="19"/>
          <w:color w:val="auto"/>
        </w:rPr>
        <w:t>The “All Other” category reflects other activities of the Company that are not directly attributable to the reported segments. Reflected in this category are the amortization of core deposit and other intangible assets resulting from the acquisitions of financial institutions, distributed income from BLG, merger-related expenses resulting from acquisitions and the net impact of the Company’s allocation methodologies for internal transfers for funding charges and credits associated with the earning assets and interest-bearing liabilities of the Company’s reportable segments and the provision for credit losses. The “All Other” category also includes trust income of the Company that reflects the ICS and WAS business activities. The various components of the “All Other” category resulted in net losses totaling $186 million and $7 million in the first quarters of 2020 and 2019, respectively, compared with net income of $26 million in the fourth quarter of 2019. The net loss in the first quarter of 2020 as compared with the year-earlier quarter reflected an increase to the provision for credit losses of $204 million, higher personnel-related expenses of $22 million, lower income from BLG (a $23 million income distribution in 2020, compared with a $37 million income distribution in 2019), and the unfavorable impact from the Company's allocation methodologies for internal transfers for funding charges and credits associated with earning assets and interest-bearing liabilities of the Company's reportable segments. Those unfavorable factors were partially offset by a $50 million addition to the reserve for legal matters in the initial quarter of 2019 and higher trust income in the recent quarter of $16 million. As compared with the immediately preceding quarter, the net loss in the recent quarter reflected an increase to the provision for credit losses of $190 million and higher personnel-related expenses of $66 million, reflecting annual merit increases and seasonally higher incentive compensation, stock-based compensation and employee benefits expenses. Those unfavorable factors were offset, in part, by a $23 million income distribution from BLG in the first quarter of 2020.</w:t>
      </w:r>
    </w:p>
    <w:p>
      <w:pPr>
        <w:spacing w:after="0" w:line="6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Recent Accounting Developments</w:t>
      </w:r>
    </w:p>
    <w:p>
      <w:pPr>
        <w:spacing w:after="0" w:line="115" w:lineRule="exact"/>
        <w:rPr>
          <w:sz w:val="20"/>
          <w:szCs w:val="20"/>
          <w:color w:val="auto"/>
        </w:rPr>
      </w:pPr>
    </w:p>
    <w:p>
      <w:pPr>
        <w:spacing w:after="0"/>
        <w:rPr>
          <w:sz w:val="20"/>
          <w:szCs w:val="20"/>
          <w:color w:val="auto"/>
        </w:rPr>
      </w:pPr>
      <w:r>
        <w:rPr>
          <w:rFonts w:ascii="Arial" w:cs="Arial" w:eastAsia="Arial" w:hAnsi="Arial"/>
          <w:sz w:val="21"/>
          <w:szCs w:val="21"/>
          <w:color w:val="auto"/>
        </w:rPr>
        <w:t>A discussion of recent accounting developments is included in note 15 of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75" w:name="page76"/>
    <w:bookmarkEnd w:id="75"/>
    <w:p>
      <w:pPr>
        <w:spacing w:after="0"/>
        <w:rPr>
          <w:sz w:val="20"/>
          <w:szCs w:val="20"/>
          <w:color w:val="auto"/>
        </w:rPr>
      </w:pPr>
      <w:r>
        <w:rPr>
          <w:rFonts w:ascii="Arial" w:cs="Arial" w:eastAsia="Arial" w:hAnsi="Arial"/>
          <w:sz w:val="21"/>
          <w:szCs w:val="21"/>
          <w:b w:val="1"/>
          <w:bCs w:val="1"/>
          <w:color w:val="auto"/>
        </w:rPr>
        <w:t>Forward-Looking Statements</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20"/>
          <w:szCs w:val="20"/>
          <w:color w:val="auto"/>
        </w:rPr>
        <w:t>Management’s Discussion and Analysis of Financial Condition and Results of Operations and other sections of this quarterly report contain forward-looking statements that are based on current expectations, estimates and projections about the Company’s business, management’s beliefs and assumptions made by management. Any statement that does not describe historical or current facts is a forward-looking statement, including statements regarding the potential effects of the COVID-19 pandemic on the Company’s business, financial condition, liquidity and results of operations. Forward-looking statements are typically identified by words such as “believe,” “expect,” “anticipate,” “intend,” “target,” “estimate,” “continue,” “positions,” “prospects” or “potential,” by future conditional verbs such as “will,” “would,” “should,” “could,” or “may,” or by variations of such words or by similar expressions. These statements are not guarantees of future performance and involve certain risks, uncertainties and assumptions (“Future Factors”) which are difficult to predict. Therefore, actual outcomes and results may differ materially from what is expressed or forecasted in such forward-looking statements. Forward-looking statements speak only as of the date they are made and the Company assumes no duty to update forward-looking statements.</w:t>
      </w:r>
    </w:p>
    <w:p>
      <w:pPr>
        <w:spacing w:after="0" w:line="79" w:lineRule="exact"/>
        <w:rPr>
          <w:sz w:val="20"/>
          <w:szCs w:val="20"/>
          <w:color w:val="auto"/>
        </w:rPr>
      </w:pPr>
    </w:p>
    <w:p>
      <w:pPr>
        <w:jc w:val="both"/>
        <w:ind w:firstLine="562"/>
        <w:spacing w:after="0" w:line="269" w:lineRule="auto"/>
        <w:rPr>
          <w:sz w:val="20"/>
          <w:szCs w:val="20"/>
          <w:color w:val="auto"/>
        </w:rPr>
      </w:pPr>
      <w:r>
        <w:rPr>
          <w:rFonts w:ascii="Arial" w:cs="Arial" w:eastAsia="Arial" w:hAnsi="Arial"/>
          <w:sz w:val="19"/>
          <w:szCs w:val="19"/>
          <w:color w:val="auto"/>
        </w:rPr>
        <w:t>Future Factors include changes in interest rates, spreads on earning assets and interest-bearing liabilities, and interest rate sensitivity; prepayment speeds, loan originations, credit losses and market values on loans, collateral securing loans, and other assets; sources of liquidity; common shares outstanding; common stock price volatility; fair value of and number of stock-based compensation awards to be issued in future periods; risks and uncertainties relating to the impact of the COVID-19 pandemic; the impact of changes in market values on trust-related revenues; legislation and/or regulation affecting the financial services industry as a whole, and M&amp;T and its subsidiaries individually or collectively, including tax legislation or regulation; regulatory supervision and oversight, including monetary policy and capital requirements; changes in accounting policies or procedures as may be required by the Financial Accounting Standards Board, regulatory agencies or legislation; increasing price and product/service competition by competitors, including new entrants; rapid technological developments and changes; the ability to continue to introduce competitive new products and services on a timely, cost-effective basis; the mix of products/services; containing costs and expenses; governmental and public policy changes; protection and validity of intellectual property rights; reliance on large customers; technological, implementation and cost/financial risks in large, multi-year contracts; the outcome of pending and future litigation and governmental proceedings, including tax-related examinations and other matters; continued availability of financing; financial resources in the amounts, at the times and on the terms required to support M&amp;T and its subsidiaries' future businesses; and material differences in the actual financial results of merger, acquisition and investment activities compared with M&amp;T's initial expectations, including the full realization of anticipated cost savings and revenue enhancements.</w:t>
      </w:r>
    </w:p>
    <w:p>
      <w:pPr>
        <w:spacing w:after="0" w:line="73" w:lineRule="exact"/>
        <w:rPr>
          <w:sz w:val="20"/>
          <w:szCs w:val="20"/>
          <w:color w:val="auto"/>
        </w:rPr>
      </w:pPr>
    </w:p>
    <w:p>
      <w:pPr>
        <w:jc w:val="both"/>
        <w:ind w:firstLine="562"/>
        <w:spacing w:after="0" w:line="265" w:lineRule="auto"/>
        <w:rPr>
          <w:sz w:val="20"/>
          <w:szCs w:val="20"/>
          <w:color w:val="auto"/>
        </w:rPr>
      </w:pPr>
      <w:r>
        <w:rPr>
          <w:rFonts w:ascii="Arial" w:cs="Arial" w:eastAsia="Arial" w:hAnsi="Arial"/>
          <w:sz w:val="20"/>
          <w:szCs w:val="20"/>
          <w:color w:val="auto"/>
        </w:rPr>
        <w:t>These are representative of the Future Factors that could affect the outcome of the forward-looking statements. In addition, such statements could be affected by general industry and market conditions and growth rates, general economic and political conditions, either nationally or in the states in which M&amp;T and its subsidiaries do business, including interest rate and currency exchange rate fluctuations, changes and trends in the securities markets, and other Future Factors.</w:t>
      </w:r>
    </w:p>
    <w:p>
      <w:pPr>
        <w:spacing w:after="0" w:line="63" w:lineRule="exact"/>
        <w:rPr>
          <w:sz w:val="20"/>
          <w:szCs w:val="20"/>
          <w:color w:val="auto"/>
        </w:rPr>
      </w:pPr>
    </w:p>
    <w:p>
      <w:pPr>
        <w:jc w:val="both"/>
        <w:ind w:firstLine="562"/>
        <w:spacing w:after="0" w:line="245" w:lineRule="auto"/>
        <w:rPr>
          <w:sz w:val="20"/>
          <w:szCs w:val="20"/>
          <w:color w:val="auto"/>
        </w:rPr>
      </w:pPr>
      <w:r>
        <w:rPr>
          <w:rFonts w:ascii="Arial" w:cs="Arial" w:eastAsia="Arial" w:hAnsi="Arial"/>
          <w:sz w:val="21"/>
          <w:szCs w:val="21"/>
          <w:color w:val="auto"/>
        </w:rPr>
        <w:t>Further, statements about the potential effects of the COVID-19 pandemic on the Company’s business, financial condition, liquidity and results of operations may constitute forward-looking statements and are subject to the risk that the actual effects may differ, possibly materially, from what is reflected in those forward-looking statements due to factors and future developments that are uncertain, unpredictable and in many cases beyond the Company’s control, including the scope and duration of the pandemic, actions taken by governmental authorities in response to the pandemic, and the direct and indirect impact of the pandemic on customers, clients, third parties and the Company.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4" w:right="339" w:bottom="1440" w:gutter="0" w:footer="0" w:header="0"/>
        </w:sectPr>
      </w:pPr>
    </w:p>
    <w:bookmarkStart w:id="76" w:name="page77"/>
    <w:bookmarkEnd w:id="76"/>
    <w:p>
      <w:pPr>
        <w:jc w:val="center"/>
        <w:spacing w:after="0"/>
        <w:rPr>
          <w:sz w:val="20"/>
          <w:szCs w:val="20"/>
          <w:color w:val="auto"/>
        </w:rPr>
      </w:pPr>
      <w:r>
        <w:rPr>
          <w:rFonts w:ascii="Arial" w:cs="Arial" w:eastAsia="Arial" w:hAnsi="Arial"/>
          <w:sz w:val="20"/>
          <w:szCs w:val="20"/>
          <w:color w:val="auto"/>
        </w:rPr>
        <w:t>M&amp;T BANK CORPORATION AND SUBSIDIARIES</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Table 1</w:t>
      </w:r>
    </w:p>
    <w:p>
      <w:pPr>
        <w:spacing w:after="0"/>
        <w:rPr>
          <w:sz w:val="20"/>
          <w:szCs w:val="20"/>
          <w:color w:val="auto"/>
        </w:rPr>
      </w:pPr>
      <w:r>
        <w:rPr>
          <w:rFonts w:ascii="Arial" w:cs="Arial" w:eastAsia="Arial" w:hAnsi="Arial"/>
          <w:sz w:val="20"/>
          <w:szCs w:val="20"/>
          <w:color w:val="auto"/>
        </w:rPr>
        <w:t>QUARTERLY TRENDS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5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9"/>
              </w:rPr>
              <w:t>2019 Quarters</w:t>
            </w:r>
          </w:p>
        </w:tc>
        <w:tc>
          <w:tcPr>
            <w:tcW w:w="3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500" w:type="dxa"/>
            <w:vAlign w:val="bottom"/>
            <w:tcBorders>
              <w:bottom w:val="single" w:sz="8" w:color="CFF0FC"/>
            </w:tcBorders>
          </w:tcPr>
          <w:p>
            <w:pPr>
              <w:spacing w:after="0"/>
              <w:rPr>
                <w:sz w:val="13"/>
                <w:szCs w:val="13"/>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3"/>
              </w:rPr>
              <w:t>First Quarter</w:t>
            </w:r>
          </w:p>
        </w:tc>
        <w:tc>
          <w:tcPr>
            <w:tcW w:w="100" w:type="dxa"/>
            <w:vAlign w:val="bottom"/>
            <w:tcBorders>
              <w:bottom w:val="single" w:sz="8" w:color="CFF0FC"/>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80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Fourth</w:t>
            </w:r>
          </w:p>
        </w:tc>
        <w:tc>
          <w:tcPr>
            <w:tcW w:w="34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Third</w:t>
            </w:r>
          </w:p>
        </w:tc>
        <w:tc>
          <w:tcPr>
            <w:tcW w:w="32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Second</w:t>
            </w:r>
          </w:p>
        </w:tc>
        <w:tc>
          <w:tcPr>
            <w:tcW w:w="34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First</w:t>
            </w:r>
          </w:p>
        </w:tc>
        <w:tc>
          <w:tcPr>
            <w:tcW w:w="100" w:type="dxa"/>
            <w:vAlign w:val="bottom"/>
            <w:tcBorders>
              <w:bottom w:val="single" w:sz="8" w:color="CFF0FC"/>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500" w:type="dxa"/>
            <w:vAlign w:val="bottom"/>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Earnings and dividends</w:t>
            </w: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00" w:type="dxa"/>
            <w:vAlign w:val="bottom"/>
          </w:tcPr>
          <w:p>
            <w:pPr>
              <w:spacing w:after="0" w:line="149" w:lineRule="exact"/>
              <w:rPr>
                <w:sz w:val="20"/>
                <w:szCs w:val="20"/>
                <w:color w:val="auto"/>
              </w:rPr>
            </w:pPr>
            <w:r>
              <w:rPr>
                <w:rFonts w:ascii="Arial" w:cs="Arial" w:eastAsia="Arial" w:hAnsi="Arial"/>
                <w:sz w:val="13"/>
                <w:szCs w:val="13"/>
                <w:i w:val="1"/>
                <w:iCs w:val="1"/>
                <w:color w:val="auto"/>
              </w:rPr>
              <w:t>Amounts in thousands, except per share</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00" w:type="dxa"/>
            <w:vAlign w:val="bottom"/>
            <w:shd w:val="clear" w:color="auto" w:fill="CFF0FC"/>
          </w:tcPr>
          <w:p>
            <w:pPr>
              <w:spacing w:after="0" w:line="149" w:lineRule="exact"/>
              <w:rPr>
                <w:sz w:val="20"/>
                <w:szCs w:val="20"/>
                <w:color w:val="auto"/>
              </w:rPr>
            </w:pPr>
            <w:r>
              <w:rPr>
                <w:rFonts w:ascii="Arial" w:cs="Arial" w:eastAsia="Arial" w:hAnsi="Arial"/>
                <w:sz w:val="13"/>
                <w:szCs w:val="13"/>
                <w:color w:val="auto"/>
              </w:rPr>
              <w:t>Interest income (taxable-equivalent basis)</w:t>
            </w:r>
          </w:p>
        </w:tc>
        <w:tc>
          <w:tcPr>
            <w:tcW w:w="160" w:type="dxa"/>
            <w:vAlign w:val="bottom"/>
            <w:shd w:val="clear" w:color="auto" w:fill="CFF0FC"/>
          </w:tcPr>
          <w:p>
            <w:pPr>
              <w:jc w:val="right"/>
              <w:ind w:right="47"/>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1,125,482</w:t>
            </w: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1,191,295</w:t>
            </w:r>
          </w:p>
        </w:tc>
        <w:tc>
          <w:tcPr>
            <w:tcW w:w="3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1,235,048</w:t>
            </w:r>
          </w:p>
        </w:tc>
        <w:tc>
          <w:tcPr>
            <w:tcW w:w="3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1,243,838</w:t>
            </w:r>
          </w:p>
        </w:tc>
        <w:tc>
          <w:tcPr>
            <w:tcW w:w="3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1,232,276</w:t>
            </w: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00" w:type="dxa"/>
            <w:vAlign w:val="bottom"/>
            <w:tcBorders>
              <w:bottom w:val="single" w:sz="8" w:color="CFF0FC"/>
            </w:tcBorders>
          </w:tcPr>
          <w:p>
            <w:pPr>
              <w:spacing w:after="0" w:line="149" w:lineRule="exact"/>
              <w:rPr>
                <w:sz w:val="20"/>
                <w:szCs w:val="20"/>
                <w:color w:val="auto"/>
              </w:rPr>
            </w:pPr>
            <w:r>
              <w:rPr>
                <w:rFonts w:ascii="Arial" w:cs="Arial" w:eastAsia="Arial" w:hAnsi="Arial"/>
                <w:sz w:val="13"/>
                <w:szCs w:val="13"/>
                <w:color w:val="auto"/>
              </w:rPr>
              <w:t>Interest expense</w:t>
            </w: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3"/>
                <w:szCs w:val="13"/>
                <w:color w:val="auto"/>
              </w:rPr>
              <w:t>143,614</w:t>
            </w:r>
          </w:p>
        </w:tc>
        <w:tc>
          <w:tcPr>
            <w:tcW w:w="100" w:type="dxa"/>
            <w:vAlign w:val="bottom"/>
            <w:tcBorders>
              <w:bottom w:val="single" w:sz="8" w:color="CFF0FC"/>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3"/>
                <w:szCs w:val="13"/>
                <w:color w:val="auto"/>
              </w:rPr>
              <w:t>177,070</w:t>
            </w:r>
          </w:p>
        </w:tc>
        <w:tc>
          <w:tcPr>
            <w:tcW w:w="340" w:type="dxa"/>
            <w:vAlign w:val="bottom"/>
            <w:tcBorders>
              <w:bottom w:val="single" w:sz="8" w:color="CFF0FC"/>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3"/>
                <w:szCs w:val="13"/>
                <w:color w:val="auto"/>
              </w:rPr>
              <w:t>199,579</w:t>
            </w:r>
          </w:p>
        </w:tc>
        <w:tc>
          <w:tcPr>
            <w:tcW w:w="320" w:type="dxa"/>
            <w:vAlign w:val="bottom"/>
            <w:tcBorders>
              <w:bottom w:val="single" w:sz="8" w:color="CFF0FC"/>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3"/>
                <w:szCs w:val="13"/>
                <w:color w:val="auto"/>
              </w:rPr>
              <w:t>196,432</w:t>
            </w:r>
          </w:p>
        </w:tc>
        <w:tc>
          <w:tcPr>
            <w:tcW w:w="340" w:type="dxa"/>
            <w:vAlign w:val="bottom"/>
            <w:tcBorders>
              <w:bottom w:val="single" w:sz="8" w:color="CFF0FC"/>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3"/>
                <w:szCs w:val="13"/>
                <w:color w:val="auto"/>
              </w:rPr>
              <w:t>176,249</w:t>
            </w:r>
          </w:p>
        </w:tc>
        <w:tc>
          <w:tcPr>
            <w:tcW w:w="100" w:type="dxa"/>
            <w:vAlign w:val="bottom"/>
            <w:tcBorders>
              <w:bottom w:val="single" w:sz="8" w:color="CFF0FC"/>
            </w:tcBorders>
          </w:tcPr>
          <w:p>
            <w:pPr>
              <w:spacing w:after="0"/>
              <w:rPr>
                <w:sz w:val="12"/>
                <w:szCs w:val="12"/>
                <w:color w:val="auto"/>
              </w:rPr>
            </w:pPr>
          </w:p>
        </w:tc>
        <w:tc>
          <w:tcPr>
            <w:tcW w:w="26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50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Net interest income</w:t>
            </w: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981,868</w:t>
            </w: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1,014,225</w:t>
            </w:r>
          </w:p>
        </w:tc>
        <w:tc>
          <w:tcPr>
            <w:tcW w:w="3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1,035,469</w:t>
            </w:r>
          </w:p>
        </w:tc>
        <w:tc>
          <w:tcPr>
            <w:tcW w:w="3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1,047,406</w:t>
            </w:r>
          </w:p>
        </w:tc>
        <w:tc>
          <w:tcPr>
            <w:tcW w:w="3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1,056,027</w:t>
            </w: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00" w:type="dxa"/>
            <w:vAlign w:val="bottom"/>
          </w:tcPr>
          <w:p>
            <w:pPr>
              <w:spacing w:after="0" w:line="149" w:lineRule="exact"/>
              <w:rPr>
                <w:sz w:val="20"/>
                <w:szCs w:val="20"/>
                <w:color w:val="auto"/>
              </w:rPr>
            </w:pPr>
            <w:r>
              <w:rPr>
                <w:rFonts w:ascii="Arial" w:cs="Arial" w:eastAsia="Arial" w:hAnsi="Arial"/>
                <w:sz w:val="13"/>
                <w:szCs w:val="13"/>
                <w:color w:val="auto"/>
              </w:rPr>
              <w:t>Less: provision for credit losses</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3"/>
                <w:szCs w:val="13"/>
                <w:color w:val="auto"/>
              </w:rPr>
              <w:t>250,000</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3"/>
                <w:szCs w:val="13"/>
                <w:color w:val="auto"/>
              </w:rPr>
              <w:t>54,000</w:t>
            </w:r>
          </w:p>
        </w:tc>
        <w:tc>
          <w:tcPr>
            <w:tcW w:w="3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3"/>
                <w:szCs w:val="13"/>
                <w:color w:val="auto"/>
              </w:rPr>
              <w:t>45,000</w:t>
            </w:r>
          </w:p>
        </w:tc>
        <w:tc>
          <w:tcPr>
            <w:tcW w:w="3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3"/>
                <w:szCs w:val="13"/>
                <w:color w:val="auto"/>
              </w:rPr>
              <w:t>55,000</w:t>
            </w:r>
          </w:p>
        </w:tc>
        <w:tc>
          <w:tcPr>
            <w:tcW w:w="3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3"/>
                <w:szCs w:val="13"/>
                <w:color w:val="auto"/>
              </w:rPr>
              <w:t>22,000</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00" w:type="dxa"/>
            <w:vAlign w:val="bottom"/>
            <w:shd w:val="clear" w:color="auto" w:fill="CFF0FC"/>
          </w:tcPr>
          <w:p>
            <w:pPr>
              <w:spacing w:after="0" w:line="149" w:lineRule="exact"/>
              <w:rPr>
                <w:sz w:val="20"/>
                <w:szCs w:val="20"/>
                <w:color w:val="auto"/>
              </w:rPr>
            </w:pPr>
            <w:r>
              <w:rPr>
                <w:rFonts w:ascii="Arial" w:cs="Arial" w:eastAsia="Arial" w:hAnsi="Arial"/>
                <w:sz w:val="13"/>
                <w:szCs w:val="13"/>
                <w:color w:val="auto"/>
              </w:rPr>
              <w:t>Other income</w:t>
            </w: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529,360</w:t>
            </w: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521,040</w:t>
            </w:r>
          </w:p>
        </w:tc>
        <w:tc>
          <w:tcPr>
            <w:tcW w:w="3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527,779</w:t>
            </w:r>
          </w:p>
        </w:tc>
        <w:tc>
          <w:tcPr>
            <w:tcW w:w="3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512,095</w:t>
            </w:r>
          </w:p>
        </w:tc>
        <w:tc>
          <w:tcPr>
            <w:tcW w:w="3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500,765</w:t>
            </w: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00" w:type="dxa"/>
            <w:vAlign w:val="bottom"/>
            <w:tcBorders>
              <w:bottom w:val="single" w:sz="8" w:color="CFF0FC"/>
            </w:tcBorders>
          </w:tcPr>
          <w:p>
            <w:pPr>
              <w:spacing w:after="0" w:line="149" w:lineRule="exact"/>
              <w:rPr>
                <w:sz w:val="20"/>
                <w:szCs w:val="20"/>
                <w:color w:val="auto"/>
              </w:rPr>
            </w:pPr>
            <w:r>
              <w:rPr>
                <w:rFonts w:ascii="Arial" w:cs="Arial" w:eastAsia="Arial" w:hAnsi="Arial"/>
                <w:sz w:val="13"/>
                <w:szCs w:val="13"/>
                <w:color w:val="auto"/>
              </w:rPr>
              <w:t>Less: other expense</w:t>
            </w: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3"/>
                <w:szCs w:val="13"/>
                <w:color w:val="auto"/>
              </w:rPr>
              <w:t>906,416</w:t>
            </w:r>
          </w:p>
        </w:tc>
        <w:tc>
          <w:tcPr>
            <w:tcW w:w="100" w:type="dxa"/>
            <w:vAlign w:val="bottom"/>
            <w:tcBorders>
              <w:bottom w:val="single" w:sz="8" w:color="CFF0FC"/>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3"/>
                <w:szCs w:val="13"/>
                <w:color w:val="auto"/>
              </w:rPr>
              <w:t>823,683</w:t>
            </w:r>
          </w:p>
        </w:tc>
        <w:tc>
          <w:tcPr>
            <w:tcW w:w="340" w:type="dxa"/>
            <w:vAlign w:val="bottom"/>
            <w:tcBorders>
              <w:bottom w:val="single" w:sz="8" w:color="CFF0FC"/>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3"/>
                <w:szCs w:val="13"/>
                <w:color w:val="auto"/>
              </w:rPr>
              <w:t>877,619</w:t>
            </w:r>
          </w:p>
        </w:tc>
        <w:tc>
          <w:tcPr>
            <w:tcW w:w="320" w:type="dxa"/>
            <w:vAlign w:val="bottom"/>
            <w:tcBorders>
              <w:bottom w:val="single" w:sz="8" w:color="CFF0FC"/>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3"/>
                <w:szCs w:val="13"/>
                <w:color w:val="auto"/>
              </w:rPr>
              <w:t>873,032</w:t>
            </w:r>
          </w:p>
        </w:tc>
        <w:tc>
          <w:tcPr>
            <w:tcW w:w="340" w:type="dxa"/>
            <w:vAlign w:val="bottom"/>
            <w:tcBorders>
              <w:bottom w:val="single" w:sz="8" w:color="CFF0FC"/>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3"/>
                <w:szCs w:val="13"/>
                <w:color w:val="auto"/>
              </w:rPr>
              <w:t>894,348</w:t>
            </w:r>
          </w:p>
        </w:tc>
        <w:tc>
          <w:tcPr>
            <w:tcW w:w="100" w:type="dxa"/>
            <w:vAlign w:val="bottom"/>
            <w:tcBorders>
              <w:bottom w:val="single" w:sz="8" w:color="CFF0FC"/>
            </w:tcBorders>
          </w:tcPr>
          <w:p>
            <w:pPr>
              <w:spacing w:after="0"/>
              <w:rPr>
                <w:sz w:val="12"/>
                <w:szCs w:val="12"/>
                <w:color w:val="auto"/>
              </w:rPr>
            </w:pPr>
          </w:p>
        </w:tc>
        <w:tc>
          <w:tcPr>
            <w:tcW w:w="26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50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Income before income taxes</w:t>
            </w: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354,812</w:t>
            </w: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657,582</w:t>
            </w:r>
          </w:p>
        </w:tc>
        <w:tc>
          <w:tcPr>
            <w:tcW w:w="3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640,629</w:t>
            </w:r>
          </w:p>
        </w:tc>
        <w:tc>
          <w:tcPr>
            <w:tcW w:w="3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631,469</w:t>
            </w:r>
          </w:p>
        </w:tc>
        <w:tc>
          <w:tcPr>
            <w:tcW w:w="3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640,444</w:t>
            </w: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00" w:type="dxa"/>
            <w:vAlign w:val="bottom"/>
          </w:tcPr>
          <w:p>
            <w:pPr>
              <w:spacing w:after="0" w:line="149" w:lineRule="exact"/>
              <w:rPr>
                <w:sz w:val="20"/>
                <w:szCs w:val="20"/>
                <w:color w:val="auto"/>
              </w:rPr>
            </w:pPr>
            <w:r>
              <w:rPr>
                <w:rFonts w:ascii="Arial" w:cs="Arial" w:eastAsia="Arial" w:hAnsi="Arial"/>
                <w:sz w:val="13"/>
                <w:szCs w:val="13"/>
                <w:color w:val="auto"/>
              </w:rPr>
              <w:t>Applicable income taxes</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3"/>
                <w:szCs w:val="13"/>
                <w:color w:val="auto"/>
              </w:rPr>
              <w:t>80,927</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3"/>
                <w:szCs w:val="13"/>
                <w:color w:val="auto"/>
              </w:rPr>
              <w:t>159,124</w:t>
            </w:r>
          </w:p>
        </w:tc>
        <w:tc>
          <w:tcPr>
            <w:tcW w:w="3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3"/>
                <w:szCs w:val="13"/>
                <w:color w:val="auto"/>
              </w:rPr>
              <w:t>154,969</w:t>
            </w:r>
          </w:p>
        </w:tc>
        <w:tc>
          <w:tcPr>
            <w:tcW w:w="3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3"/>
                <w:szCs w:val="13"/>
                <w:color w:val="auto"/>
              </w:rPr>
              <w:t>152,284</w:t>
            </w:r>
          </w:p>
        </w:tc>
        <w:tc>
          <w:tcPr>
            <w:tcW w:w="3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3"/>
                <w:szCs w:val="13"/>
                <w:color w:val="auto"/>
              </w:rPr>
              <w:t>151,735</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00" w:type="dxa"/>
            <w:vAlign w:val="bottom"/>
            <w:shd w:val="clear" w:color="auto" w:fill="CFF0FC"/>
          </w:tcPr>
          <w:p>
            <w:pPr>
              <w:spacing w:after="0" w:line="149" w:lineRule="exact"/>
              <w:rPr>
                <w:sz w:val="20"/>
                <w:szCs w:val="20"/>
                <w:color w:val="auto"/>
              </w:rPr>
            </w:pPr>
            <w:r>
              <w:rPr>
                <w:rFonts w:ascii="Arial" w:cs="Arial" w:eastAsia="Arial" w:hAnsi="Arial"/>
                <w:sz w:val="13"/>
                <w:szCs w:val="13"/>
                <w:color w:val="auto"/>
              </w:rPr>
              <w:t>Taxable-equivalent adjustment</w:t>
            </w:r>
          </w:p>
        </w:tc>
        <w:tc>
          <w:tcPr>
            <w:tcW w:w="160" w:type="dxa"/>
            <w:vAlign w:val="bottom"/>
            <w:tcBorders>
              <w:bottom w:val="single" w:sz="8" w:color="auto"/>
            </w:tcBorders>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jc w:val="right"/>
              <w:spacing w:after="0" w:line="149" w:lineRule="exact"/>
              <w:rPr>
                <w:sz w:val="20"/>
                <w:szCs w:val="20"/>
                <w:color w:val="auto"/>
              </w:rPr>
            </w:pPr>
            <w:r>
              <w:rPr>
                <w:rFonts w:ascii="Arial" w:cs="Arial" w:eastAsia="Arial" w:hAnsi="Arial"/>
                <w:sz w:val="13"/>
                <w:szCs w:val="13"/>
                <w:color w:val="auto"/>
              </w:rPr>
              <w:t>5,063</w:t>
            </w: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tcBorders>
              <w:bottom w:val="single" w:sz="8" w:color="auto"/>
            </w:tcBorders>
            <w:shd w:val="clear" w:color="auto" w:fill="CFF0FC"/>
          </w:tcPr>
          <w:p>
            <w:pPr>
              <w:jc w:val="right"/>
              <w:spacing w:after="0" w:line="149" w:lineRule="exact"/>
              <w:rPr>
                <w:sz w:val="20"/>
                <w:szCs w:val="20"/>
                <w:color w:val="auto"/>
              </w:rPr>
            </w:pPr>
            <w:r>
              <w:rPr>
                <w:rFonts w:ascii="Arial" w:cs="Arial" w:eastAsia="Arial" w:hAnsi="Arial"/>
                <w:sz w:val="13"/>
                <w:szCs w:val="13"/>
                <w:color w:val="auto"/>
              </w:rPr>
              <w:t>5,392</w:t>
            </w:r>
          </w:p>
        </w:tc>
        <w:tc>
          <w:tcPr>
            <w:tcW w:w="340" w:type="dxa"/>
            <w:vAlign w:val="bottom"/>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jc w:val="right"/>
              <w:spacing w:after="0" w:line="149" w:lineRule="exact"/>
              <w:rPr>
                <w:sz w:val="20"/>
                <w:szCs w:val="20"/>
                <w:color w:val="auto"/>
              </w:rPr>
            </w:pPr>
            <w:r>
              <w:rPr>
                <w:rFonts w:ascii="Arial" w:cs="Arial" w:eastAsia="Arial" w:hAnsi="Arial"/>
                <w:sz w:val="13"/>
                <w:szCs w:val="13"/>
                <w:color w:val="auto"/>
              </w:rPr>
              <w:t>5,579</w:t>
            </w:r>
          </w:p>
        </w:tc>
        <w:tc>
          <w:tcPr>
            <w:tcW w:w="320" w:type="dxa"/>
            <w:vAlign w:val="bottom"/>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jc w:val="right"/>
              <w:spacing w:after="0" w:line="149" w:lineRule="exact"/>
              <w:rPr>
                <w:sz w:val="20"/>
                <w:szCs w:val="20"/>
                <w:color w:val="auto"/>
              </w:rPr>
            </w:pPr>
            <w:r>
              <w:rPr>
                <w:rFonts w:ascii="Arial" w:cs="Arial" w:eastAsia="Arial" w:hAnsi="Arial"/>
                <w:sz w:val="13"/>
                <w:szCs w:val="13"/>
                <w:color w:val="auto"/>
              </w:rPr>
              <w:t>5,925</w:t>
            </w:r>
          </w:p>
        </w:tc>
        <w:tc>
          <w:tcPr>
            <w:tcW w:w="340" w:type="dxa"/>
            <w:vAlign w:val="bottom"/>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jc w:val="right"/>
              <w:spacing w:after="0" w:line="149" w:lineRule="exact"/>
              <w:rPr>
                <w:sz w:val="20"/>
                <w:szCs w:val="20"/>
                <w:color w:val="auto"/>
              </w:rPr>
            </w:pPr>
            <w:r>
              <w:rPr>
                <w:rFonts w:ascii="Arial" w:cs="Arial" w:eastAsia="Arial" w:hAnsi="Arial"/>
                <w:sz w:val="13"/>
                <w:szCs w:val="13"/>
                <w:color w:val="auto"/>
              </w:rPr>
              <w:t>5,967</w:t>
            </w: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500" w:type="dxa"/>
            <w:vAlign w:val="bottom"/>
            <w:tcBorders>
              <w:bottom w:val="single" w:sz="8" w:color="CFF0FC"/>
            </w:tcBorders>
          </w:tcPr>
          <w:p>
            <w:pPr>
              <w:spacing w:after="0" w:line="142" w:lineRule="exact"/>
              <w:rPr>
                <w:sz w:val="20"/>
                <w:szCs w:val="20"/>
                <w:color w:val="auto"/>
              </w:rPr>
            </w:pPr>
            <w:r>
              <w:rPr>
                <w:rFonts w:ascii="Arial" w:cs="Arial" w:eastAsia="Arial" w:hAnsi="Arial"/>
                <w:sz w:val="13"/>
                <w:szCs w:val="13"/>
                <w:color w:val="auto"/>
              </w:rPr>
              <w:t>Net income</w:t>
            </w:r>
          </w:p>
        </w:tc>
        <w:tc>
          <w:tcPr>
            <w:tcW w:w="160" w:type="dxa"/>
            <w:vAlign w:val="bottom"/>
            <w:tcBorders>
              <w:bottom w:val="single" w:sz="8" w:color="auto"/>
            </w:tcBorders>
          </w:tcPr>
          <w:p>
            <w:pPr>
              <w:jc w:val="right"/>
              <w:ind w:right="47"/>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268,822</w:t>
            </w:r>
          </w:p>
        </w:tc>
        <w:tc>
          <w:tcPr>
            <w:tcW w:w="100" w:type="dxa"/>
            <w:vAlign w:val="bottom"/>
            <w:tcBorders>
              <w:bottom w:val="single" w:sz="8" w:color="CFF0FC"/>
            </w:tcBorders>
          </w:tcPr>
          <w:p>
            <w:pPr>
              <w:spacing w:after="0"/>
              <w:rPr>
                <w:sz w:val="15"/>
                <w:szCs w:val="15"/>
                <w:color w:val="auto"/>
              </w:rPr>
            </w:pPr>
          </w:p>
        </w:tc>
        <w:tc>
          <w:tcPr>
            <w:tcW w:w="220" w:type="dxa"/>
            <w:vAlign w:val="bottom"/>
            <w:tcBorders>
              <w:bottom w:val="single" w:sz="8" w:color="CFF0FC"/>
            </w:tcBorders>
          </w:tcPr>
          <w:p>
            <w:pPr>
              <w:spacing w:after="0"/>
              <w:rPr>
                <w:sz w:val="15"/>
                <w:szCs w:val="15"/>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493,066</w:t>
            </w:r>
          </w:p>
        </w:tc>
        <w:tc>
          <w:tcPr>
            <w:tcW w:w="340" w:type="dxa"/>
            <w:vAlign w:val="bottom"/>
            <w:tcBorders>
              <w:bottom w:val="single" w:sz="8" w:color="CFF0FC"/>
            </w:tcBorders>
          </w:tcPr>
          <w:p>
            <w:pPr>
              <w:spacing w:after="0"/>
              <w:rPr>
                <w:sz w:val="15"/>
                <w:szCs w:val="15"/>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480,081</w:t>
            </w:r>
          </w:p>
        </w:tc>
        <w:tc>
          <w:tcPr>
            <w:tcW w:w="320" w:type="dxa"/>
            <w:vAlign w:val="bottom"/>
            <w:tcBorders>
              <w:bottom w:val="single" w:sz="8" w:color="CFF0FC"/>
            </w:tcBorders>
          </w:tcPr>
          <w:p>
            <w:pPr>
              <w:spacing w:after="0"/>
              <w:rPr>
                <w:sz w:val="15"/>
                <w:szCs w:val="15"/>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473,260</w:t>
            </w:r>
          </w:p>
        </w:tc>
        <w:tc>
          <w:tcPr>
            <w:tcW w:w="340" w:type="dxa"/>
            <w:vAlign w:val="bottom"/>
            <w:tcBorders>
              <w:bottom w:val="single" w:sz="8" w:color="CFF0FC"/>
            </w:tcBorders>
          </w:tcPr>
          <w:p>
            <w:pPr>
              <w:spacing w:after="0"/>
              <w:rPr>
                <w:sz w:val="15"/>
                <w:szCs w:val="15"/>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482,742</w:t>
            </w:r>
          </w:p>
        </w:tc>
        <w:tc>
          <w:tcPr>
            <w:tcW w:w="100" w:type="dxa"/>
            <w:vAlign w:val="bottom"/>
            <w:tcBorders>
              <w:bottom w:val="single" w:sz="8" w:color="CFF0FC"/>
            </w:tcBorders>
          </w:tcPr>
          <w:p>
            <w:pPr>
              <w:spacing w:after="0"/>
              <w:rPr>
                <w:sz w:val="15"/>
                <w:szCs w:val="15"/>
                <w:color w:val="auto"/>
              </w:rPr>
            </w:pPr>
          </w:p>
        </w:tc>
        <w:tc>
          <w:tcPr>
            <w:tcW w:w="26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5500" w:type="dxa"/>
            <w:vAlign w:val="bottom"/>
            <w:shd w:val="clear" w:color="auto" w:fill="CFF0FC"/>
          </w:tcPr>
          <w:p>
            <w:pPr>
              <w:spacing w:after="0" w:line="129" w:lineRule="exact"/>
              <w:rPr>
                <w:sz w:val="20"/>
                <w:szCs w:val="20"/>
                <w:color w:val="auto"/>
              </w:rPr>
            </w:pPr>
            <w:r>
              <w:rPr>
                <w:rFonts w:ascii="Arial" w:cs="Arial" w:eastAsia="Arial" w:hAnsi="Arial"/>
                <w:sz w:val="13"/>
                <w:szCs w:val="13"/>
                <w:color w:val="auto"/>
              </w:rPr>
              <w:t>Net income available to common shareholders-diluted</w:t>
            </w:r>
          </w:p>
        </w:tc>
        <w:tc>
          <w:tcPr>
            <w:tcW w:w="160" w:type="dxa"/>
            <w:vAlign w:val="bottom"/>
            <w:shd w:val="clear" w:color="auto" w:fill="CFF0FC"/>
          </w:tcPr>
          <w:p>
            <w:pPr>
              <w:jc w:val="right"/>
              <w:ind w:right="47"/>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250,701</w:t>
            </w:r>
          </w:p>
        </w:tc>
        <w:tc>
          <w:tcPr>
            <w:tcW w:w="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473,372</w:t>
            </w:r>
          </w:p>
        </w:tc>
        <w:tc>
          <w:tcPr>
            <w:tcW w:w="34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461,410</w:t>
            </w:r>
          </w:p>
        </w:tc>
        <w:tc>
          <w:tcPr>
            <w:tcW w:w="32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452,633</w:t>
            </w:r>
          </w:p>
        </w:tc>
        <w:tc>
          <w:tcPr>
            <w:tcW w:w="34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462,086</w:t>
            </w:r>
          </w:p>
        </w:tc>
        <w:tc>
          <w:tcPr>
            <w:tcW w:w="1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500" w:type="dxa"/>
            <w:vAlign w:val="bottom"/>
          </w:tcPr>
          <w:p>
            <w:pPr>
              <w:spacing w:after="0" w:line="149" w:lineRule="exact"/>
              <w:rPr>
                <w:sz w:val="20"/>
                <w:szCs w:val="20"/>
                <w:color w:val="auto"/>
              </w:rPr>
            </w:pPr>
            <w:r>
              <w:rPr>
                <w:rFonts w:ascii="Arial" w:cs="Arial" w:eastAsia="Arial" w:hAnsi="Arial"/>
                <w:sz w:val="13"/>
                <w:szCs w:val="13"/>
                <w:color w:val="auto"/>
              </w:rPr>
              <w:t>Per common share data</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00" w:type="dxa"/>
            <w:vAlign w:val="bottom"/>
            <w:shd w:val="clear" w:color="auto" w:fill="CFF0FC"/>
          </w:tcPr>
          <w:p>
            <w:pPr>
              <w:ind w:left="260"/>
              <w:spacing w:after="0" w:line="149" w:lineRule="exact"/>
              <w:rPr>
                <w:sz w:val="20"/>
                <w:szCs w:val="20"/>
                <w:color w:val="auto"/>
              </w:rPr>
            </w:pPr>
            <w:r>
              <w:rPr>
                <w:rFonts w:ascii="Arial" w:cs="Arial" w:eastAsia="Arial" w:hAnsi="Arial"/>
                <w:sz w:val="13"/>
                <w:szCs w:val="13"/>
                <w:color w:val="auto"/>
              </w:rPr>
              <w:t>Basic earnings</w:t>
            </w:r>
          </w:p>
        </w:tc>
        <w:tc>
          <w:tcPr>
            <w:tcW w:w="160" w:type="dxa"/>
            <w:vAlign w:val="bottom"/>
            <w:shd w:val="clear" w:color="auto" w:fill="CFF0FC"/>
          </w:tcPr>
          <w:p>
            <w:pPr>
              <w:jc w:val="right"/>
              <w:ind w:right="47"/>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1.93</w:t>
            </w: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3.60</w:t>
            </w:r>
          </w:p>
        </w:tc>
        <w:tc>
          <w:tcPr>
            <w:tcW w:w="3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3.47</w:t>
            </w:r>
          </w:p>
        </w:tc>
        <w:tc>
          <w:tcPr>
            <w:tcW w:w="3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3.34</w:t>
            </w:r>
          </w:p>
        </w:tc>
        <w:tc>
          <w:tcPr>
            <w:tcW w:w="3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3.35</w:t>
            </w: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00" w:type="dxa"/>
            <w:vAlign w:val="bottom"/>
          </w:tcPr>
          <w:p>
            <w:pPr>
              <w:ind w:left="260"/>
              <w:spacing w:after="0" w:line="149" w:lineRule="exact"/>
              <w:rPr>
                <w:sz w:val="20"/>
                <w:szCs w:val="20"/>
                <w:color w:val="auto"/>
              </w:rPr>
            </w:pPr>
            <w:r>
              <w:rPr>
                <w:rFonts w:ascii="Arial" w:cs="Arial" w:eastAsia="Arial" w:hAnsi="Arial"/>
                <w:sz w:val="13"/>
                <w:szCs w:val="13"/>
                <w:color w:val="auto"/>
              </w:rPr>
              <w:t>Diluted earnings</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3"/>
                <w:szCs w:val="13"/>
                <w:color w:val="auto"/>
              </w:rPr>
              <w:t>1.93</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3"/>
                <w:szCs w:val="13"/>
                <w:color w:val="auto"/>
              </w:rPr>
              <w:t>3.60</w:t>
            </w:r>
          </w:p>
        </w:tc>
        <w:tc>
          <w:tcPr>
            <w:tcW w:w="3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3"/>
                <w:szCs w:val="13"/>
                <w:color w:val="auto"/>
              </w:rPr>
              <w:t>3.47</w:t>
            </w:r>
          </w:p>
        </w:tc>
        <w:tc>
          <w:tcPr>
            <w:tcW w:w="3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3"/>
                <w:szCs w:val="13"/>
                <w:color w:val="auto"/>
              </w:rPr>
              <w:t>3.34</w:t>
            </w:r>
          </w:p>
        </w:tc>
        <w:tc>
          <w:tcPr>
            <w:tcW w:w="3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3"/>
                <w:szCs w:val="13"/>
                <w:color w:val="auto"/>
              </w:rPr>
              <w:t>3.35</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00" w:type="dxa"/>
            <w:vAlign w:val="bottom"/>
            <w:shd w:val="clear" w:color="auto" w:fill="CFF0FC"/>
          </w:tcPr>
          <w:p>
            <w:pPr>
              <w:ind w:left="260"/>
              <w:spacing w:after="0" w:line="149" w:lineRule="exact"/>
              <w:rPr>
                <w:sz w:val="20"/>
                <w:szCs w:val="20"/>
                <w:color w:val="auto"/>
              </w:rPr>
            </w:pPr>
            <w:r>
              <w:rPr>
                <w:rFonts w:ascii="Arial" w:cs="Arial" w:eastAsia="Arial" w:hAnsi="Arial"/>
                <w:sz w:val="13"/>
                <w:szCs w:val="13"/>
                <w:color w:val="auto"/>
              </w:rPr>
              <w:t>Cash dividends</w:t>
            </w:r>
          </w:p>
        </w:tc>
        <w:tc>
          <w:tcPr>
            <w:tcW w:w="160" w:type="dxa"/>
            <w:vAlign w:val="bottom"/>
            <w:shd w:val="clear" w:color="auto" w:fill="CFF0FC"/>
          </w:tcPr>
          <w:p>
            <w:pPr>
              <w:jc w:val="right"/>
              <w:ind w:right="47"/>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1.10</w:t>
            </w: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1.10</w:t>
            </w:r>
          </w:p>
        </w:tc>
        <w:tc>
          <w:tcPr>
            <w:tcW w:w="3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1.00</w:t>
            </w:r>
          </w:p>
        </w:tc>
        <w:tc>
          <w:tcPr>
            <w:tcW w:w="3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1.00</w:t>
            </w:r>
          </w:p>
        </w:tc>
        <w:tc>
          <w:tcPr>
            <w:tcW w:w="3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1.00</w:t>
            </w: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00" w:type="dxa"/>
            <w:vAlign w:val="bottom"/>
          </w:tcPr>
          <w:p>
            <w:pPr>
              <w:spacing w:after="0" w:line="149" w:lineRule="exact"/>
              <w:rPr>
                <w:sz w:val="20"/>
                <w:szCs w:val="20"/>
                <w:color w:val="auto"/>
              </w:rPr>
            </w:pPr>
            <w:r>
              <w:rPr>
                <w:rFonts w:ascii="Arial" w:cs="Arial" w:eastAsia="Arial" w:hAnsi="Arial"/>
                <w:sz w:val="13"/>
                <w:szCs w:val="13"/>
                <w:color w:val="auto"/>
              </w:rPr>
              <w:t>Average common shares outstanding</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00" w:type="dxa"/>
            <w:vAlign w:val="bottom"/>
            <w:shd w:val="clear" w:color="auto" w:fill="CFF0FC"/>
          </w:tcPr>
          <w:p>
            <w:pPr>
              <w:ind w:left="260"/>
              <w:spacing w:after="0" w:line="149" w:lineRule="exact"/>
              <w:rPr>
                <w:sz w:val="20"/>
                <w:szCs w:val="20"/>
                <w:color w:val="auto"/>
              </w:rPr>
            </w:pPr>
            <w:r>
              <w:rPr>
                <w:rFonts w:ascii="Arial" w:cs="Arial" w:eastAsia="Arial" w:hAnsi="Arial"/>
                <w:sz w:val="13"/>
                <w:szCs w:val="13"/>
                <w:color w:val="auto"/>
              </w:rPr>
              <w:t>Basic</w:t>
            </w: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129,696</w:t>
            </w: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131,512</w:t>
            </w:r>
          </w:p>
        </w:tc>
        <w:tc>
          <w:tcPr>
            <w:tcW w:w="3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132,965</w:t>
            </w:r>
          </w:p>
        </w:tc>
        <w:tc>
          <w:tcPr>
            <w:tcW w:w="3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135,433</w:t>
            </w:r>
          </w:p>
        </w:tc>
        <w:tc>
          <w:tcPr>
            <w:tcW w:w="3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137,889</w:t>
            </w: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5500" w:type="dxa"/>
            <w:vAlign w:val="bottom"/>
            <w:tcBorders>
              <w:bottom w:val="single" w:sz="8" w:color="CFF0FC"/>
            </w:tcBorders>
          </w:tcPr>
          <w:p>
            <w:pPr>
              <w:ind w:left="260"/>
              <w:spacing w:after="0" w:line="149" w:lineRule="exact"/>
              <w:rPr>
                <w:sz w:val="20"/>
                <w:szCs w:val="20"/>
                <w:color w:val="auto"/>
              </w:rPr>
            </w:pPr>
            <w:r>
              <w:rPr>
                <w:rFonts w:ascii="Arial" w:cs="Arial" w:eastAsia="Arial" w:hAnsi="Arial"/>
                <w:sz w:val="13"/>
                <w:szCs w:val="13"/>
                <w:color w:val="auto"/>
              </w:rPr>
              <w:t>Diluted</w:t>
            </w: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3"/>
                <w:szCs w:val="13"/>
                <w:color w:val="auto"/>
              </w:rPr>
              <w:t>129,755</w:t>
            </w:r>
          </w:p>
        </w:tc>
        <w:tc>
          <w:tcPr>
            <w:tcW w:w="100" w:type="dxa"/>
            <w:vAlign w:val="bottom"/>
            <w:tcBorders>
              <w:bottom w:val="single" w:sz="8" w:color="CFF0FC"/>
            </w:tcBorders>
          </w:tcPr>
          <w:p>
            <w:pPr>
              <w:spacing w:after="0"/>
              <w:rPr>
                <w:sz w:val="16"/>
                <w:szCs w:val="16"/>
                <w:color w:val="auto"/>
              </w:rPr>
            </w:pPr>
          </w:p>
        </w:tc>
        <w:tc>
          <w:tcPr>
            <w:tcW w:w="220" w:type="dxa"/>
            <w:vAlign w:val="bottom"/>
            <w:tcBorders>
              <w:bottom w:val="single" w:sz="8" w:color="CFF0FC"/>
            </w:tcBorders>
          </w:tcPr>
          <w:p>
            <w:pPr>
              <w:spacing w:after="0"/>
              <w:rPr>
                <w:sz w:val="16"/>
                <w:szCs w:val="16"/>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3"/>
                <w:szCs w:val="13"/>
                <w:color w:val="auto"/>
              </w:rPr>
              <w:t>131,549</w:t>
            </w:r>
          </w:p>
        </w:tc>
        <w:tc>
          <w:tcPr>
            <w:tcW w:w="340" w:type="dxa"/>
            <w:vAlign w:val="bottom"/>
            <w:tcBorders>
              <w:bottom w:val="single" w:sz="8" w:color="CFF0FC"/>
            </w:tcBorders>
          </w:tcPr>
          <w:p>
            <w:pPr>
              <w:spacing w:after="0"/>
              <w:rPr>
                <w:sz w:val="16"/>
                <w:szCs w:val="16"/>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3"/>
                <w:szCs w:val="13"/>
                <w:color w:val="auto"/>
              </w:rPr>
              <w:t>132,999</w:t>
            </w:r>
          </w:p>
        </w:tc>
        <w:tc>
          <w:tcPr>
            <w:tcW w:w="320" w:type="dxa"/>
            <w:vAlign w:val="bottom"/>
            <w:tcBorders>
              <w:bottom w:val="single" w:sz="8" w:color="CFF0FC"/>
            </w:tcBorders>
          </w:tcPr>
          <w:p>
            <w:pPr>
              <w:spacing w:after="0"/>
              <w:rPr>
                <w:sz w:val="16"/>
                <w:szCs w:val="16"/>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3"/>
                <w:szCs w:val="13"/>
                <w:color w:val="auto"/>
              </w:rPr>
              <w:t>135,464</w:t>
            </w:r>
          </w:p>
        </w:tc>
        <w:tc>
          <w:tcPr>
            <w:tcW w:w="340" w:type="dxa"/>
            <w:vAlign w:val="bottom"/>
            <w:tcBorders>
              <w:bottom w:val="single" w:sz="8" w:color="CFF0FC"/>
            </w:tcBorders>
          </w:tcPr>
          <w:p>
            <w:pPr>
              <w:spacing w:after="0"/>
              <w:rPr>
                <w:sz w:val="16"/>
                <w:szCs w:val="16"/>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3"/>
                <w:szCs w:val="13"/>
                <w:color w:val="auto"/>
              </w:rPr>
              <w:t>137,920</w:t>
            </w:r>
          </w:p>
        </w:tc>
        <w:tc>
          <w:tcPr>
            <w:tcW w:w="100" w:type="dxa"/>
            <w:vAlign w:val="bottom"/>
            <w:tcBorders>
              <w:bottom w:val="single" w:sz="8" w:color="CFF0FC"/>
            </w:tcBorders>
          </w:tcPr>
          <w:p>
            <w:pPr>
              <w:spacing w:after="0"/>
              <w:rPr>
                <w:sz w:val="16"/>
                <w:szCs w:val="16"/>
                <w:color w:val="auto"/>
              </w:rPr>
            </w:pPr>
          </w:p>
        </w:tc>
        <w:tc>
          <w:tcPr>
            <w:tcW w:w="26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5500" w:type="dxa"/>
            <w:vAlign w:val="bottom"/>
            <w:shd w:val="clear" w:color="auto" w:fill="CFF0FC"/>
          </w:tcPr>
          <w:p>
            <w:pPr>
              <w:spacing w:after="0" w:line="129" w:lineRule="exact"/>
              <w:rPr>
                <w:sz w:val="20"/>
                <w:szCs w:val="20"/>
                <w:color w:val="auto"/>
              </w:rPr>
            </w:pPr>
            <w:r>
              <w:rPr>
                <w:rFonts w:ascii="Arial" w:cs="Arial" w:eastAsia="Arial" w:hAnsi="Arial"/>
                <w:sz w:val="13"/>
                <w:szCs w:val="13"/>
                <w:b w:val="1"/>
                <w:bCs w:val="1"/>
                <w:color w:val="auto"/>
              </w:rPr>
              <w:t>Performance ratios, annualized</w:t>
            </w: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500" w:type="dxa"/>
            <w:vAlign w:val="bottom"/>
          </w:tcPr>
          <w:p>
            <w:pPr>
              <w:spacing w:after="0" w:line="149" w:lineRule="exact"/>
              <w:rPr>
                <w:sz w:val="20"/>
                <w:szCs w:val="20"/>
                <w:color w:val="auto"/>
              </w:rPr>
            </w:pPr>
            <w:r>
              <w:rPr>
                <w:rFonts w:ascii="Arial" w:cs="Arial" w:eastAsia="Arial" w:hAnsi="Arial"/>
                <w:sz w:val="13"/>
                <w:szCs w:val="13"/>
                <w:color w:val="auto"/>
              </w:rPr>
              <w:t>Return on</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00" w:type="dxa"/>
            <w:vAlign w:val="bottom"/>
            <w:shd w:val="clear" w:color="auto" w:fill="CFF0FC"/>
          </w:tcPr>
          <w:p>
            <w:pPr>
              <w:ind w:left="260"/>
              <w:spacing w:after="0" w:line="149" w:lineRule="exact"/>
              <w:rPr>
                <w:sz w:val="20"/>
                <w:szCs w:val="20"/>
                <w:color w:val="auto"/>
              </w:rPr>
            </w:pPr>
            <w:r>
              <w:rPr>
                <w:rFonts w:ascii="Arial" w:cs="Arial" w:eastAsia="Arial" w:hAnsi="Arial"/>
                <w:sz w:val="13"/>
                <w:szCs w:val="13"/>
                <w:color w:val="auto"/>
              </w:rPr>
              <w:t>Average assets</w:t>
            </w: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.90</w:t>
            </w:r>
          </w:p>
        </w:tc>
        <w:tc>
          <w:tcPr>
            <w:tcW w:w="320" w:type="dxa"/>
            <w:vAlign w:val="bottom"/>
            <w:gridSpan w:val="2"/>
            <w:shd w:val="clear" w:color="auto" w:fill="CFF0FC"/>
          </w:tcPr>
          <w:p>
            <w:pPr>
              <w:jc w:val="right"/>
              <w:ind w:right="120"/>
              <w:spacing w:after="0" w:line="149" w:lineRule="exact"/>
              <w:rPr>
                <w:sz w:val="20"/>
                <w:szCs w:val="20"/>
                <w:color w:val="auto"/>
              </w:rPr>
            </w:pPr>
            <w:r>
              <w:rPr>
                <w:rFonts w:ascii="Arial" w:cs="Arial" w:eastAsia="Arial" w:hAnsi="Arial"/>
                <w:sz w:val="13"/>
                <w:szCs w:val="13"/>
                <w:color w:val="auto"/>
              </w:rPr>
              <w:t>%</w:t>
            </w:r>
          </w:p>
        </w:tc>
        <w:tc>
          <w:tcPr>
            <w:tcW w:w="80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1.60</w:t>
            </w:r>
          </w:p>
        </w:tc>
        <w:tc>
          <w:tcPr>
            <w:tcW w:w="340" w:type="dxa"/>
            <w:vAlign w:val="bottom"/>
            <w:shd w:val="clear" w:color="auto" w:fill="CFF0FC"/>
          </w:tcPr>
          <w:p>
            <w:pPr>
              <w:jc w:val="right"/>
              <w:ind w:right="57"/>
              <w:spacing w:after="0" w:line="149" w:lineRule="exact"/>
              <w:rPr>
                <w:sz w:val="20"/>
                <w:szCs w:val="20"/>
                <w:color w:val="auto"/>
              </w:rPr>
            </w:pPr>
            <w:r>
              <w:rPr>
                <w:rFonts w:ascii="Arial" w:cs="Arial" w:eastAsia="Arial" w:hAnsi="Arial"/>
                <w:sz w:val="13"/>
                <w:szCs w:val="13"/>
                <w:color w:val="auto"/>
              </w:rPr>
              <w:t>%</w:t>
            </w:r>
          </w:p>
        </w:tc>
        <w:tc>
          <w:tcPr>
            <w:tcW w:w="82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1.58</w:t>
            </w:r>
          </w:p>
        </w:tc>
        <w:tc>
          <w:tcPr>
            <w:tcW w:w="320" w:type="dxa"/>
            <w:vAlign w:val="bottom"/>
            <w:shd w:val="clear" w:color="auto" w:fill="CFF0FC"/>
          </w:tcPr>
          <w:p>
            <w:pPr>
              <w:jc w:val="center"/>
              <w:spacing w:after="0" w:line="149" w:lineRule="exact"/>
              <w:rPr>
                <w:sz w:val="20"/>
                <w:szCs w:val="20"/>
                <w:color w:val="auto"/>
              </w:rPr>
            </w:pPr>
            <w:r>
              <w:rPr>
                <w:rFonts w:ascii="Arial" w:cs="Arial" w:eastAsia="Arial" w:hAnsi="Arial"/>
                <w:sz w:val="13"/>
                <w:szCs w:val="13"/>
                <w:color w:val="auto"/>
                <w:w w:val="86"/>
              </w:rPr>
              <w:t>%</w:t>
            </w:r>
          </w:p>
        </w:tc>
        <w:tc>
          <w:tcPr>
            <w:tcW w:w="82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1.60</w:t>
            </w:r>
          </w:p>
        </w:tc>
        <w:tc>
          <w:tcPr>
            <w:tcW w:w="340" w:type="dxa"/>
            <w:vAlign w:val="bottom"/>
            <w:shd w:val="clear" w:color="auto" w:fill="CFF0FC"/>
          </w:tcPr>
          <w:p>
            <w:pPr>
              <w:jc w:val="right"/>
              <w:ind w:right="77"/>
              <w:spacing w:after="0" w:line="149" w:lineRule="exact"/>
              <w:rPr>
                <w:sz w:val="20"/>
                <w:szCs w:val="20"/>
                <w:color w:val="auto"/>
              </w:rPr>
            </w:pPr>
            <w:r>
              <w:rPr>
                <w:rFonts w:ascii="Arial" w:cs="Arial" w:eastAsia="Arial" w:hAnsi="Arial"/>
                <w:sz w:val="13"/>
                <w:szCs w:val="13"/>
                <w:color w:val="auto"/>
              </w:rPr>
              <w:t>%</w:t>
            </w:r>
          </w:p>
        </w:tc>
        <w:tc>
          <w:tcPr>
            <w:tcW w:w="82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1.68</w:t>
            </w:r>
          </w:p>
        </w:tc>
        <w:tc>
          <w:tcPr>
            <w:tcW w:w="360" w:type="dxa"/>
            <w:vAlign w:val="bottom"/>
            <w:gridSpan w:val="2"/>
            <w:shd w:val="clear" w:color="auto" w:fill="CFF0FC"/>
          </w:tcPr>
          <w:p>
            <w:pPr>
              <w:jc w:val="right"/>
              <w:ind w:right="160"/>
              <w:spacing w:after="0" w:line="14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5500" w:type="dxa"/>
            <w:vAlign w:val="bottom"/>
          </w:tcPr>
          <w:p>
            <w:pPr>
              <w:ind w:left="260"/>
              <w:spacing w:after="0" w:line="149" w:lineRule="exact"/>
              <w:rPr>
                <w:sz w:val="20"/>
                <w:szCs w:val="20"/>
                <w:color w:val="auto"/>
              </w:rPr>
            </w:pPr>
            <w:r>
              <w:rPr>
                <w:rFonts w:ascii="Arial" w:cs="Arial" w:eastAsia="Arial" w:hAnsi="Arial"/>
                <w:sz w:val="13"/>
                <w:szCs w:val="13"/>
                <w:color w:val="auto"/>
              </w:rPr>
              <w:t>Average common shareholders’ equity</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3"/>
                <w:szCs w:val="13"/>
                <w:color w:val="auto"/>
              </w:rPr>
              <w:t>7.00</w:t>
            </w:r>
          </w:p>
        </w:tc>
        <w:tc>
          <w:tcPr>
            <w:tcW w:w="320" w:type="dxa"/>
            <w:vAlign w:val="bottom"/>
            <w:gridSpan w:val="2"/>
          </w:tcPr>
          <w:p>
            <w:pPr>
              <w:jc w:val="right"/>
              <w:ind w:right="120"/>
              <w:spacing w:after="0" w:line="149" w:lineRule="exact"/>
              <w:rPr>
                <w:sz w:val="20"/>
                <w:szCs w:val="20"/>
                <w:color w:val="auto"/>
              </w:rPr>
            </w:pPr>
            <w:r>
              <w:rPr>
                <w:rFonts w:ascii="Arial" w:cs="Arial" w:eastAsia="Arial" w:hAnsi="Arial"/>
                <w:sz w:val="13"/>
                <w:szCs w:val="13"/>
                <w:color w:val="auto"/>
              </w:rPr>
              <w:t>%</w:t>
            </w:r>
          </w:p>
        </w:tc>
        <w:tc>
          <w:tcPr>
            <w:tcW w:w="800" w:type="dxa"/>
            <w:vAlign w:val="bottom"/>
          </w:tcPr>
          <w:p>
            <w:pPr>
              <w:jc w:val="right"/>
              <w:spacing w:after="0" w:line="149" w:lineRule="exact"/>
              <w:rPr>
                <w:sz w:val="20"/>
                <w:szCs w:val="20"/>
                <w:color w:val="auto"/>
              </w:rPr>
            </w:pPr>
            <w:r>
              <w:rPr>
                <w:rFonts w:ascii="Arial" w:cs="Arial" w:eastAsia="Arial" w:hAnsi="Arial"/>
                <w:sz w:val="13"/>
                <w:szCs w:val="13"/>
                <w:color w:val="auto"/>
              </w:rPr>
              <w:t>12.95</w:t>
            </w:r>
          </w:p>
        </w:tc>
        <w:tc>
          <w:tcPr>
            <w:tcW w:w="340" w:type="dxa"/>
            <w:vAlign w:val="bottom"/>
          </w:tcPr>
          <w:p>
            <w:pPr>
              <w:jc w:val="right"/>
              <w:ind w:right="57"/>
              <w:spacing w:after="0" w:line="149" w:lineRule="exact"/>
              <w:rPr>
                <w:sz w:val="20"/>
                <w:szCs w:val="20"/>
                <w:color w:val="auto"/>
              </w:rPr>
            </w:pPr>
            <w:r>
              <w:rPr>
                <w:rFonts w:ascii="Arial" w:cs="Arial" w:eastAsia="Arial" w:hAnsi="Arial"/>
                <w:sz w:val="13"/>
                <w:szCs w:val="13"/>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3"/>
                <w:szCs w:val="13"/>
                <w:color w:val="auto"/>
              </w:rPr>
              <w:t>12.73</w:t>
            </w:r>
          </w:p>
        </w:tc>
        <w:tc>
          <w:tcPr>
            <w:tcW w:w="320" w:type="dxa"/>
            <w:vAlign w:val="bottom"/>
          </w:tcPr>
          <w:p>
            <w:pPr>
              <w:jc w:val="center"/>
              <w:spacing w:after="0" w:line="149" w:lineRule="exact"/>
              <w:rPr>
                <w:sz w:val="20"/>
                <w:szCs w:val="20"/>
                <w:color w:val="auto"/>
              </w:rPr>
            </w:pPr>
            <w:r>
              <w:rPr>
                <w:rFonts w:ascii="Arial" w:cs="Arial" w:eastAsia="Arial" w:hAnsi="Arial"/>
                <w:sz w:val="13"/>
                <w:szCs w:val="13"/>
                <w:color w:val="auto"/>
                <w:w w:val="86"/>
              </w:rPr>
              <w:t>%</w:t>
            </w:r>
          </w:p>
        </w:tc>
        <w:tc>
          <w:tcPr>
            <w:tcW w:w="820" w:type="dxa"/>
            <w:vAlign w:val="bottom"/>
          </w:tcPr>
          <w:p>
            <w:pPr>
              <w:jc w:val="right"/>
              <w:spacing w:after="0" w:line="149" w:lineRule="exact"/>
              <w:rPr>
                <w:sz w:val="20"/>
                <w:szCs w:val="20"/>
                <w:color w:val="auto"/>
              </w:rPr>
            </w:pPr>
            <w:r>
              <w:rPr>
                <w:rFonts w:ascii="Arial" w:cs="Arial" w:eastAsia="Arial" w:hAnsi="Arial"/>
                <w:sz w:val="13"/>
                <w:szCs w:val="13"/>
                <w:color w:val="auto"/>
              </w:rPr>
              <w:t>12.68</w:t>
            </w:r>
          </w:p>
        </w:tc>
        <w:tc>
          <w:tcPr>
            <w:tcW w:w="340" w:type="dxa"/>
            <w:vAlign w:val="bottom"/>
          </w:tcPr>
          <w:p>
            <w:pPr>
              <w:jc w:val="right"/>
              <w:ind w:right="77"/>
              <w:spacing w:after="0" w:line="149" w:lineRule="exact"/>
              <w:rPr>
                <w:sz w:val="20"/>
                <w:szCs w:val="20"/>
                <w:color w:val="auto"/>
              </w:rPr>
            </w:pPr>
            <w:r>
              <w:rPr>
                <w:rFonts w:ascii="Arial" w:cs="Arial" w:eastAsia="Arial" w:hAnsi="Arial"/>
                <w:sz w:val="13"/>
                <w:szCs w:val="13"/>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3"/>
                <w:szCs w:val="13"/>
                <w:color w:val="auto"/>
              </w:rPr>
              <w:t>13.14</w:t>
            </w:r>
          </w:p>
        </w:tc>
        <w:tc>
          <w:tcPr>
            <w:tcW w:w="360" w:type="dxa"/>
            <w:vAlign w:val="bottom"/>
            <w:gridSpan w:val="2"/>
          </w:tcPr>
          <w:p>
            <w:pPr>
              <w:jc w:val="right"/>
              <w:ind w:right="160"/>
              <w:spacing w:after="0" w:line="14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55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Net interest margin on average earning assets</w:t>
            </w: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500" w:type="dxa"/>
            <w:vAlign w:val="bottom"/>
            <w:shd w:val="clear" w:color="auto" w:fill="CFF0FC"/>
          </w:tcPr>
          <w:p>
            <w:pPr>
              <w:ind w:left="100"/>
              <w:spacing w:after="0"/>
              <w:rPr>
                <w:sz w:val="20"/>
                <w:szCs w:val="20"/>
                <w:color w:val="auto"/>
              </w:rPr>
            </w:pPr>
            <w:r>
              <w:rPr>
                <w:rFonts w:ascii="Arial" w:cs="Arial" w:eastAsia="Arial" w:hAnsi="Arial"/>
                <w:sz w:val="13"/>
                <w:szCs w:val="13"/>
                <w:color w:val="auto"/>
              </w:rPr>
              <w:t>(taxable-equivalent basis)</w:t>
            </w: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3.65</w:t>
            </w:r>
          </w:p>
        </w:tc>
        <w:tc>
          <w:tcPr>
            <w:tcW w:w="3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3.64</w:t>
            </w:r>
          </w:p>
        </w:tc>
        <w:tc>
          <w:tcPr>
            <w:tcW w:w="3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3.78</w:t>
            </w:r>
          </w:p>
        </w:tc>
        <w:tc>
          <w:tcPr>
            <w:tcW w:w="32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86"/>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3.91</w:t>
            </w:r>
          </w:p>
        </w:tc>
        <w:tc>
          <w:tcPr>
            <w:tcW w:w="34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4.04</w:t>
            </w:r>
          </w:p>
        </w:tc>
        <w:tc>
          <w:tcPr>
            <w:tcW w:w="3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5500" w:type="dxa"/>
            <w:vAlign w:val="bottom"/>
          </w:tcPr>
          <w:p>
            <w:pPr>
              <w:spacing w:after="0" w:line="134" w:lineRule="exact"/>
              <w:rPr>
                <w:sz w:val="20"/>
                <w:szCs w:val="20"/>
                <w:color w:val="auto"/>
              </w:rPr>
            </w:pPr>
            <w:r>
              <w:rPr>
                <w:rFonts w:ascii="Arial" w:cs="Arial" w:eastAsia="Arial" w:hAnsi="Arial"/>
                <w:sz w:val="13"/>
                <w:szCs w:val="13"/>
                <w:color w:val="auto"/>
              </w:rPr>
              <w:t>Nonaccrual loans to total loans and leases, net of</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5500" w:type="dxa"/>
            <w:vAlign w:val="bottom"/>
            <w:tcBorders>
              <w:bottom w:val="single" w:sz="8" w:color="CFF0FC"/>
            </w:tcBorders>
          </w:tcPr>
          <w:p>
            <w:pPr>
              <w:ind w:left="140"/>
              <w:spacing w:after="0"/>
              <w:rPr>
                <w:sz w:val="20"/>
                <w:szCs w:val="20"/>
                <w:color w:val="auto"/>
              </w:rPr>
            </w:pPr>
            <w:r>
              <w:rPr>
                <w:rFonts w:ascii="Arial" w:cs="Arial" w:eastAsia="Arial" w:hAnsi="Arial"/>
                <w:sz w:val="13"/>
                <w:szCs w:val="13"/>
                <w:color w:val="auto"/>
              </w:rPr>
              <w:t>unearned discount</w:t>
            </w: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1.13</w:t>
            </w:r>
          </w:p>
        </w:tc>
        <w:tc>
          <w:tcPr>
            <w:tcW w:w="320" w:type="dxa"/>
            <w:vAlign w:val="bottom"/>
            <w:tcBorders>
              <w:bottom w:val="single" w:sz="8" w:color="CFF0FC"/>
            </w:tcBorders>
            <w:gridSpan w:val="2"/>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1.06</w:t>
            </w:r>
          </w:p>
        </w:tc>
        <w:tc>
          <w:tcPr>
            <w:tcW w:w="340" w:type="dxa"/>
            <w:vAlign w:val="bottom"/>
            <w:tcBorders>
              <w:bottom w:val="single" w:sz="8" w:color="CFF0FC"/>
            </w:tcBorders>
          </w:tcPr>
          <w:p>
            <w:pPr>
              <w:jc w:val="right"/>
              <w:ind w:right="57"/>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1.12</w:t>
            </w:r>
          </w:p>
        </w:tc>
        <w:tc>
          <w:tcPr>
            <w:tcW w:w="320" w:type="dxa"/>
            <w:vAlign w:val="bottom"/>
            <w:tcBorders>
              <w:bottom w:val="single" w:sz="8" w:color="CFF0FC"/>
            </w:tcBorders>
          </w:tcPr>
          <w:p>
            <w:pPr>
              <w:jc w:val="center"/>
              <w:spacing w:after="0"/>
              <w:rPr>
                <w:sz w:val="20"/>
                <w:szCs w:val="20"/>
                <w:color w:val="auto"/>
              </w:rPr>
            </w:pPr>
            <w:r>
              <w:rPr>
                <w:rFonts w:ascii="Arial" w:cs="Arial" w:eastAsia="Arial" w:hAnsi="Arial"/>
                <w:sz w:val="13"/>
                <w:szCs w:val="13"/>
                <w:color w:val="auto"/>
                <w:w w:val="86"/>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.96</w:t>
            </w:r>
          </w:p>
        </w:tc>
        <w:tc>
          <w:tcPr>
            <w:tcW w:w="340" w:type="dxa"/>
            <w:vAlign w:val="bottom"/>
            <w:tcBorders>
              <w:bottom w:val="single" w:sz="8" w:color="CFF0FC"/>
            </w:tcBorders>
          </w:tcPr>
          <w:p>
            <w:pPr>
              <w:jc w:val="right"/>
              <w:ind w:right="77"/>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0.99</w:t>
            </w:r>
          </w:p>
        </w:tc>
        <w:tc>
          <w:tcPr>
            <w:tcW w:w="360" w:type="dxa"/>
            <w:vAlign w:val="bottom"/>
            <w:tcBorders>
              <w:bottom w:val="single" w:sz="8" w:color="CFF0FC"/>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5500" w:type="dxa"/>
            <w:vAlign w:val="bottom"/>
            <w:shd w:val="clear" w:color="auto" w:fill="CFF0FC"/>
          </w:tcPr>
          <w:p>
            <w:pPr>
              <w:spacing w:after="0" w:line="129" w:lineRule="exact"/>
              <w:rPr>
                <w:sz w:val="20"/>
                <w:szCs w:val="20"/>
                <w:color w:val="auto"/>
              </w:rPr>
            </w:pPr>
            <w:r>
              <w:rPr>
                <w:rFonts w:ascii="Arial" w:cs="Arial" w:eastAsia="Arial" w:hAnsi="Arial"/>
                <w:sz w:val="13"/>
                <w:szCs w:val="13"/>
                <w:b w:val="1"/>
                <w:bCs w:val="1"/>
                <w:color w:val="auto"/>
              </w:rPr>
              <w:t>Net operating (tangible) results (a)</w:t>
            </w: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500" w:type="dxa"/>
            <w:vAlign w:val="bottom"/>
          </w:tcPr>
          <w:p>
            <w:pPr>
              <w:spacing w:after="0" w:line="149" w:lineRule="exact"/>
              <w:rPr>
                <w:sz w:val="20"/>
                <w:szCs w:val="20"/>
                <w:color w:val="auto"/>
              </w:rPr>
            </w:pPr>
            <w:r>
              <w:rPr>
                <w:rFonts w:ascii="Arial" w:cs="Arial" w:eastAsia="Arial" w:hAnsi="Arial"/>
                <w:sz w:val="13"/>
                <w:szCs w:val="13"/>
                <w:color w:val="auto"/>
              </w:rPr>
              <w:t>Net operating income (in thousands)</w:t>
            </w:r>
          </w:p>
        </w:tc>
        <w:tc>
          <w:tcPr>
            <w:tcW w:w="160" w:type="dxa"/>
            <w:vAlign w:val="bottom"/>
          </w:tcPr>
          <w:p>
            <w:pPr>
              <w:jc w:val="right"/>
              <w:ind w:right="47"/>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line="149" w:lineRule="exact"/>
              <w:rPr>
                <w:sz w:val="20"/>
                <w:szCs w:val="20"/>
                <w:color w:val="auto"/>
              </w:rPr>
            </w:pPr>
            <w:r>
              <w:rPr>
                <w:rFonts w:ascii="Arial" w:cs="Arial" w:eastAsia="Arial" w:hAnsi="Arial"/>
                <w:sz w:val="13"/>
                <w:szCs w:val="13"/>
                <w:color w:val="auto"/>
              </w:rPr>
              <w:t>271,705</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3"/>
                <w:szCs w:val="13"/>
                <w:color w:val="auto"/>
              </w:rPr>
              <w:t>496,237</w:t>
            </w:r>
          </w:p>
        </w:tc>
        <w:tc>
          <w:tcPr>
            <w:tcW w:w="3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3"/>
                <w:szCs w:val="13"/>
                <w:color w:val="auto"/>
              </w:rPr>
              <w:t>483,830</w:t>
            </w:r>
          </w:p>
        </w:tc>
        <w:tc>
          <w:tcPr>
            <w:tcW w:w="3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3"/>
                <w:szCs w:val="13"/>
                <w:color w:val="auto"/>
              </w:rPr>
              <w:t>477,001</w:t>
            </w:r>
          </w:p>
        </w:tc>
        <w:tc>
          <w:tcPr>
            <w:tcW w:w="3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3"/>
                <w:szCs w:val="13"/>
                <w:color w:val="auto"/>
              </w:rPr>
              <w:t>486,440</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00" w:type="dxa"/>
            <w:vAlign w:val="bottom"/>
            <w:shd w:val="clear" w:color="auto" w:fill="CFF0FC"/>
          </w:tcPr>
          <w:p>
            <w:pPr>
              <w:spacing w:after="0" w:line="149" w:lineRule="exact"/>
              <w:rPr>
                <w:sz w:val="20"/>
                <w:szCs w:val="20"/>
                <w:color w:val="auto"/>
              </w:rPr>
            </w:pPr>
            <w:r>
              <w:rPr>
                <w:rFonts w:ascii="Arial" w:cs="Arial" w:eastAsia="Arial" w:hAnsi="Arial"/>
                <w:sz w:val="13"/>
                <w:szCs w:val="13"/>
                <w:color w:val="auto"/>
              </w:rPr>
              <w:t>Diluted net operating income per common share</w:t>
            </w:r>
          </w:p>
        </w:tc>
        <w:tc>
          <w:tcPr>
            <w:tcW w:w="160" w:type="dxa"/>
            <w:vAlign w:val="bottom"/>
            <w:shd w:val="clear" w:color="auto" w:fill="CFF0FC"/>
          </w:tcPr>
          <w:p>
            <w:pPr>
              <w:jc w:val="right"/>
              <w:ind w:right="47"/>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1.95</w:t>
            </w: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3.62</w:t>
            </w:r>
          </w:p>
        </w:tc>
        <w:tc>
          <w:tcPr>
            <w:tcW w:w="3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3.50</w:t>
            </w:r>
          </w:p>
        </w:tc>
        <w:tc>
          <w:tcPr>
            <w:tcW w:w="3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3.37</w:t>
            </w:r>
          </w:p>
        </w:tc>
        <w:tc>
          <w:tcPr>
            <w:tcW w:w="3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3.38</w:t>
            </w: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00" w:type="dxa"/>
            <w:vAlign w:val="bottom"/>
          </w:tcPr>
          <w:p>
            <w:pPr>
              <w:spacing w:after="0" w:line="149" w:lineRule="exact"/>
              <w:rPr>
                <w:sz w:val="20"/>
                <w:szCs w:val="20"/>
                <w:color w:val="auto"/>
              </w:rPr>
            </w:pPr>
            <w:r>
              <w:rPr>
                <w:rFonts w:ascii="Arial" w:cs="Arial" w:eastAsia="Arial" w:hAnsi="Arial"/>
                <w:sz w:val="13"/>
                <w:szCs w:val="13"/>
                <w:color w:val="auto"/>
              </w:rPr>
              <w:t>Annualized return on</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00" w:type="dxa"/>
            <w:vAlign w:val="bottom"/>
            <w:shd w:val="clear" w:color="auto" w:fill="CFF0FC"/>
          </w:tcPr>
          <w:p>
            <w:pPr>
              <w:ind w:left="260"/>
              <w:spacing w:after="0" w:line="149" w:lineRule="exact"/>
              <w:rPr>
                <w:sz w:val="20"/>
                <w:szCs w:val="20"/>
                <w:color w:val="auto"/>
              </w:rPr>
            </w:pPr>
            <w:r>
              <w:rPr>
                <w:rFonts w:ascii="Arial" w:cs="Arial" w:eastAsia="Arial" w:hAnsi="Arial"/>
                <w:sz w:val="13"/>
                <w:szCs w:val="13"/>
                <w:color w:val="auto"/>
              </w:rPr>
              <w:t>Average tangible assets</w:t>
            </w: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.94</w:t>
            </w:r>
          </w:p>
        </w:tc>
        <w:tc>
          <w:tcPr>
            <w:tcW w:w="320" w:type="dxa"/>
            <w:vAlign w:val="bottom"/>
            <w:gridSpan w:val="2"/>
            <w:shd w:val="clear" w:color="auto" w:fill="CFF0FC"/>
          </w:tcPr>
          <w:p>
            <w:pPr>
              <w:jc w:val="right"/>
              <w:ind w:right="120"/>
              <w:spacing w:after="0" w:line="149" w:lineRule="exact"/>
              <w:rPr>
                <w:sz w:val="20"/>
                <w:szCs w:val="20"/>
                <w:color w:val="auto"/>
              </w:rPr>
            </w:pPr>
            <w:r>
              <w:rPr>
                <w:rFonts w:ascii="Arial" w:cs="Arial" w:eastAsia="Arial" w:hAnsi="Arial"/>
                <w:sz w:val="13"/>
                <w:szCs w:val="13"/>
                <w:color w:val="auto"/>
              </w:rPr>
              <w:t>%</w:t>
            </w:r>
          </w:p>
        </w:tc>
        <w:tc>
          <w:tcPr>
            <w:tcW w:w="80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1.67</w:t>
            </w:r>
          </w:p>
        </w:tc>
        <w:tc>
          <w:tcPr>
            <w:tcW w:w="340" w:type="dxa"/>
            <w:vAlign w:val="bottom"/>
            <w:shd w:val="clear" w:color="auto" w:fill="CFF0FC"/>
          </w:tcPr>
          <w:p>
            <w:pPr>
              <w:jc w:val="right"/>
              <w:ind w:right="57"/>
              <w:spacing w:after="0" w:line="149" w:lineRule="exact"/>
              <w:rPr>
                <w:sz w:val="20"/>
                <w:szCs w:val="20"/>
                <w:color w:val="auto"/>
              </w:rPr>
            </w:pPr>
            <w:r>
              <w:rPr>
                <w:rFonts w:ascii="Arial" w:cs="Arial" w:eastAsia="Arial" w:hAnsi="Arial"/>
                <w:sz w:val="13"/>
                <w:szCs w:val="13"/>
                <w:color w:val="auto"/>
              </w:rPr>
              <w:t>%</w:t>
            </w:r>
          </w:p>
        </w:tc>
        <w:tc>
          <w:tcPr>
            <w:tcW w:w="82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1.66</w:t>
            </w:r>
          </w:p>
        </w:tc>
        <w:tc>
          <w:tcPr>
            <w:tcW w:w="320" w:type="dxa"/>
            <w:vAlign w:val="bottom"/>
            <w:shd w:val="clear" w:color="auto" w:fill="CFF0FC"/>
          </w:tcPr>
          <w:p>
            <w:pPr>
              <w:jc w:val="center"/>
              <w:spacing w:after="0" w:line="149" w:lineRule="exact"/>
              <w:rPr>
                <w:sz w:val="20"/>
                <w:szCs w:val="20"/>
                <w:color w:val="auto"/>
              </w:rPr>
            </w:pPr>
            <w:r>
              <w:rPr>
                <w:rFonts w:ascii="Arial" w:cs="Arial" w:eastAsia="Arial" w:hAnsi="Arial"/>
                <w:sz w:val="13"/>
                <w:szCs w:val="13"/>
                <w:color w:val="auto"/>
                <w:w w:val="86"/>
              </w:rPr>
              <w:t>%</w:t>
            </w:r>
          </w:p>
        </w:tc>
        <w:tc>
          <w:tcPr>
            <w:tcW w:w="82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1.68</w:t>
            </w:r>
          </w:p>
        </w:tc>
        <w:tc>
          <w:tcPr>
            <w:tcW w:w="340" w:type="dxa"/>
            <w:vAlign w:val="bottom"/>
            <w:shd w:val="clear" w:color="auto" w:fill="CFF0FC"/>
          </w:tcPr>
          <w:p>
            <w:pPr>
              <w:jc w:val="right"/>
              <w:ind w:right="77"/>
              <w:spacing w:after="0" w:line="149" w:lineRule="exact"/>
              <w:rPr>
                <w:sz w:val="20"/>
                <w:szCs w:val="20"/>
                <w:color w:val="auto"/>
              </w:rPr>
            </w:pPr>
            <w:r>
              <w:rPr>
                <w:rFonts w:ascii="Arial" w:cs="Arial" w:eastAsia="Arial" w:hAnsi="Arial"/>
                <w:sz w:val="13"/>
                <w:szCs w:val="13"/>
                <w:color w:val="auto"/>
              </w:rPr>
              <w:t>%</w:t>
            </w:r>
          </w:p>
        </w:tc>
        <w:tc>
          <w:tcPr>
            <w:tcW w:w="82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1.76</w:t>
            </w:r>
          </w:p>
        </w:tc>
        <w:tc>
          <w:tcPr>
            <w:tcW w:w="360" w:type="dxa"/>
            <w:vAlign w:val="bottom"/>
            <w:gridSpan w:val="2"/>
            <w:shd w:val="clear" w:color="auto" w:fill="CFF0FC"/>
          </w:tcPr>
          <w:p>
            <w:pPr>
              <w:jc w:val="right"/>
              <w:ind w:right="160"/>
              <w:spacing w:after="0" w:line="14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5500" w:type="dxa"/>
            <w:vAlign w:val="bottom"/>
          </w:tcPr>
          <w:p>
            <w:pPr>
              <w:ind w:left="260"/>
              <w:spacing w:after="0" w:line="149" w:lineRule="exact"/>
              <w:rPr>
                <w:sz w:val="20"/>
                <w:szCs w:val="20"/>
                <w:color w:val="auto"/>
              </w:rPr>
            </w:pPr>
            <w:r>
              <w:rPr>
                <w:rFonts w:ascii="Arial" w:cs="Arial" w:eastAsia="Arial" w:hAnsi="Arial"/>
                <w:sz w:val="13"/>
                <w:szCs w:val="13"/>
                <w:color w:val="auto"/>
              </w:rPr>
              <w:t>Average tangible common shareholders’ equity</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3"/>
                <w:szCs w:val="13"/>
                <w:color w:val="auto"/>
              </w:rPr>
              <w:t>10.39</w:t>
            </w:r>
          </w:p>
        </w:tc>
        <w:tc>
          <w:tcPr>
            <w:tcW w:w="320" w:type="dxa"/>
            <w:vAlign w:val="bottom"/>
            <w:gridSpan w:val="2"/>
          </w:tcPr>
          <w:p>
            <w:pPr>
              <w:jc w:val="right"/>
              <w:ind w:right="120"/>
              <w:spacing w:after="0" w:line="149" w:lineRule="exact"/>
              <w:rPr>
                <w:sz w:val="20"/>
                <w:szCs w:val="20"/>
                <w:color w:val="auto"/>
              </w:rPr>
            </w:pPr>
            <w:r>
              <w:rPr>
                <w:rFonts w:ascii="Arial" w:cs="Arial" w:eastAsia="Arial" w:hAnsi="Arial"/>
                <w:sz w:val="13"/>
                <w:szCs w:val="13"/>
                <w:color w:val="auto"/>
              </w:rPr>
              <w:t>%</w:t>
            </w:r>
          </w:p>
        </w:tc>
        <w:tc>
          <w:tcPr>
            <w:tcW w:w="800" w:type="dxa"/>
            <w:vAlign w:val="bottom"/>
          </w:tcPr>
          <w:p>
            <w:pPr>
              <w:jc w:val="right"/>
              <w:spacing w:after="0" w:line="149" w:lineRule="exact"/>
              <w:rPr>
                <w:sz w:val="20"/>
                <w:szCs w:val="20"/>
                <w:color w:val="auto"/>
              </w:rPr>
            </w:pPr>
            <w:r>
              <w:rPr>
                <w:rFonts w:ascii="Arial" w:cs="Arial" w:eastAsia="Arial" w:hAnsi="Arial"/>
                <w:sz w:val="13"/>
                <w:szCs w:val="13"/>
                <w:color w:val="auto"/>
              </w:rPr>
              <w:t>19.08</w:t>
            </w:r>
          </w:p>
        </w:tc>
        <w:tc>
          <w:tcPr>
            <w:tcW w:w="340" w:type="dxa"/>
            <w:vAlign w:val="bottom"/>
          </w:tcPr>
          <w:p>
            <w:pPr>
              <w:jc w:val="right"/>
              <w:ind w:right="57"/>
              <w:spacing w:after="0" w:line="149" w:lineRule="exact"/>
              <w:rPr>
                <w:sz w:val="20"/>
                <w:szCs w:val="20"/>
                <w:color w:val="auto"/>
              </w:rPr>
            </w:pPr>
            <w:r>
              <w:rPr>
                <w:rFonts w:ascii="Arial" w:cs="Arial" w:eastAsia="Arial" w:hAnsi="Arial"/>
                <w:sz w:val="13"/>
                <w:szCs w:val="13"/>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3"/>
                <w:szCs w:val="13"/>
                <w:color w:val="auto"/>
              </w:rPr>
              <w:t>18.85</w:t>
            </w:r>
          </w:p>
        </w:tc>
        <w:tc>
          <w:tcPr>
            <w:tcW w:w="320" w:type="dxa"/>
            <w:vAlign w:val="bottom"/>
          </w:tcPr>
          <w:p>
            <w:pPr>
              <w:jc w:val="center"/>
              <w:spacing w:after="0" w:line="149" w:lineRule="exact"/>
              <w:rPr>
                <w:sz w:val="20"/>
                <w:szCs w:val="20"/>
                <w:color w:val="auto"/>
              </w:rPr>
            </w:pPr>
            <w:r>
              <w:rPr>
                <w:rFonts w:ascii="Arial" w:cs="Arial" w:eastAsia="Arial" w:hAnsi="Arial"/>
                <w:sz w:val="13"/>
                <w:szCs w:val="13"/>
                <w:color w:val="auto"/>
                <w:w w:val="86"/>
              </w:rPr>
              <w:t>%</w:t>
            </w:r>
          </w:p>
        </w:tc>
        <w:tc>
          <w:tcPr>
            <w:tcW w:w="820" w:type="dxa"/>
            <w:vAlign w:val="bottom"/>
          </w:tcPr>
          <w:p>
            <w:pPr>
              <w:jc w:val="right"/>
              <w:spacing w:after="0" w:line="149" w:lineRule="exact"/>
              <w:rPr>
                <w:sz w:val="20"/>
                <w:szCs w:val="20"/>
                <w:color w:val="auto"/>
              </w:rPr>
            </w:pPr>
            <w:r>
              <w:rPr>
                <w:rFonts w:ascii="Arial" w:cs="Arial" w:eastAsia="Arial" w:hAnsi="Arial"/>
                <w:sz w:val="13"/>
                <w:szCs w:val="13"/>
                <w:color w:val="auto"/>
              </w:rPr>
              <w:t>18.83</w:t>
            </w:r>
          </w:p>
        </w:tc>
        <w:tc>
          <w:tcPr>
            <w:tcW w:w="340" w:type="dxa"/>
            <w:vAlign w:val="bottom"/>
          </w:tcPr>
          <w:p>
            <w:pPr>
              <w:jc w:val="right"/>
              <w:ind w:right="77"/>
              <w:spacing w:after="0" w:line="149" w:lineRule="exact"/>
              <w:rPr>
                <w:sz w:val="20"/>
                <w:szCs w:val="20"/>
                <w:color w:val="auto"/>
              </w:rPr>
            </w:pPr>
            <w:r>
              <w:rPr>
                <w:rFonts w:ascii="Arial" w:cs="Arial" w:eastAsia="Arial" w:hAnsi="Arial"/>
                <w:sz w:val="13"/>
                <w:szCs w:val="13"/>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3"/>
                <w:szCs w:val="13"/>
                <w:color w:val="auto"/>
              </w:rPr>
              <w:t>19.56</w:t>
            </w:r>
          </w:p>
        </w:tc>
        <w:tc>
          <w:tcPr>
            <w:tcW w:w="360" w:type="dxa"/>
            <w:vAlign w:val="bottom"/>
            <w:gridSpan w:val="2"/>
          </w:tcPr>
          <w:p>
            <w:pPr>
              <w:jc w:val="right"/>
              <w:ind w:right="160"/>
              <w:spacing w:after="0" w:line="14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5500" w:type="dxa"/>
            <w:vAlign w:val="bottom"/>
            <w:tcBorders>
              <w:bottom w:val="single" w:sz="8" w:color="CFF0FC"/>
            </w:tcBorders>
            <w:shd w:val="clear" w:color="auto" w:fill="CFF0FC"/>
          </w:tcPr>
          <w:p>
            <w:pPr>
              <w:spacing w:after="0" w:line="149" w:lineRule="exact"/>
              <w:rPr>
                <w:sz w:val="20"/>
                <w:szCs w:val="20"/>
                <w:color w:val="auto"/>
              </w:rPr>
            </w:pPr>
            <w:r>
              <w:rPr>
                <w:rFonts w:ascii="Arial" w:cs="Arial" w:eastAsia="Arial" w:hAnsi="Arial"/>
                <w:sz w:val="13"/>
                <w:szCs w:val="13"/>
                <w:color w:val="auto"/>
              </w:rPr>
              <w:t>Efficiency ratio (b)</w:t>
            </w:r>
          </w:p>
        </w:tc>
        <w:tc>
          <w:tcPr>
            <w:tcW w:w="160" w:type="dxa"/>
            <w:vAlign w:val="bottom"/>
            <w:tcBorders>
              <w:bottom w:val="single" w:sz="8" w:color="auto"/>
            </w:tcBorders>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jc w:val="right"/>
              <w:spacing w:after="0" w:line="149" w:lineRule="exact"/>
              <w:rPr>
                <w:sz w:val="20"/>
                <w:szCs w:val="20"/>
                <w:color w:val="auto"/>
              </w:rPr>
            </w:pPr>
            <w:r>
              <w:rPr>
                <w:rFonts w:ascii="Arial" w:cs="Arial" w:eastAsia="Arial" w:hAnsi="Arial"/>
                <w:sz w:val="13"/>
                <w:szCs w:val="13"/>
                <w:color w:val="auto"/>
              </w:rPr>
              <w:t>58.91</w:t>
            </w:r>
          </w:p>
        </w:tc>
        <w:tc>
          <w:tcPr>
            <w:tcW w:w="320" w:type="dxa"/>
            <w:vAlign w:val="bottom"/>
            <w:tcBorders>
              <w:bottom w:val="single" w:sz="8" w:color="CFF0FC"/>
            </w:tcBorders>
            <w:gridSpan w:val="2"/>
            <w:shd w:val="clear" w:color="auto" w:fill="CFF0FC"/>
          </w:tcPr>
          <w:p>
            <w:pPr>
              <w:jc w:val="right"/>
              <w:ind w:right="120"/>
              <w:spacing w:after="0" w:line="149" w:lineRule="exact"/>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CFF0FC"/>
          </w:tcPr>
          <w:p>
            <w:pPr>
              <w:jc w:val="right"/>
              <w:spacing w:after="0" w:line="149" w:lineRule="exact"/>
              <w:rPr>
                <w:sz w:val="20"/>
                <w:szCs w:val="20"/>
                <w:color w:val="auto"/>
              </w:rPr>
            </w:pPr>
            <w:r>
              <w:rPr>
                <w:rFonts w:ascii="Arial" w:cs="Arial" w:eastAsia="Arial" w:hAnsi="Arial"/>
                <w:sz w:val="13"/>
                <w:szCs w:val="13"/>
                <w:color w:val="auto"/>
              </w:rPr>
              <w:t>53.15</w:t>
            </w:r>
          </w:p>
        </w:tc>
        <w:tc>
          <w:tcPr>
            <w:tcW w:w="340" w:type="dxa"/>
            <w:vAlign w:val="bottom"/>
            <w:tcBorders>
              <w:bottom w:val="single" w:sz="8" w:color="CFF0FC"/>
            </w:tcBorders>
            <w:shd w:val="clear" w:color="auto" w:fill="CFF0FC"/>
          </w:tcPr>
          <w:p>
            <w:pPr>
              <w:jc w:val="right"/>
              <w:ind w:right="57"/>
              <w:spacing w:after="0" w:line="149" w:lineRule="exact"/>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shd w:val="clear" w:color="auto" w:fill="CFF0FC"/>
          </w:tcPr>
          <w:p>
            <w:pPr>
              <w:jc w:val="right"/>
              <w:spacing w:after="0" w:line="149" w:lineRule="exact"/>
              <w:rPr>
                <w:sz w:val="20"/>
                <w:szCs w:val="20"/>
                <w:color w:val="auto"/>
              </w:rPr>
            </w:pPr>
            <w:r>
              <w:rPr>
                <w:rFonts w:ascii="Arial" w:cs="Arial" w:eastAsia="Arial" w:hAnsi="Arial"/>
                <w:sz w:val="13"/>
                <w:szCs w:val="13"/>
                <w:color w:val="auto"/>
              </w:rPr>
              <w:t>55.95</w:t>
            </w:r>
          </w:p>
        </w:tc>
        <w:tc>
          <w:tcPr>
            <w:tcW w:w="320" w:type="dxa"/>
            <w:vAlign w:val="bottom"/>
            <w:tcBorders>
              <w:bottom w:val="single" w:sz="8" w:color="CFF0FC"/>
            </w:tcBorders>
            <w:shd w:val="clear" w:color="auto" w:fill="CFF0FC"/>
          </w:tcPr>
          <w:p>
            <w:pPr>
              <w:jc w:val="center"/>
              <w:spacing w:after="0" w:line="149" w:lineRule="exact"/>
              <w:rPr>
                <w:sz w:val="20"/>
                <w:szCs w:val="20"/>
                <w:color w:val="auto"/>
              </w:rPr>
            </w:pPr>
            <w:r>
              <w:rPr>
                <w:rFonts w:ascii="Arial" w:cs="Arial" w:eastAsia="Arial" w:hAnsi="Arial"/>
                <w:sz w:val="13"/>
                <w:szCs w:val="13"/>
                <w:color w:val="auto"/>
                <w:w w:val="86"/>
              </w:rPr>
              <w:t>%</w:t>
            </w:r>
          </w:p>
        </w:tc>
        <w:tc>
          <w:tcPr>
            <w:tcW w:w="820" w:type="dxa"/>
            <w:vAlign w:val="bottom"/>
            <w:tcBorders>
              <w:bottom w:val="single" w:sz="8" w:color="auto"/>
            </w:tcBorders>
            <w:shd w:val="clear" w:color="auto" w:fill="CFF0FC"/>
          </w:tcPr>
          <w:p>
            <w:pPr>
              <w:jc w:val="right"/>
              <w:spacing w:after="0" w:line="149" w:lineRule="exact"/>
              <w:rPr>
                <w:sz w:val="20"/>
                <w:szCs w:val="20"/>
                <w:color w:val="auto"/>
              </w:rPr>
            </w:pPr>
            <w:r>
              <w:rPr>
                <w:rFonts w:ascii="Arial" w:cs="Arial" w:eastAsia="Arial" w:hAnsi="Arial"/>
                <w:sz w:val="13"/>
                <w:szCs w:val="13"/>
                <w:color w:val="auto"/>
              </w:rPr>
              <w:t>55.98</w:t>
            </w:r>
          </w:p>
        </w:tc>
        <w:tc>
          <w:tcPr>
            <w:tcW w:w="340" w:type="dxa"/>
            <w:vAlign w:val="bottom"/>
            <w:tcBorders>
              <w:bottom w:val="single" w:sz="8" w:color="CFF0FC"/>
            </w:tcBorders>
            <w:shd w:val="clear" w:color="auto" w:fill="CFF0FC"/>
          </w:tcPr>
          <w:p>
            <w:pPr>
              <w:jc w:val="right"/>
              <w:ind w:right="77"/>
              <w:spacing w:after="0" w:line="149" w:lineRule="exact"/>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shd w:val="clear" w:color="auto" w:fill="CFF0FC"/>
          </w:tcPr>
          <w:p>
            <w:pPr>
              <w:jc w:val="right"/>
              <w:spacing w:after="0" w:line="149" w:lineRule="exact"/>
              <w:rPr>
                <w:sz w:val="20"/>
                <w:szCs w:val="20"/>
                <w:color w:val="auto"/>
              </w:rPr>
            </w:pPr>
            <w:r>
              <w:rPr>
                <w:rFonts w:ascii="Arial" w:cs="Arial" w:eastAsia="Arial" w:hAnsi="Arial"/>
                <w:sz w:val="13"/>
                <w:szCs w:val="13"/>
                <w:color w:val="auto"/>
              </w:rPr>
              <w:t>57.56</w:t>
            </w:r>
          </w:p>
        </w:tc>
        <w:tc>
          <w:tcPr>
            <w:tcW w:w="360" w:type="dxa"/>
            <w:vAlign w:val="bottom"/>
            <w:tcBorders>
              <w:bottom w:val="single" w:sz="8" w:color="CFF0FC"/>
            </w:tcBorders>
            <w:gridSpan w:val="2"/>
            <w:shd w:val="clear" w:color="auto" w:fill="CFF0FC"/>
          </w:tcPr>
          <w:p>
            <w:pPr>
              <w:jc w:val="right"/>
              <w:ind w:right="160"/>
              <w:spacing w:after="0" w:line="14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Arial" w:cs="Arial" w:eastAsia="Arial" w:hAnsi="Arial"/>
                <w:sz w:val="13"/>
                <w:szCs w:val="13"/>
                <w:b w:val="1"/>
                <w:bCs w:val="1"/>
                <w:color w:val="auto"/>
              </w:rPr>
              <w:t>Balance sheet data</w:t>
            </w: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50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500" w:type="dxa"/>
            <w:vAlign w:val="bottom"/>
            <w:shd w:val="clear" w:color="auto" w:fill="CFF0FC"/>
          </w:tcPr>
          <w:p>
            <w:pPr>
              <w:spacing w:after="0" w:line="149" w:lineRule="exact"/>
              <w:rPr>
                <w:sz w:val="20"/>
                <w:szCs w:val="20"/>
                <w:color w:val="auto"/>
              </w:rPr>
            </w:pPr>
            <w:r>
              <w:rPr>
                <w:rFonts w:ascii="Arial" w:cs="Arial" w:eastAsia="Arial" w:hAnsi="Arial"/>
                <w:sz w:val="13"/>
                <w:szCs w:val="13"/>
                <w:i w:val="1"/>
                <w:iCs w:val="1"/>
                <w:color w:val="auto"/>
              </w:rPr>
              <w:t>In millions, except per share</w:t>
            </w: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00" w:type="dxa"/>
            <w:vAlign w:val="bottom"/>
          </w:tcPr>
          <w:p>
            <w:pPr>
              <w:spacing w:after="0" w:line="149" w:lineRule="exact"/>
              <w:rPr>
                <w:sz w:val="20"/>
                <w:szCs w:val="20"/>
                <w:color w:val="auto"/>
              </w:rPr>
            </w:pPr>
            <w:r>
              <w:rPr>
                <w:rFonts w:ascii="Arial" w:cs="Arial" w:eastAsia="Arial" w:hAnsi="Arial"/>
                <w:sz w:val="13"/>
                <w:szCs w:val="13"/>
                <w:color w:val="auto"/>
              </w:rPr>
              <w:t>Average balances</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00" w:type="dxa"/>
            <w:vAlign w:val="bottom"/>
            <w:shd w:val="clear" w:color="auto" w:fill="CFF0FC"/>
          </w:tcPr>
          <w:p>
            <w:pPr>
              <w:ind w:left="260"/>
              <w:spacing w:after="0" w:line="149" w:lineRule="exact"/>
              <w:rPr>
                <w:sz w:val="20"/>
                <w:szCs w:val="20"/>
                <w:color w:val="auto"/>
              </w:rPr>
            </w:pPr>
            <w:r>
              <w:rPr>
                <w:rFonts w:ascii="Arial" w:cs="Arial" w:eastAsia="Arial" w:hAnsi="Arial"/>
                <w:sz w:val="13"/>
                <w:szCs w:val="13"/>
                <w:color w:val="auto"/>
              </w:rPr>
              <w:t>Total assets (c)</w:t>
            </w:r>
          </w:p>
        </w:tc>
        <w:tc>
          <w:tcPr>
            <w:tcW w:w="160" w:type="dxa"/>
            <w:vAlign w:val="bottom"/>
            <w:shd w:val="clear" w:color="auto" w:fill="CFF0FC"/>
          </w:tcPr>
          <w:p>
            <w:pPr>
              <w:jc w:val="right"/>
              <w:ind w:right="47"/>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120,585</w:t>
            </w: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122,554</w:t>
            </w:r>
          </w:p>
        </w:tc>
        <w:tc>
          <w:tcPr>
            <w:tcW w:w="3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120,388</w:t>
            </w:r>
          </w:p>
        </w:tc>
        <w:tc>
          <w:tcPr>
            <w:tcW w:w="3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118,487</w:t>
            </w:r>
          </w:p>
        </w:tc>
        <w:tc>
          <w:tcPr>
            <w:tcW w:w="3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116,839</w:t>
            </w: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00" w:type="dxa"/>
            <w:vAlign w:val="bottom"/>
          </w:tcPr>
          <w:p>
            <w:pPr>
              <w:ind w:left="260"/>
              <w:spacing w:after="0" w:line="149" w:lineRule="exact"/>
              <w:rPr>
                <w:sz w:val="20"/>
                <w:szCs w:val="20"/>
                <w:color w:val="auto"/>
              </w:rPr>
            </w:pPr>
            <w:r>
              <w:rPr>
                <w:rFonts w:ascii="Arial" w:cs="Arial" w:eastAsia="Arial" w:hAnsi="Arial"/>
                <w:sz w:val="13"/>
                <w:szCs w:val="13"/>
                <w:color w:val="auto"/>
              </w:rPr>
              <w:t>Total tangible assets (c)</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3"/>
                <w:szCs w:val="13"/>
                <w:color w:val="auto"/>
              </w:rPr>
              <w:t>115,972</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3"/>
                <w:szCs w:val="13"/>
                <w:color w:val="auto"/>
              </w:rPr>
              <w:t>117,938</w:t>
            </w:r>
          </w:p>
        </w:tc>
        <w:tc>
          <w:tcPr>
            <w:tcW w:w="3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3"/>
                <w:szCs w:val="13"/>
                <w:color w:val="auto"/>
              </w:rPr>
              <w:t>115,769</w:t>
            </w:r>
          </w:p>
        </w:tc>
        <w:tc>
          <w:tcPr>
            <w:tcW w:w="3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3"/>
                <w:szCs w:val="13"/>
                <w:color w:val="auto"/>
              </w:rPr>
              <w:t>113,864</w:t>
            </w:r>
          </w:p>
        </w:tc>
        <w:tc>
          <w:tcPr>
            <w:tcW w:w="3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3"/>
                <w:szCs w:val="13"/>
                <w:color w:val="auto"/>
              </w:rPr>
              <w:t>112,213</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00" w:type="dxa"/>
            <w:vAlign w:val="bottom"/>
            <w:shd w:val="clear" w:color="auto" w:fill="CFF0FC"/>
          </w:tcPr>
          <w:p>
            <w:pPr>
              <w:ind w:left="260"/>
              <w:spacing w:after="0" w:line="149" w:lineRule="exact"/>
              <w:rPr>
                <w:sz w:val="20"/>
                <w:szCs w:val="20"/>
                <w:color w:val="auto"/>
              </w:rPr>
            </w:pPr>
            <w:r>
              <w:rPr>
                <w:rFonts w:ascii="Arial" w:cs="Arial" w:eastAsia="Arial" w:hAnsi="Arial"/>
                <w:sz w:val="13"/>
                <w:szCs w:val="13"/>
                <w:color w:val="auto"/>
              </w:rPr>
              <w:t>Earning assets</w:t>
            </w: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108,226</w:t>
            </w: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110,581</w:t>
            </w:r>
          </w:p>
        </w:tc>
        <w:tc>
          <w:tcPr>
            <w:tcW w:w="3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108,643</w:t>
            </w:r>
          </w:p>
        </w:tc>
        <w:tc>
          <w:tcPr>
            <w:tcW w:w="3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107,511</w:t>
            </w:r>
          </w:p>
        </w:tc>
        <w:tc>
          <w:tcPr>
            <w:tcW w:w="3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106,096</w:t>
            </w: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00" w:type="dxa"/>
            <w:vAlign w:val="bottom"/>
          </w:tcPr>
          <w:p>
            <w:pPr>
              <w:ind w:left="260"/>
              <w:spacing w:after="0" w:line="149" w:lineRule="exact"/>
              <w:rPr>
                <w:sz w:val="20"/>
                <w:szCs w:val="20"/>
                <w:color w:val="auto"/>
              </w:rPr>
            </w:pPr>
            <w:r>
              <w:rPr>
                <w:rFonts w:ascii="Arial" w:cs="Arial" w:eastAsia="Arial" w:hAnsi="Arial"/>
                <w:sz w:val="13"/>
                <w:szCs w:val="13"/>
                <w:color w:val="auto"/>
              </w:rPr>
              <w:t>Investment securities</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3"/>
                <w:szCs w:val="13"/>
                <w:color w:val="auto"/>
              </w:rPr>
              <w:t>9,102</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3"/>
                <w:szCs w:val="13"/>
                <w:color w:val="auto"/>
              </w:rPr>
              <w:t>10,044</w:t>
            </w:r>
          </w:p>
        </w:tc>
        <w:tc>
          <w:tcPr>
            <w:tcW w:w="3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3"/>
                <w:szCs w:val="13"/>
                <w:color w:val="auto"/>
              </w:rPr>
              <w:t>11,075</w:t>
            </w:r>
          </w:p>
        </w:tc>
        <w:tc>
          <w:tcPr>
            <w:tcW w:w="3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3"/>
                <w:szCs w:val="13"/>
                <w:color w:val="auto"/>
              </w:rPr>
              <w:t>12,170</w:t>
            </w:r>
          </w:p>
        </w:tc>
        <w:tc>
          <w:tcPr>
            <w:tcW w:w="3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3"/>
                <w:szCs w:val="13"/>
                <w:color w:val="auto"/>
              </w:rPr>
              <w:t>12,949</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00" w:type="dxa"/>
            <w:vAlign w:val="bottom"/>
            <w:shd w:val="clear" w:color="auto" w:fill="CFF0FC"/>
          </w:tcPr>
          <w:p>
            <w:pPr>
              <w:ind w:left="260"/>
              <w:spacing w:after="0" w:line="149" w:lineRule="exact"/>
              <w:rPr>
                <w:sz w:val="20"/>
                <w:szCs w:val="20"/>
                <w:color w:val="auto"/>
              </w:rPr>
            </w:pPr>
            <w:r>
              <w:rPr>
                <w:rFonts w:ascii="Arial" w:cs="Arial" w:eastAsia="Arial" w:hAnsi="Arial"/>
                <w:sz w:val="13"/>
                <w:szCs w:val="13"/>
                <w:color w:val="auto"/>
              </w:rPr>
              <w:t>Loans and leases, net of unearned discount</w:t>
            </w: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91,706</w:t>
            </w: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90,244</w:t>
            </w:r>
          </w:p>
        </w:tc>
        <w:tc>
          <w:tcPr>
            <w:tcW w:w="3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90,078</w:t>
            </w:r>
          </w:p>
        </w:tc>
        <w:tc>
          <w:tcPr>
            <w:tcW w:w="3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89,150</w:t>
            </w:r>
          </w:p>
        </w:tc>
        <w:tc>
          <w:tcPr>
            <w:tcW w:w="3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88,477</w:t>
            </w: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00" w:type="dxa"/>
            <w:vAlign w:val="bottom"/>
          </w:tcPr>
          <w:p>
            <w:pPr>
              <w:ind w:left="260"/>
              <w:spacing w:after="0" w:line="149" w:lineRule="exact"/>
              <w:rPr>
                <w:sz w:val="20"/>
                <w:szCs w:val="20"/>
                <w:color w:val="auto"/>
              </w:rPr>
            </w:pPr>
            <w:r>
              <w:rPr>
                <w:rFonts w:ascii="Arial" w:cs="Arial" w:eastAsia="Arial" w:hAnsi="Arial"/>
                <w:sz w:val="13"/>
                <w:szCs w:val="13"/>
                <w:color w:val="auto"/>
              </w:rPr>
              <w:t>Deposits</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3"/>
                <w:szCs w:val="13"/>
                <w:color w:val="auto"/>
              </w:rPr>
              <w:t>96,166</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3"/>
                <w:szCs w:val="13"/>
                <w:color w:val="auto"/>
              </w:rPr>
              <w:t>96,903</w:t>
            </w:r>
          </w:p>
        </w:tc>
        <w:tc>
          <w:tcPr>
            <w:tcW w:w="3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3"/>
                <w:szCs w:val="13"/>
                <w:color w:val="auto"/>
              </w:rPr>
              <w:t>94,095</w:t>
            </w:r>
          </w:p>
        </w:tc>
        <w:tc>
          <w:tcPr>
            <w:tcW w:w="3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3"/>
                <w:szCs w:val="13"/>
                <w:color w:val="auto"/>
              </w:rPr>
              <w:t>91,371</w:t>
            </w:r>
          </w:p>
        </w:tc>
        <w:tc>
          <w:tcPr>
            <w:tcW w:w="3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3"/>
                <w:szCs w:val="13"/>
                <w:color w:val="auto"/>
              </w:rPr>
              <w:t>89,733</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00" w:type="dxa"/>
            <w:vAlign w:val="bottom"/>
            <w:shd w:val="clear" w:color="auto" w:fill="CFF0FC"/>
          </w:tcPr>
          <w:p>
            <w:pPr>
              <w:ind w:left="260"/>
              <w:spacing w:after="0" w:line="149" w:lineRule="exact"/>
              <w:rPr>
                <w:sz w:val="20"/>
                <w:szCs w:val="20"/>
                <w:color w:val="auto"/>
              </w:rPr>
            </w:pPr>
            <w:r>
              <w:rPr>
                <w:rFonts w:ascii="Arial" w:cs="Arial" w:eastAsia="Arial" w:hAnsi="Arial"/>
                <w:sz w:val="13"/>
                <w:szCs w:val="13"/>
                <w:color w:val="auto"/>
              </w:rPr>
              <w:t>Common shareholders’ equity (c)</w:t>
            </w: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14,470</w:t>
            </w: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14,582</w:t>
            </w:r>
          </w:p>
        </w:tc>
        <w:tc>
          <w:tcPr>
            <w:tcW w:w="3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14,464</w:t>
            </w:r>
          </w:p>
        </w:tc>
        <w:tc>
          <w:tcPr>
            <w:tcW w:w="3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14,398</w:t>
            </w:r>
          </w:p>
        </w:tc>
        <w:tc>
          <w:tcPr>
            <w:tcW w:w="3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14,337</w:t>
            </w: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00" w:type="dxa"/>
            <w:vAlign w:val="bottom"/>
          </w:tcPr>
          <w:p>
            <w:pPr>
              <w:ind w:left="260"/>
              <w:spacing w:after="0" w:line="149" w:lineRule="exact"/>
              <w:rPr>
                <w:sz w:val="20"/>
                <w:szCs w:val="20"/>
                <w:color w:val="auto"/>
              </w:rPr>
            </w:pPr>
            <w:r>
              <w:rPr>
                <w:rFonts w:ascii="Arial" w:cs="Arial" w:eastAsia="Arial" w:hAnsi="Arial"/>
                <w:sz w:val="13"/>
                <w:szCs w:val="13"/>
                <w:color w:val="auto"/>
              </w:rPr>
              <w:t>Tangible common shareholders’ equity (c)</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3"/>
                <w:szCs w:val="13"/>
                <w:color w:val="auto"/>
              </w:rPr>
              <w:t>9,857</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3"/>
                <w:szCs w:val="13"/>
                <w:color w:val="auto"/>
              </w:rPr>
              <w:t>9,966</w:t>
            </w:r>
          </w:p>
        </w:tc>
        <w:tc>
          <w:tcPr>
            <w:tcW w:w="3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3"/>
                <w:szCs w:val="13"/>
                <w:color w:val="auto"/>
              </w:rPr>
              <w:t>9,845</w:t>
            </w:r>
          </w:p>
        </w:tc>
        <w:tc>
          <w:tcPr>
            <w:tcW w:w="3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3"/>
                <w:szCs w:val="13"/>
                <w:color w:val="auto"/>
              </w:rPr>
              <w:t>9,775</w:t>
            </w:r>
          </w:p>
        </w:tc>
        <w:tc>
          <w:tcPr>
            <w:tcW w:w="3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3"/>
                <w:szCs w:val="13"/>
                <w:color w:val="auto"/>
              </w:rPr>
              <w:t>9,711</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00" w:type="dxa"/>
            <w:vAlign w:val="bottom"/>
            <w:shd w:val="clear" w:color="auto" w:fill="CFF0FC"/>
          </w:tcPr>
          <w:p>
            <w:pPr>
              <w:spacing w:after="0" w:line="149" w:lineRule="exact"/>
              <w:rPr>
                <w:sz w:val="20"/>
                <w:szCs w:val="20"/>
                <w:color w:val="auto"/>
              </w:rPr>
            </w:pPr>
            <w:r>
              <w:rPr>
                <w:rFonts w:ascii="Arial" w:cs="Arial" w:eastAsia="Arial" w:hAnsi="Arial"/>
                <w:sz w:val="13"/>
                <w:szCs w:val="13"/>
                <w:color w:val="auto"/>
              </w:rPr>
              <w:t>At end of quarter</w:t>
            </w: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00" w:type="dxa"/>
            <w:vAlign w:val="bottom"/>
          </w:tcPr>
          <w:p>
            <w:pPr>
              <w:ind w:left="260"/>
              <w:spacing w:after="0" w:line="149" w:lineRule="exact"/>
              <w:rPr>
                <w:sz w:val="20"/>
                <w:szCs w:val="20"/>
                <w:color w:val="auto"/>
              </w:rPr>
            </w:pPr>
            <w:r>
              <w:rPr>
                <w:rFonts w:ascii="Arial" w:cs="Arial" w:eastAsia="Arial" w:hAnsi="Arial"/>
                <w:sz w:val="13"/>
                <w:szCs w:val="13"/>
                <w:color w:val="auto"/>
              </w:rPr>
              <w:t>Total assets (c)</w:t>
            </w:r>
          </w:p>
        </w:tc>
        <w:tc>
          <w:tcPr>
            <w:tcW w:w="160" w:type="dxa"/>
            <w:vAlign w:val="bottom"/>
          </w:tcPr>
          <w:p>
            <w:pPr>
              <w:jc w:val="right"/>
              <w:ind w:right="47"/>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line="149" w:lineRule="exact"/>
              <w:rPr>
                <w:sz w:val="20"/>
                <w:szCs w:val="20"/>
                <w:color w:val="auto"/>
              </w:rPr>
            </w:pPr>
            <w:r>
              <w:rPr>
                <w:rFonts w:ascii="Arial" w:cs="Arial" w:eastAsia="Arial" w:hAnsi="Arial"/>
                <w:sz w:val="13"/>
                <w:szCs w:val="13"/>
                <w:color w:val="auto"/>
              </w:rPr>
              <w:t>124,578</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3"/>
                <w:szCs w:val="13"/>
                <w:color w:val="auto"/>
              </w:rPr>
              <w:t>119,873</w:t>
            </w:r>
          </w:p>
        </w:tc>
        <w:tc>
          <w:tcPr>
            <w:tcW w:w="3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3"/>
                <w:szCs w:val="13"/>
                <w:color w:val="auto"/>
              </w:rPr>
              <w:t>125,501</w:t>
            </w:r>
          </w:p>
        </w:tc>
        <w:tc>
          <w:tcPr>
            <w:tcW w:w="3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3"/>
                <w:szCs w:val="13"/>
                <w:color w:val="auto"/>
              </w:rPr>
              <w:t>121,555</w:t>
            </w:r>
          </w:p>
        </w:tc>
        <w:tc>
          <w:tcPr>
            <w:tcW w:w="3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3"/>
                <w:szCs w:val="13"/>
                <w:color w:val="auto"/>
              </w:rPr>
              <w:t>120,025</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00" w:type="dxa"/>
            <w:vAlign w:val="bottom"/>
            <w:shd w:val="clear" w:color="auto" w:fill="CFF0FC"/>
          </w:tcPr>
          <w:p>
            <w:pPr>
              <w:ind w:left="260"/>
              <w:spacing w:after="0" w:line="149" w:lineRule="exact"/>
              <w:rPr>
                <w:sz w:val="20"/>
                <w:szCs w:val="20"/>
                <w:color w:val="auto"/>
              </w:rPr>
            </w:pPr>
            <w:r>
              <w:rPr>
                <w:rFonts w:ascii="Arial" w:cs="Arial" w:eastAsia="Arial" w:hAnsi="Arial"/>
                <w:sz w:val="13"/>
                <w:szCs w:val="13"/>
                <w:color w:val="auto"/>
              </w:rPr>
              <w:t>Total tangible assets (c)</w:t>
            </w: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119,966</w:t>
            </w: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115,258</w:t>
            </w:r>
          </w:p>
        </w:tc>
        <w:tc>
          <w:tcPr>
            <w:tcW w:w="3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120,883</w:t>
            </w:r>
          </w:p>
        </w:tc>
        <w:tc>
          <w:tcPr>
            <w:tcW w:w="3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116,934</w:t>
            </w:r>
          </w:p>
        </w:tc>
        <w:tc>
          <w:tcPr>
            <w:tcW w:w="3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115,400</w:t>
            </w: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00" w:type="dxa"/>
            <w:vAlign w:val="bottom"/>
          </w:tcPr>
          <w:p>
            <w:pPr>
              <w:ind w:left="260"/>
              <w:spacing w:after="0" w:line="149" w:lineRule="exact"/>
              <w:rPr>
                <w:sz w:val="20"/>
                <w:szCs w:val="20"/>
                <w:color w:val="auto"/>
              </w:rPr>
            </w:pPr>
            <w:r>
              <w:rPr>
                <w:rFonts w:ascii="Arial" w:cs="Arial" w:eastAsia="Arial" w:hAnsi="Arial"/>
                <w:sz w:val="13"/>
                <w:szCs w:val="13"/>
                <w:color w:val="auto"/>
              </w:rPr>
              <w:t>Earning assets</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3"/>
                <w:szCs w:val="13"/>
                <w:color w:val="auto"/>
              </w:rPr>
              <w:t>112,046</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3"/>
                <w:szCs w:val="13"/>
                <w:color w:val="auto"/>
              </w:rPr>
              <w:t>107,673</w:t>
            </w:r>
          </w:p>
        </w:tc>
        <w:tc>
          <w:tcPr>
            <w:tcW w:w="3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3"/>
                <w:szCs w:val="13"/>
                <w:color w:val="auto"/>
              </w:rPr>
              <w:t>113,067</w:t>
            </w:r>
          </w:p>
        </w:tc>
        <w:tc>
          <w:tcPr>
            <w:tcW w:w="3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3"/>
                <w:szCs w:val="13"/>
                <w:color w:val="auto"/>
              </w:rPr>
              <w:t>110,323</w:t>
            </w:r>
          </w:p>
        </w:tc>
        <w:tc>
          <w:tcPr>
            <w:tcW w:w="3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3"/>
                <w:szCs w:val="13"/>
                <w:color w:val="auto"/>
              </w:rPr>
              <w:t>108,849</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00" w:type="dxa"/>
            <w:vAlign w:val="bottom"/>
            <w:shd w:val="clear" w:color="auto" w:fill="CFF0FC"/>
          </w:tcPr>
          <w:p>
            <w:pPr>
              <w:ind w:left="260"/>
              <w:spacing w:after="0" w:line="149" w:lineRule="exact"/>
              <w:rPr>
                <w:sz w:val="20"/>
                <w:szCs w:val="20"/>
                <w:color w:val="auto"/>
              </w:rPr>
            </w:pPr>
            <w:r>
              <w:rPr>
                <w:rFonts w:ascii="Arial" w:cs="Arial" w:eastAsia="Arial" w:hAnsi="Arial"/>
                <w:sz w:val="13"/>
                <w:szCs w:val="13"/>
                <w:color w:val="auto"/>
              </w:rPr>
              <w:t>Investment securities</w:t>
            </w: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8,957</w:t>
            </w: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9,497</w:t>
            </w:r>
          </w:p>
        </w:tc>
        <w:tc>
          <w:tcPr>
            <w:tcW w:w="3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10,678</w:t>
            </w:r>
          </w:p>
        </w:tc>
        <w:tc>
          <w:tcPr>
            <w:tcW w:w="3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11,580</w:t>
            </w:r>
          </w:p>
        </w:tc>
        <w:tc>
          <w:tcPr>
            <w:tcW w:w="3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12,537</w:t>
            </w: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00" w:type="dxa"/>
            <w:vAlign w:val="bottom"/>
          </w:tcPr>
          <w:p>
            <w:pPr>
              <w:ind w:left="260"/>
              <w:spacing w:after="0" w:line="149" w:lineRule="exact"/>
              <w:rPr>
                <w:sz w:val="20"/>
                <w:szCs w:val="20"/>
                <w:color w:val="auto"/>
              </w:rPr>
            </w:pPr>
            <w:r>
              <w:rPr>
                <w:rFonts w:ascii="Arial" w:cs="Arial" w:eastAsia="Arial" w:hAnsi="Arial"/>
                <w:sz w:val="13"/>
                <w:szCs w:val="13"/>
                <w:color w:val="auto"/>
              </w:rPr>
              <w:t>Loans and leases, net of unearned discount</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3"/>
                <w:szCs w:val="13"/>
                <w:color w:val="auto"/>
              </w:rPr>
              <w:t>94,142</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3"/>
                <w:szCs w:val="13"/>
                <w:color w:val="auto"/>
              </w:rPr>
              <w:t>90,923</w:t>
            </w:r>
          </w:p>
        </w:tc>
        <w:tc>
          <w:tcPr>
            <w:tcW w:w="3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3"/>
                <w:szCs w:val="13"/>
                <w:color w:val="auto"/>
              </w:rPr>
              <w:t>89,823</w:t>
            </w:r>
          </w:p>
        </w:tc>
        <w:tc>
          <w:tcPr>
            <w:tcW w:w="3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3"/>
                <w:szCs w:val="13"/>
                <w:color w:val="auto"/>
              </w:rPr>
              <w:t>89,878</w:t>
            </w:r>
          </w:p>
        </w:tc>
        <w:tc>
          <w:tcPr>
            <w:tcW w:w="3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3"/>
                <w:szCs w:val="13"/>
                <w:color w:val="auto"/>
              </w:rPr>
              <w:t>88,640</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00" w:type="dxa"/>
            <w:vAlign w:val="bottom"/>
            <w:shd w:val="clear" w:color="auto" w:fill="CFF0FC"/>
          </w:tcPr>
          <w:p>
            <w:pPr>
              <w:ind w:left="260"/>
              <w:spacing w:after="0" w:line="149" w:lineRule="exact"/>
              <w:rPr>
                <w:sz w:val="20"/>
                <w:szCs w:val="20"/>
                <w:color w:val="auto"/>
              </w:rPr>
            </w:pPr>
            <w:r>
              <w:rPr>
                <w:rFonts w:ascii="Arial" w:cs="Arial" w:eastAsia="Arial" w:hAnsi="Arial"/>
                <w:sz w:val="13"/>
                <w:szCs w:val="13"/>
                <w:color w:val="auto"/>
              </w:rPr>
              <w:t>Deposits</w:t>
            </w: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100,183</w:t>
            </w: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94,770</w:t>
            </w:r>
          </w:p>
        </w:tc>
        <w:tc>
          <w:tcPr>
            <w:tcW w:w="3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95,114</w:t>
            </w:r>
          </w:p>
        </w:tc>
        <w:tc>
          <w:tcPr>
            <w:tcW w:w="3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91,681</w:t>
            </w:r>
          </w:p>
        </w:tc>
        <w:tc>
          <w:tcPr>
            <w:tcW w:w="3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90,470</w:t>
            </w: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5500" w:type="dxa"/>
            <w:vAlign w:val="bottom"/>
          </w:tcPr>
          <w:p>
            <w:pPr>
              <w:ind w:left="260"/>
              <w:spacing w:after="0" w:line="134" w:lineRule="exact"/>
              <w:rPr>
                <w:sz w:val="20"/>
                <w:szCs w:val="20"/>
                <w:color w:val="auto"/>
              </w:rPr>
            </w:pPr>
            <w:r>
              <w:rPr>
                <w:rFonts w:ascii="Arial" w:cs="Arial" w:eastAsia="Arial" w:hAnsi="Arial"/>
                <w:sz w:val="13"/>
                <w:szCs w:val="13"/>
                <w:color w:val="auto"/>
              </w:rPr>
              <w:t>Common shareholders’ equity, net of undeclared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500" w:type="dxa"/>
            <w:vAlign w:val="bottom"/>
          </w:tcPr>
          <w:p>
            <w:pPr>
              <w:ind w:left="420"/>
              <w:spacing w:after="0"/>
              <w:rPr>
                <w:sz w:val="20"/>
                <w:szCs w:val="20"/>
                <w:color w:val="auto"/>
              </w:rPr>
            </w:pPr>
            <w:r>
              <w:rPr>
                <w:rFonts w:ascii="Arial" w:cs="Arial" w:eastAsia="Arial" w:hAnsi="Arial"/>
                <w:sz w:val="13"/>
                <w:szCs w:val="13"/>
                <w:color w:val="auto"/>
              </w:rPr>
              <w:t>cumulative preferred dividends (c)</w:t>
            </w:r>
          </w:p>
        </w:tc>
        <w:tc>
          <w:tcPr>
            <w:tcW w:w="1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14,566</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14,467</w:t>
            </w:r>
          </w:p>
        </w:tc>
        <w:tc>
          <w:tcPr>
            <w:tcW w:w="3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14,530</w:t>
            </w:r>
          </w:p>
        </w:tc>
        <w:tc>
          <w:tcPr>
            <w:tcW w:w="3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14,457</w:t>
            </w:r>
          </w:p>
        </w:tc>
        <w:tc>
          <w:tcPr>
            <w:tcW w:w="3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14,353</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00" w:type="dxa"/>
            <w:vAlign w:val="bottom"/>
            <w:shd w:val="clear" w:color="auto" w:fill="CFF0FC"/>
          </w:tcPr>
          <w:p>
            <w:pPr>
              <w:ind w:left="260"/>
              <w:spacing w:after="0" w:line="149" w:lineRule="exact"/>
              <w:rPr>
                <w:sz w:val="20"/>
                <w:szCs w:val="20"/>
                <w:color w:val="auto"/>
              </w:rPr>
            </w:pPr>
            <w:r>
              <w:rPr>
                <w:rFonts w:ascii="Arial" w:cs="Arial" w:eastAsia="Arial" w:hAnsi="Arial"/>
                <w:sz w:val="13"/>
                <w:szCs w:val="13"/>
                <w:color w:val="auto"/>
              </w:rPr>
              <w:t>Tangible common shareholders’ equity (c)</w:t>
            </w: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9,954</w:t>
            </w: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9,852</w:t>
            </w:r>
          </w:p>
        </w:tc>
        <w:tc>
          <w:tcPr>
            <w:tcW w:w="3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9,912</w:t>
            </w:r>
          </w:p>
        </w:tc>
        <w:tc>
          <w:tcPr>
            <w:tcW w:w="3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9,836</w:t>
            </w:r>
          </w:p>
        </w:tc>
        <w:tc>
          <w:tcPr>
            <w:tcW w:w="3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9,728</w:t>
            </w: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00" w:type="dxa"/>
            <w:vAlign w:val="bottom"/>
          </w:tcPr>
          <w:p>
            <w:pPr>
              <w:ind w:left="260"/>
              <w:spacing w:after="0" w:line="149" w:lineRule="exact"/>
              <w:rPr>
                <w:sz w:val="20"/>
                <w:szCs w:val="20"/>
                <w:color w:val="auto"/>
              </w:rPr>
            </w:pPr>
            <w:r>
              <w:rPr>
                <w:rFonts w:ascii="Arial" w:cs="Arial" w:eastAsia="Arial" w:hAnsi="Arial"/>
                <w:sz w:val="13"/>
                <w:szCs w:val="13"/>
                <w:color w:val="auto"/>
              </w:rPr>
              <w:t>Equity per common share</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3"/>
                <w:szCs w:val="13"/>
                <w:color w:val="auto"/>
              </w:rPr>
              <w:t>113.54</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3"/>
                <w:szCs w:val="13"/>
                <w:color w:val="auto"/>
              </w:rPr>
              <w:t>110.78</w:t>
            </w:r>
          </w:p>
        </w:tc>
        <w:tc>
          <w:tcPr>
            <w:tcW w:w="3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3"/>
                <w:szCs w:val="13"/>
                <w:color w:val="auto"/>
              </w:rPr>
              <w:t>109.84</w:t>
            </w:r>
          </w:p>
        </w:tc>
        <w:tc>
          <w:tcPr>
            <w:tcW w:w="3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3"/>
                <w:szCs w:val="13"/>
                <w:color w:val="auto"/>
              </w:rPr>
              <w:t>107.73</w:t>
            </w:r>
          </w:p>
        </w:tc>
        <w:tc>
          <w:tcPr>
            <w:tcW w:w="3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3"/>
                <w:szCs w:val="13"/>
                <w:color w:val="auto"/>
              </w:rPr>
              <w:t>105.04</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00" w:type="dxa"/>
            <w:vAlign w:val="bottom"/>
            <w:shd w:val="clear" w:color="auto" w:fill="CFF0FC"/>
          </w:tcPr>
          <w:p>
            <w:pPr>
              <w:ind w:left="260"/>
              <w:spacing w:after="0" w:line="149" w:lineRule="exact"/>
              <w:rPr>
                <w:sz w:val="20"/>
                <w:szCs w:val="20"/>
                <w:color w:val="auto"/>
              </w:rPr>
            </w:pPr>
            <w:r>
              <w:rPr>
                <w:rFonts w:ascii="Arial" w:cs="Arial" w:eastAsia="Arial" w:hAnsi="Arial"/>
                <w:sz w:val="13"/>
                <w:szCs w:val="13"/>
                <w:color w:val="auto"/>
              </w:rPr>
              <w:t>Tangible equity per common share</w:t>
            </w: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77.60</w:t>
            </w: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75.44</w:t>
            </w:r>
          </w:p>
        </w:tc>
        <w:tc>
          <w:tcPr>
            <w:tcW w:w="3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74.93</w:t>
            </w:r>
          </w:p>
        </w:tc>
        <w:tc>
          <w:tcPr>
            <w:tcW w:w="3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73.29</w:t>
            </w:r>
          </w:p>
        </w:tc>
        <w:tc>
          <w:tcPr>
            <w:tcW w:w="3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71.19</w:t>
            </w: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00" w:hanging="492"/>
        <w:spacing w:after="0" w:line="224" w:lineRule="auto"/>
        <w:tabs>
          <w:tab w:leader="none" w:pos="500" w:val="left"/>
        </w:tabs>
        <w:numPr>
          <w:ilvl w:val="0"/>
          <w:numId w:val="25"/>
        </w:numPr>
        <w:rPr>
          <w:rFonts w:ascii="Arial" w:cs="Arial" w:eastAsia="Arial" w:hAnsi="Arial"/>
          <w:sz w:val="13"/>
          <w:szCs w:val="13"/>
          <w:i w:val="1"/>
          <w:iCs w:val="1"/>
          <w:color w:val="auto"/>
        </w:rPr>
      </w:pPr>
      <w:r>
        <w:rPr>
          <w:rFonts w:ascii="Arial" w:cs="Arial" w:eastAsia="Arial" w:hAnsi="Arial"/>
          <w:sz w:val="13"/>
          <w:szCs w:val="13"/>
          <w:i w:val="1"/>
          <w:iCs w:val="1"/>
          <w:color w:val="auto"/>
        </w:rPr>
        <w:t>Excludes amortization and balances related to goodwill and core deposit and other intangible assets and merger-related expenses which, except in the calculation of the efficiency ratio, are net of applicable income tax effects. A reconciliation of net income and net operating income appears in Table 2.</w:t>
      </w:r>
    </w:p>
    <w:p>
      <w:pPr>
        <w:ind w:left="500" w:hanging="492"/>
        <w:spacing w:after="0" w:line="216" w:lineRule="auto"/>
        <w:tabs>
          <w:tab w:leader="none" w:pos="500" w:val="left"/>
        </w:tabs>
        <w:numPr>
          <w:ilvl w:val="0"/>
          <w:numId w:val="25"/>
        </w:numPr>
        <w:rPr>
          <w:rFonts w:ascii="Arial" w:cs="Arial" w:eastAsia="Arial" w:hAnsi="Arial"/>
          <w:sz w:val="13"/>
          <w:szCs w:val="13"/>
          <w:i w:val="1"/>
          <w:iCs w:val="1"/>
          <w:color w:val="auto"/>
        </w:rPr>
      </w:pPr>
      <w:r>
        <w:rPr>
          <w:rFonts w:ascii="Arial" w:cs="Arial" w:eastAsia="Arial" w:hAnsi="Arial"/>
          <w:sz w:val="13"/>
          <w:szCs w:val="13"/>
          <w:i w:val="1"/>
          <w:iCs w:val="1"/>
          <w:color w:val="auto"/>
        </w:rPr>
        <w:t>Excludes impact of merger-related expenses and net securities transactions.</w:t>
      </w:r>
    </w:p>
    <w:p>
      <w:pPr>
        <w:ind w:left="500" w:hanging="492"/>
        <w:spacing w:after="0" w:line="227" w:lineRule="auto"/>
        <w:tabs>
          <w:tab w:leader="none" w:pos="500" w:val="left"/>
        </w:tabs>
        <w:numPr>
          <w:ilvl w:val="0"/>
          <w:numId w:val="25"/>
        </w:numPr>
        <w:rPr>
          <w:rFonts w:ascii="Arial" w:cs="Arial" w:eastAsia="Arial" w:hAnsi="Arial"/>
          <w:sz w:val="13"/>
          <w:szCs w:val="13"/>
          <w:i w:val="1"/>
          <w:iCs w:val="1"/>
          <w:color w:val="auto"/>
        </w:rPr>
      </w:pPr>
      <w:r>
        <w:rPr>
          <w:rFonts w:ascii="Arial" w:cs="Arial" w:eastAsia="Arial" w:hAnsi="Arial"/>
          <w:sz w:val="13"/>
          <w:szCs w:val="13"/>
          <w:i w:val="1"/>
          <w:iCs w:val="1"/>
          <w:color w:val="auto"/>
        </w:rPr>
        <w:t>The difference between total assets and total tangible assets, and common shareholders’ equity and tangible common shareholders’ equity, represents goodwill, core deposit and other intangible assets, net of applicable deferred tax balances. A reconciliation of such balances appears in Table 2.</w:t>
      </w:r>
    </w:p>
    <w:p>
      <w:pPr>
        <w:spacing w:after="0" w:line="192" w:lineRule="exact"/>
        <w:rPr>
          <w:rFonts w:ascii="Arial" w:cs="Arial" w:eastAsia="Arial" w:hAnsi="Arial"/>
          <w:sz w:val="13"/>
          <w:szCs w:val="13"/>
          <w:i w:val="1"/>
          <w:iCs w:val="1"/>
          <w:color w:val="auto"/>
        </w:rPr>
      </w:pPr>
    </w:p>
    <w:p>
      <w:pPr>
        <w:ind w:left="5540" w:hanging="111"/>
        <w:spacing w:after="0"/>
        <w:tabs>
          <w:tab w:leader="none" w:pos="55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77 -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77" w:name="page78"/>
    <w:bookmarkEnd w:id="77"/>
    <w:p>
      <w:pPr>
        <w:jc w:val="center"/>
        <w:spacing w:after="0"/>
        <w:rPr>
          <w:sz w:val="20"/>
          <w:szCs w:val="20"/>
          <w:color w:val="auto"/>
        </w:rPr>
      </w:pPr>
      <w:r>
        <w:rPr>
          <w:rFonts w:ascii="Arial" w:cs="Arial" w:eastAsia="Arial" w:hAnsi="Arial"/>
          <w:sz w:val="20"/>
          <w:szCs w:val="20"/>
          <w:color w:val="auto"/>
        </w:rPr>
        <w:t>M&amp;T BANK CORPORATION AND SUBSIDIARIES</w:t>
      </w:r>
    </w:p>
    <w:p>
      <w:pPr>
        <w:spacing w:after="0" w:line="10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Table 2</w:t>
      </w:r>
    </w:p>
    <w:p>
      <w:pPr>
        <w:spacing w:after="0" w:line="107" w:lineRule="exact"/>
        <w:rPr>
          <w:sz w:val="20"/>
          <w:szCs w:val="20"/>
          <w:color w:val="auto"/>
        </w:rPr>
      </w:pPr>
    </w:p>
    <w:p>
      <w:pPr>
        <w:spacing w:after="0"/>
        <w:rPr>
          <w:sz w:val="20"/>
          <w:szCs w:val="20"/>
          <w:color w:val="auto"/>
        </w:rPr>
      </w:pPr>
      <w:r>
        <w:rPr>
          <w:rFonts w:ascii="Arial" w:cs="Arial" w:eastAsia="Arial" w:hAnsi="Arial"/>
          <w:sz w:val="20"/>
          <w:szCs w:val="20"/>
          <w:color w:val="auto"/>
        </w:rPr>
        <w:t>RECONCILIATION OF QUARTERLY GAAP TO NON-GAAP MEASURES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37"/>
              <w:spacing w:after="0"/>
              <w:rPr>
                <w:sz w:val="20"/>
                <w:szCs w:val="20"/>
                <w:color w:val="auto"/>
              </w:rPr>
            </w:pPr>
            <w:r>
              <w:rPr>
                <w:rFonts w:ascii="Arial" w:cs="Arial" w:eastAsia="Arial" w:hAnsi="Arial"/>
                <w:sz w:val="13"/>
                <w:szCs w:val="13"/>
                <w:b w:val="1"/>
                <w:bCs w:val="1"/>
                <w:color w:val="auto"/>
              </w:rPr>
              <w:t>2020</w:t>
            </w:r>
          </w:p>
        </w:tc>
        <w:tc>
          <w:tcPr>
            <w:tcW w:w="1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3"/>
          </w:tcPr>
          <w:p>
            <w:pPr>
              <w:ind w:left="820"/>
              <w:spacing w:after="0"/>
              <w:rPr>
                <w:sz w:val="20"/>
                <w:szCs w:val="20"/>
                <w:color w:val="auto"/>
              </w:rPr>
            </w:pPr>
            <w:r>
              <w:rPr>
                <w:rFonts w:ascii="Arial" w:cs="Arial" w:eastAsia="Arial" w:hAnsi="Arial"/>
                <w:sz w:val="13"/>
                <w:szCs w:val="13"/>
                <w:b w:val="1"/>
                <w:bCs w:val="1"/>
                <w:color w:val="auto"/>
                <w:w w:val="92"/>
              </w:rPr>
              <w:t>2019 Quarters</w:t>
            </w:r>
          </w:p>
        </w:tc>
        <w:tc>
          <w:tcPr>
            <w:tcW w:w="7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right"/>
              <w:ind w:right="97"/>
              <w:spacing w:after="0" w:line="142" w:lineRule="exact"/>
              <w:rPr>
                <w:sz w:val="20"/>
                <w:szCs w:val="20"/>
                <w:color w:val="auto"/>
              </w:rPr>
            </w:pPr>
            <w:r>
              <w:rPr>
                <w:rFonts w:ascii="Arial" w:cs="Arial" w:eastAsia="Arial" w:hAnsi="Arial"/>
                <w:sz w:val="13"/>
                <w:szCs w:val="13"/>
                <w:b w:val="1"/>
                <w:bCs w:val="1"/>
                <w:color w:val="auto"/>
                <w:w w:val="96"/>
              </w:rPr>
              <w:t>First Quarter</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right"/>
              <w:ind w:right="640"/>
              <w:spacing w:after="0" w:line="142" w:lineRule="exact"/>
              <w:rPr>
                <w:sz w:val="20"/>
                <w:szCs w:val="20"/>
                <w:color w:val="auto"/>
              </w:rPr>
            </w:pPr>
            <w:r>
              <w:rPr>
                <w:rFonts w:ascii="Arial" w:cs="Arial" w:eastAsia="Arial" w:hAnsi="Arial"/>
                <w:sz w:val="13"/>
                <w:szCs w:val="13"/>
                <w:b w:val="1"/>
                <w:bCs w:val="1"/>
                <w:color w:val="auto"/>
              </w:rPr>
              <w:t>Fourth</w:t>
            </w:r>
          </w:p>
        </w:tc>
        <w:tc>
          <w:tcPr>
            <w:tcW w:w="1640" w:type="dxa"/>
            <w:vAlign w:val="bottom"/>
            <w:gridSpan w:val="3"/>
          </w:tcPr>
          <w:p>
            <w:pPr>
              <w:ind w:left="360"/>
              <w:spacing w:after="0" w:line="142" w:lineRule="exact"/>
              <w:rPr>
                <w:sz w:val="20"/>
                <w:szCs w:val="20"/>
                <w:color w:val="auto"/>
              </w:rPr>
            </w:pPr>
            <w:r>
              <w:rPr>
                <w:rFonts w:ascii="Arial" w:cs="Arial" w:eastAsia="Arial" w:hAnsi="Arial"/>
                <w:sz w:val="13"/>
                <w:szCs w:val="13"/>
                <w:b w:val="1"/>
                <w:bCs w:val="1"/>
                <w:color w:val="auto"/>
              </w:rPr>
              <w:t>Third</w:t>
            </w:r>
          </w:p>
        </w:tc>
        <w:tc>
          <w:tcPr>
            <w:tcW w:w="1060" w:type="dxa"/>
            <w:vAlign w:val="bottom"/>
            <w:gridSpan w:val="2"/>
          </w:tcPr>
          <w:p>
            <w:pPr>
              <w:jc w:val="right"/>
              <w:ind w:right="640"/>
              <w:spacing w:after="0" w:line="142" w:lineRule="exact"/>
              <w:rPr>
                <w:sz w:val="20"/>
                <w:szCs w:val="20"/>
                <w:color w:val="auto"/>
              </w:rPr>
            </w:pPr>
            <w:r>
              <w:rPr>
                <w:rFonts w:ascii="Arial" w:cs="Arial" w:eastAsia="Arial" w:hAnsi="Arial"/>
                <w:sz w:val="13"/>
                <w:szCs w:val="13"/>
                <w:b w:val="1"/>
                <w:bCs w:val="1"/>
                <w:color w:val="auto"/>
                <w:w w:val="85"/>
              </w:rPr>
              <w:t>Second</w:t>
            </w:r>
          </w:p>
        </w:tc>
        <w:tc>
          <w:tcPr>
            <w:tcW w:w="1080" w:type="dxa"/>
            <w:vAlign w:val="bottom"/>
          </w:tcPr>
          <w:p>
            <w:pPr>
              <w:jc w:val="right"/>
              <w:ind w:right="357"/>
              <w:spacing w:after="0" w:line="142" w:lineRule="exact"/>
              <w:rPr>
                <w:sz w:val="20"/>
                <w:szCs w:val="20"/>
                <w:color w:val="auto"/>
              </w:rPr>
            </w:pPr>
            <w:r>
              <w:rPr>
                <w:rFonts w:ascii="Arial" w:cs="Arial" w:eastAsia="Arial" w:hAnsi="Arial"/>
                <w:sz w:val="13"/>
                <w:szCs w:val="13"/>
                <w:b w:val="1"/>
                <w:bCs w:val="1"/>
                <w:color w:val="auto"/>
              </w:rPr>
              <w:t>First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20" w:type="dxa"/>
            <w:vAlign w:val="bottom"/>
            <w:tcBorders>
              <w:top w:val="single" w:sz="8" w:color="CFF0FC"/>
            </w:tcBorders>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Income statement data (in thousands, except per share)</w:t>
            </w:r>
          </w:p>
        </w:tc>
        <w:tc>
          <w:tcPr>
            <w:tcW w:w="7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94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106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104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300" w:type="dxa"/>
            <w:vAlign w:val="bottom"/>
            <w:tcBorders>
              <w:top w:val="single" w:sz="8" w:color="auto"/>
            </w:tcBorders>
            <w:shd w:val="clear" w:color="auto" w:fill="CFF0FC"/>
          </w:tcPr>
          <w:p>
            <w:pPr>
              <w:spacing w:after="0"/>
              <w:rPr>
                <w:sz w:val="12"/>
                <w:szCs w:val="12"/>
                <w:color w:val="auto"/>
              </w:rPr>
            </w:pPr>
          </w:p>
        </w:tc>
        <w:tc>
          <w:tcPr>
            <w:tcW w:w="76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108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20" w:type="dxa"/>
            <w:vAlign w:val="bottom"/>
          </w:tcPr>
          <w:p>
            <w:pPr>
              <w:spacing w:after="0" w:line="149" w:lineRule="exact"/>
              <w:rPr>
                <w:sz w:val="20"/>
                <w:szCs w:val="20"/>
                <w:color w:val="auto"/>
              </w:rPr>
            </w:pPr>
            <w:r>
              <w:rPr>
                <w:rFonts w:ascii="Arial" w:cs="Arial" w:eastAsia="Arial" w:hAnsi="Arial"/>
                <w:sz w:val="13"/>
                <w:szCs w:val="13"/>
                <w:b w:val="1"/>
                <w:bCs w:val="1"/>
                <w:color w:val="auto"/>
              </w:rPr>
              <w:t>Net income</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20" w:type="dxa"/>
            <w:vAlign w:val="bottom"/>
            <w:shd w:val="clear" w:color="auto" w:fill="CFF0FC"/>
          </w:tcPr>
          <w:p>
            <w:pPr>
              <w:spacing w:after="0" w:line="149" w:lineRule="exact"/>
              <w:rPr>
                <w:sz w:val="20"/>
                <w:szCs w:val="20"/>
                <w:color w:val="auto"/>
              </w:rPr>
            </w:pPr>
            <w:r>
              <w:rPr>
                <w:rFonts w:ascii="Arial" w:cs="Arial" w:eastAsia="Arial" w:hAnsi="Arial"/>
                <w:sz w:val="13"/>
                <w:szCs w:val="13"/>
                <w:color w:val="auto"/>
              </w:rPr>
              <w:t>Net income</w:t>
            </w:r>
          </w:p>
        </w:tc>
        <w:tc>
          <w:tcPr>
            <w:tcW w:w="840" w:type="dxa"/>
            <w:vAlign w:val="bottom"/>
            <w:gridSpan w:val="2"/>
            <w:shd w:val="clear" w:color="auto" w:fill="CFF0FC"/>
          </w:tcPr>
          <w:p>
            <w:pPr>
              <w:jc w:val="right"/>
              <w:spacing w:after="0" w:line="149" w:lineRule="exact"/>
              <w:rPr>
                <w:sz w:val="20"/>
                <w:szCs w:val="20"/>
                <w:color w:val="auto"/>
              </w:rPr>
            </w:pPr>
            <w:r>
              <w:rPr>
                <w:rFonts w:ascii="Arial" w:cs="Arial" w:eastAsia="Arial" w:hAnsi="Arial"/>
                <w:sz w:val="13"/>
                <w:szCs w:val="13"/>
                <w:color w:val="auto"/>
              </w:rPr>
              <w:t>$</w:t>
            </w:r>
          </w:p>
        </w:tc>
        <w:tc>
          <w:tcPr>
            <w:tcW w:w="94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268,822</w:t>
            </w: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493,066</w:t>
            </w: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480,081</w:t>
            </w:r>
          </w:p>
        </w:tc>
        <w:tc>
          <w:tcPr>
            <w:tcW w:w="3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473,260</w:t>
            </w:r>
          </w:p>
        </w:tc>
        <w:tc>
          <w:tcPr>
            <w:tcW w:w="30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482,742</w:t>
            </w: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720" w:type="dxa"/>
            <w:vAlign w:val="bottom"/>
          </w:tcPr>
          <w:p>
            <w:pPr>
              <w:spacing w:after="0" w:line="134" w:lineRule="exact"/>
              <w:rPr>
                <w:sz w:val="20"/>
                <w:szCs w:val="20"/>
                <w:color w:val="auto"/>
              </w:rPr>
            </w:pPr>
            <w:r>
              <w:rPr>
                <w:rFonts w:ascii="Arial" w:cs="Arial" w:eastAsia="Arial" w:hAnsi="Arial"/>
                <w:sz w:val="13"/>
                <w:szCs w:val="13"/>
                <w:color w:val="auto"/>
              </w:rPr>
              <w:t>Amortization of core deposit and other</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720" w:type="dxa"/>
            <w:vAlign w:val="bottom"/>
            <w:tcBorders>
              <w:bottom w:val="single" w:sz="8" w:color="CFF0FC"/>
            </w:tcBorders>
          </w:tcPr>
          <w:p>
            <w:pPr>
              <w:ind w:left="100"/>
              <w:spacing w:after="0"/>
              <w:rPr>
                <w:sz w:val="20"/>
                <w:szCs w:val="20"/>
                <w:color w:val="auto"/>
              </w:rPr>
            </w:pPr>
            <w:r>
              <w:rPr>
                <w:rFonts w:ascii="Arial" w:cs="Arial" w:eastAsia="Arial" w:hAnsi="Arial"/>
                <w:sz w:val="13"/>
                <w:szCs w:val="13"/>
                <w:color w:val="auto"/>
              </w:rPr>
              <w:t>intangible assets (a)</w:t>
            </w:r>
          </w:p>
        </w:tc>
        <w:tc>
          <w:tcPr>
            <w:tcW w:w="74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2,883</w:t>
            </w:r>
          </w:p>
        </w:tc>
        <w:tc>
          <w:tcPr>
            <w:tcW w:w="140" w:type="dxa"/>
            <w:vAlign w:val="bottom"/>
            <w:tcBorders>
              <w:bottom w:val="single" w:sz="8" w:color="CFF0FC"/>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3,171</w:t>
            </w:r>
          </w:p>
        </w:tc>
        <w:tc>
          <w:tcPr>
            <w:tcW w:w="300" w:type="dxa"/>
            <w:vAlign w:val="bottom"/>
            <w:tcBorders>
              <w:bottom w:val="single" w:sz="8" w:color="CFF0FC"/>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3,749</w:t>
            </w:r>
          </w:p>
        </w:tc>
        <w:tc>
          <w:tcPr>
            <w:tcW w:w="30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3,741</w:t>
            </w:r>
          </w:p>
        </w:tc>
        <w:tc>
          <w:tcPr>
            <w:tcW w:w="300" w:type="dxa"/>
            <w:vAlign w:val="bottom"/>
            <w:tcBorders>
              <w:bottom w:val="single" w:sz="8" w:color="CFF0FC"/>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3,698</w:t>
            </w:r>
          </w:p>
        </w:tc>
        <w:tc>
          <w:tcPr>
            <w:tcW w:w="120" w:type="dxa"/>
            <w:vAlign w:val="bottom"/>
            <w:tcBorders>
              <w:bottom w:val="single" w:sz="8" w:color="CFF0FC"/>
            </w:tcBorders>
          </w:tcPr>
          <w:p>
            <w:pPr>
              <w:spacing w:after="0"/>
              <w:rPr>
                <w:sz w:val="12"/>
                <w:szCs w:val="12"/>
                <w:color w:val="auto"/>
              </w:rPr>
            </w:pPr>
          </w:p>
        </w:tc>
        <w:tc>
          <w:tcPr>
            <w:tcW w:w="18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20" w:type="dxa"/>
            <w:vAlign w:val="bottom"/>
            <w:tcBorders>
              <w:bottom w:val="single" w:sz="8" w:color="CFF0FC"/>
            </w:tcBorders>
            <w:shd w:val="clear" w:color="auto" w:fill="CFF0FC"/>
          </w:tcPr>
          <w:p>
            <w:pPr>
              <w:ind w:left="260"/>
              <w:spacing w:after="0" w:line="142" w:lineRule="exact"/>
              <w:rPr>
                <w:sz w:val="20"/>
                <w:szCs w:val="20"/>
                <w:color w:val="auto"/>
              </w:rPr>
            </w:pPr>
            <w:r>
              <w:rPr>
                <w:rFonts w:ascii="Arial" w:cs="Arial" w:eastAsia="Arial" w:hAnsi="Arial"/>
                <w:sz w:val="13"/>
                <w:szCs w:val="13"/>
                <w:color w:val="auto"/>
              </w:rPr>
              <w:t>Net operating income</w:t>
            </w:r>
          </w:p>
        </w:tc>
        <w:tc>
          <w:tcPr>
            <w:tcW w:w="7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271,705</w:t>
            </w:r>
          </w:p>
        </w:tc>
        <w:tc>
          <w:tcPr>
            <w:tcW w:w="14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spacing w:after="0"/>
              <w:rPr>
                <w:sz w:val="12"/>
                <w:szCs w:val="12"/>
                <w:color w:val="auto"/>
              </w:rPr>
            </w:pPr>
          </w:p>
        </w:tc>
        <w:tc>
          <w:tcPr>
            <w:tcW w:w="10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496,237</w:t>
            </w:r>
          </w:p>
        </w:tc>
        <w:tc>
          <w:tcPr>
            <w:tcW w:w="300" w:type="dxa"/>
            <w:vAlign w:val="bottom"/>
            <w:tcBorders>
              <w:bottom w:val="single" w:sz="8" w:color="CFF0FC"/>
            </w:tcBorders>
            <w:shd w:val="clear" w:color="auto" w:fill="CFF0FC"/>
          </w:tcPr>
          <w:p>
            <w:pPr>
              <w:spacing w:after="0"/>
              <w:rPr>
                <w:sz w:val="12"/>
                <w:szCs w:val="12"/>
                <w:color w:val="auto"/>
              </w:rPr>
            </w:pPr>
          </w:p>
        </w:tc>
        <w:tc>
          <w:tcPr>
            <w:tcW w:w="10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483,830</w:t>
            </w:r>
          </w:p>
        </w:tc>
        <w:tc>
          <w:tcPr>
            <w:tcW w:w="300" w:type="dxa"/>
            <w:vAlign w:val="bottom"/>
            <w:tcBorders>
              <w:bottom w:val="single" w:sz="8" w:color="CFF0FC"/>
            </w:tcBorders>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477,001</w:t>
            </w:r>
          </w:p>
        </w:tc>
        <w:tc>
          <w:tcPr>
            <w:tcW w:w="300" w:type="dxa"/>
            <w:vAlign w:val="bottom"/>
            <w:tcBorders>
              <w:bottom w:val="single" w:sz="8" w:color="CFF0FC"/>
            </w:tcBorders>
            <w:shd w:val="clear" w:color="auto" w:fill="CFF0FC"/>
          </w:tcPr>
          <w:p>
            <w:pPr>
              <w:spacing w:after="0"/>
              <w:rPr>
                <w:sz w:val="12"/>
                <w:szCs w:val="12"/>
                <w:color w:val="auto"/>
              </w:rPr>
            </w:pPr>
          </w:p>
        </w:tc>
        <w:tc>
          <w:tcPr>
            <w:tcW w:w="10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486,440</w:t>
            </w:r>
          </w:p>
        </w:tc>
        <w:tc>
          <w:tcPr>
            <w:tcW w:w="12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rPr>
                <w:sz w:val="20"/>
                <w:szCs w:val="20"/>
                <w:color w:val="auto"/>
              </w:rPr>
            </w:pPr>
            <w:r>
              <w:rPr>
                <w:rFonts w:ascii="Arial" w:cs="Arial" w:eastAsia="Arial" w:hAnsi="Arial"/>
                <w:sz w:val="13"/>
                <w:szCs w:val="13"/>
                <w:b w:val="1"/>
                <w:bCs w:val="1"/>
                <w:color w:val="auto"/>
              </w:rPr>
              <w:t>Earnings per common share</w:t>
            </w:r>
          </w:p>
        </w:tc>
        <w:tc>
          <w:tcPr>
            <w:tcW w:w="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72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720" w:type="dxa"/>
            <w:vAlign w:val="bottom"/>
            <w:shd w:val="clear" w:color="auto" w:fill="CFF0FC"/>
          </w:tcPr>
          <w:p>
            <w:pPr>
              <w:spacing w:after="0" w:line="149" w:lineRule="exact"/>
              <w:rPr>
                <w:sz w:val="20"/>
                <w:szCs w:val="20"/>
                <w:color w:val="auto"/>
              </w:rPr>
            </w:pPr>
            <w:r>
              <w:rPr>
                <w:rFonts w:ascii="Arial" w:cs="Arial" w:eastAsia="Arial" w:hAnsi="Arial"/>
                <w:sz w:val="13"/>
                <w:szCs w:val="13"/>
                <w:color w:val="auto"/>
              </w:rPr>
              <w:t>Diluted earnings per common share</w:t>
            </w:r>
          </w:p>
        </w:tc>
        <w:tc>
          <w:tcPr>
            <w:tcW w:w="840" w:type="dxa"/>
            <w:vAlign w:val="bottom"/>
            <w:gridSpan w:val="2"/>
            <w:shd w:val="clear" w:color="auto" w:fill="CFF0FC"/>
          </w:tcPr>
          <w:p>
            <w:pPr>
              <w:jc w:val="right"/>
              <w:spacing w:after="0" w:line="149" w:lineRule="exact"/>
              <w:rPr>
                <w:sz w:val="20"/>
                <w:szCs w:val="20"/>
                <w:color w:val="auto"/>
              </w:rPr>
            </w:pPr>
            <w:r>
              <w:rPr>
                <w:rFonts w:ascii="Arial" w:cs="Arial" w:eastAsia="Arial" w:hAnsi="Arial"/>
                <w:sz w:val="13"/>
                <w:szCs w:val="13"/>
                <w:color w:val="auto"/>
              </w:rPr>
              <w:t>$</w:t>
            </w:r>
          </w:p>
        </w:tc>
        <w:tc>
          <w:tcPr>
            <w:tcW w:w="94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1.93</w:t>
            </w: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3.60</w:t>
            </w: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3.47</w:t>
            </w:r>
          </w:p>
        </w:tc>
        <w:tc>
          <w:tcPr>
            <w:tcW w:w="3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3.34</w:t>
            </w:r>
          </w:p>
        </w:tc>
        <w:tc>
          <w:tcPr>
            <w:tcW w:w="30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3.35</w:t>
            </w: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720" w:type="dxa"/>
            <w:vAlign w:val="bottom"/>
          </w:tcPr>
          <w:p>
            <w:pPr>
              <w:spacing w:after="0" w:line="134" w:lineRule="exact"/>
              <w:rPr>
                <w:sz w:val="20"/>
                <w:szCs w:val="20"/>
                <w:color w:val="auto"/>
              </w:rPr>
            </w:pPr>
            <w:r>
              <w:rPr>
                <w:rFonts w:ascii="Arial" w:cs="Arial" w:eastAsia="Arial" w:hAnsi="Arial"/>
                <w:sz w:val="13"/>
                <w:szCs w:val="13"/>
                <w:color w:val="auto"/>
              </w:rPr>
              <w:t>Amortization of core deposit and other</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720" w:type="dxa"/>
            <w:vAlign w:val="bottom"/>
            <w:tcBorders>
              <w:bottom w:val="single" w:sz="8" w:color="CFF0FC"/>
            </w:tcBorders>
          </w:tcPr>
          <w:p>
            <w:pPr>
              <w:ind w:left="100"/>
              <w:spacing w:after="0"/>
              <w:rPr>
                <w:sz w:val="20"/>
                <w:szCs w:val="20"/>
                <w:color w:val="auto"/>
              </w:rPr>
            </w:pPr>
            <w:r>
              <w:rPr>
                <w:rFonts w:ascii="Arial" w:cs="Arial" w:eastAsia="Arial" w:hAnsi="Arial"/>
                <w:sz w:val="13"/>
                <w:szCs w:val="13"/>
                <w:color w:val="auto"/>
              </w:rPr>
              <w:t>intangible assets (a)</w:t>
            </w:r>
          </w:p>
        </w:tc>
        <w:tc>
          <w:tcPr>
            <w:tcW w:w="74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.02</w:t>
            </w:r>
          </w:p>
        </w:tc>
        <w:tc>
          <w:tcPr>
            <w:tcW w:w="140" w:type="dxa"/>
            <w:vAlign w:val="bottom"/>
            <w:tcBorders>
              <w:bottom w:val="single" w:sz="8" w:color="CFF0FC"/>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.02</w:t>
            </w:r>
          </w:p>
        </w:tc>
        <w:tc>
          <w:tcPr>
            <w:tcW w:w="300" w:type="dxa"/>
            <w:vAlign w:val="bottom"/>
            <w:tcBorders>
              <w:bottom w:val="single" w:sz="8" w:color="CFF0FC"/>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.03</w:t>
            </w:r>
          </w:p>
        </w:tc>
        <w:tc>
          <w:tcPr>
            <w:tcW w:w="30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.03</w:t>
            </w:r>
          </w:p>
        </w:tc>
        <w:tc>
          <w:tcPr>
            <w:tcW w:w="300" w:type="dxa"/>
            <w:vAlign w:val="bottom"/>
            <w:tcBorders>
              <w:bottom w:val="single" w:sz="8" w:color="CFF0FC"/>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.03</w:t>
            </w:r>
          </w:p>
        </w:tc>
        <w:tc>
          <w:tcPr>
            <w:tcW w:w="120" w:type="dxa"/>
            <w:vAlign w:val="bottom"/>
            <w:tcBorders>
              <w:bottom w:val="single" w:sz="8" w:color="CFF0FC"/>
            </w:tcBorders>
          </w:tcPr>
          <w:p>
            <w:pPr>
              <w:spacing w:after="0"/>
              <w:rPr>
                <w:sz w:val="12"/>
                <w:szCs w:val="12"/>
                <w:color w:val="auto"/>
              </w:rPr>
            </w:pPr>
          </w:p>
        </w:tc>
        <w:tc>
          <w:tcPr>
            <w:tcW w:w="18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20" w:type="dxa"/>
            <w:vAlign w:val="bottom"/>
            <w:tcBorders>
              <w:bottom w:val="single" w:sz="8" w:color="CFF0FC"/>
            </w:tcBorders>
            <w:shd w:val="clear" w:color="auto" w:fill="CFF0FC"/>
          </w:tcPr>
          <w:p>
            <w:pPr>
              <w:ind w:left="260"/>
              <w:spacing w:after="0" w:line="142" w:lineRule="exact"/>
              <w:rPr>
                <w:sz w:val="20"/>
                <w:szCs w:val="20"/>
                <w:color w:val="auto"/>
              </w:rPr>
            </w:pPr>
            <w:r>
              <w:rPr>
                <w:rFonts w:ascii="Arial" w:cs="Arial" w:eastAsia="Arial" w:hAnsi="Arial"/>
                <w:sz w:val="13"/>
                <w:szCs w:val="13"/>
                <w:color w:val="auto"/>
              </w:rPr>
              <w:t>Diluted net operating earnings per common share</w:t>
            </w:r>
          </w:p>
        </w:tc>
        <w:tc>
          <w:tcPr>
            <w:tcW w:w="7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1.95</w:t>
            </w:r>
          </w:p>
        </w:tc>
        <w:tc>
          <w:tcPr>
            <w:tcW w:w="14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spacing w:after="0"/>
              <w:rPr>
                <w:sz w:val="12"/>
                <w:szCs w:val="12"/>
                <w:color w:val="auto"/>
              </w:rPr>
            </w:pPr>
          </w:p>
        </w:tc>
        <w:tc>
          <w:tcPr>
            <w:tcW w:w="10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3.62</w:t>
            </w:r>
          </w:p>
        </w:tc>
        <w:tc>
          <w:tcPr>
            <w:tcW w:w="300" w:type="dxa"/>
            <w:vAlign w:val="bottom"/>
            <w:tcBorders>
              <w:bottom w:val="single" w:sz="8" w:color="CFF0FC"/>
            </w:tcBorders>
            <w:shd w:val="clear" w:color="auto" w:fill="CFF0FC"/>
          </w:tcPr>
          <w:p>
            <w:pPr>
              <w:spacing w:after="0"/>
              <w:rPr>
                <w:sz w:val="12"/>
                <w:szCs w:val="12"/>
                <w:color w:val="auto"/>
              </w:rPr>
            </w:pPr>
          </w:p>
        </w:tc>
        <w:tc>
          <w:tcPr>
            <w:tcW w:w="10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3.50</w:t>
            </w:r>
          </w:p>
        </w:tc>
        <w:tc>
          <w:tcPr>
            <w:tcW w:w="300" w:type="dxa"/>
            <w:vAlign w:val="bottom"/>
            <w:tcBorders>
              <w:bottom w:val="single" w:sz="8" w:color="CFF0FC"/>
            </w:tcBorders>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3.37</w:t>
            </w:r>
          </w:p>
        </w:tc>
        <w:tc>
          <w:tcPr>
            <w:tcW w:w="300" w:type="dxa"/>
            <w:vAlign w:val="bottom"/>
            <w:tcBorders>
              <w:bottom w:val="single" w:sz="8" w:color="CFF0FC"/>
            </w:tcBorders>
            <w:shd w:val="clear" w:color="auto" w:fill="CFF0FC"/>
          </w:tcPr>
          <w:p>
            <w:pPr>
              <w:spacing w:after="0"/>
              <w:rPr>
                <w:sz w:val="12"/>
                <w:szCs w:val="12"/>
                <w:color w:val="auto"/>
              </w:rPr>
            </w:pPr>
          </w:p>
        </w:tc>
        <w:tc>
          <w:tcPr>
            <w:tcW w:w="10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3.38</w:t>
            </w:r>
          </w:p>
        </w:tc>
        <w:tc>
          <w:tcPr>
            <w:tcW w:w="12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rPr>
                <w:sz w:val="20"/>
                <w:szCs w:val="20"/>
                <w:color w:val="auto"/>
              </w:rPr>
            </w:pPr>
            <w:r>
              <w:rPr>
                <w:rFonts w:ascii="Arial" w:cs="Arial" w:eastAsia="Arial" w:hAnsi="Arial"/>
                <w:sz w:val="13"/>
                <w:szCs w:val="13"/>
                <w:b w:val="1"/>
                <w:bCs w:val="1"/>
                <w:color w:val="auto"/>
              </w:rPr>
              <w:t>Other expense</w:t>
            </w:r>
          </w:p>
        </w:tc>
        <w:tc>
          <w:tcPr>
            <w:tcW w:w="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72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720" w:type="dxa"/>
            <w:vAlign w:val="bottom"/>
            <w:shd w:val="clear" w:color="auto" w:fill="CFF0FC"/>
          </w:tcPr>
          <w:p>
            <w:pPr>
              <w:spacing w:after="0" w:line="149" w:lineRule="exact"/>
              <w:rPr>
                <w:sz w:val="20"/>
                <w:szCs w:val="20"/>
                <w:color w:val="auto"/>
              </w:rPr>
            </w:pPr>
            <w:r>
              <w:rPr>
                <w:rFonts w:ascii="Arial" w:cs="Arial" w:eastAsia="Arial" w:hAnsi="Arial"/>
                <w:sz w:val="13"/>
                <w:szCs w:val="13"/>
                <w:color w:val="auto"/>
              </w:rPr>
              <w:t>Other expense</w:t>
            </w:r>
          </w:p>
        </w:tc>
        <w:tc>
          <w:tcPr>
            <w:tcW w:w="840" w:type="dxa"/>
            <w:vAlign w:val="bottom"/>
            <w:gridSpan w:val="2"/>
            <w:shd w:val="clear" w:color="auto" w:fill="CFF0FC"/>
          </w:tcPr>
          <w:p>
            <w:pPr>
              <w:jc w:val="right"/>
              <w:spacing w:after="0" w:line="149" w:lineRule="exact"/>
              <w:rPr>
                <w:sz w:val="20"/>
                <w:szCs w:val="20"/>
                <w:color w:val="auto"/>
              </w:rPr>
            </w:pPr>
            <w:r>
              <w:rPr>
                <w:rFonts w:ascii="Arial" w:cs="Arial" w:eastAsia="Arial" w:hAnsi="Arial"/>
                <w:sz w:val="13"/>
                <w:szCs w:val="13"/>
                <w:color w:val="auto"/>
              </w:rPr>
              <w:t>$</w:t>
            </w:r>
          </w:p>
        </w:tc>
        <w:tc>
          <w:tcPr>
            <w:tcW w:w="94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906,416</w:t>
            </w: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823,683</w:t>
            </w: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877,619</w:t>
            </w:r>
          </w:p>
        </w:tc>
        <w:tc>
          <w:tcPr>
            <w:tcW w:w="3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873,032</w:t>
            </w:r>
          </w:p>
        </w:tc>
        <w:tc>
          <w:tcPr>
            <w:tcW w:w="30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894,348</w:t>
            </w: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720" w:type="dxa"/>
            <w:vAlign w:val="bottom"/>
          </w:tcPr>
          <w:p>
            <w:pPr>
              <w:spacing w:after="0" w:line="134" w:lineRule="exact"/>
              <w:rPr>
                <w:sz w:val="20"/>
                <w:szCs w:val="20"/>
                <w:color w:val="auto"/>
              </w:rPr>
            </w:pPr>
            <w:r>
              <w:rPr>
                <w:rFonts w:ascii="Arial" w:cs="Arial" w:eastAsia="Arial" w:hAnsi="Arial"/>
                <w:sz w:val="13"/>
                <w:szCs w:val="13"/>
                <w:color w:val="auto"/>
              </w:rPr>
              <w:t>Amortization of core deposit and other</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720" w:type="dxa"/>
            <w:vAlign w:val="bottom"/>
          </w:tcPr>
          <w:p>
            <w:pPr>
              <w:ind w:left="100"/>
              <w:spacing w:after="0"/>
              <w:rPr>
                <w:sz w:val="20"/>
                <w:szCs w:val="20"/>
                <w:color w:val="auto"/>
              </w:rPr>
            </w:pPr>
            <w:r>
              <w:rPr>
                <w:rFonts w:ascii="Arial" w:cs="Arial" w:eastAsia="Arial" w:hAnsi="Arial"/>
                <w:sz w:val="13"/>
                <w:szCs w:val="13"/>
                <w:color w:val="auto"/>
              </w:rPr>
              <w:t>intangible assets</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3"/>
                <w:szCs w:val="13"/>
                <w:color w:val="auto"/>
              </w:rPr>
              <w:t>(3,913)</w:t>
            </w:r>
          </w:p>
        </w:tc>
        <w:tc>
          <w:tcPr>
            <w:tcW w:w="160" w:type="dxa"/>
            <w:vAlign w:val="bottom"/>
          </w:tcPr>
          <w:p>
            <w:pPr>
              <w:spacing w:after="0"/>
              <w:rPr>
                <w:sz w:val="12"/>
                <w:szCs w:val="12"/>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3"/>
                <w:szCs w:val="13"/>
                <w:color w:val="auto"/>
              </w:rPr>
              <w:t>(4,305)</w:t>
            </w:r>
          </w:p>
        </w:tc>
        <w:tc>
          <w:tcPr>
            <w:tcW w:w="1340" w:type="dxa"/>
            <w:vAlign w:val="bottom"/>
            <w:gridSpan w:val="2"/>
          </w:tcPr>
          <w:p>
            <w:pPr>
              <w:jc w:val="right"/>
              <w:ind w:right="260"/>
              <w:spacing w:after="0"/>
              <w:rPr>
                <w:sz w:val="20"/>
                <w:szCs w:val="20"/>
                <w:color w:val="auto"/>
              </w:rPr>
            </w:pPr>
            <w:r>
              <w:rPr>
                <w:rFonts w:ascii="Arial" w:cs="Arial" w:eastAsia="Arial" w:hAnsi="Arial"/>
                <w:sz w:val="13"/>
                <w:szCs w:val="13"/>
                <w:color w:val="auto"/>
              </w:rPr>
              <w:t>(5,088)</w:t>
            </w:r>
          </w:p>
        </w:tc>
        <w:tc>
          <w:tcPr>
            <w:tcW w:w="300" w:type="dxa"/>
            <w:vAlign w:val="bottom"/>
          </w:tcPr>
          <w:p>
            <w:pPr>
              <w:spacing w:after="0"/>
              <w:rPr>
                <w:sz w:val="12"/>
                <w:szCs w:val="1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(5,077)</w:t>
            </w:r>
          </w:p>
        </w:tc>
        <w:tc>
          <w:tcPr>
            <w:tcW w:w="1200" w:type="dxa"/>
            <w:vAlign w:val="bottom"/>
            <w:gridSpan w:val="2"/>
          </w:tcPr>
          <w:p>
            <w:pPr>
              <w:jc w:val="right"/>
              <w:ind w:right="80"/>
              <w:spacing w:after="0"/>
              <w:rPr>
                <w:sz w:val="20"/>
                <w:szCs w:val="20"/>
                <w:color w:val="auto"/>
              </w:rPr>
            </w:pPr>
            <w:r>
              <w:rPr>
                <w:rFonts w:ascii="Arial" w:cs="Arial" w:eastAsia="Arial" w:hAnsi="Arial"/>
                <w:sz w:val="13"/>
                <w:szCs w:val="13"/>
                <w:color w:val="auto"/>
              </w:rPr>
              <w:t>(5,020)</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20" w:type="dxa"/>
            <w:vAlign w:val="bottom"/>
            <w:tcBorders>
              <w:top w:val="single" w:sz="8" w:color="CFF0FC"/>
              <w:bottom w:val="single" w:sz="8" w:color="CFF0FC"/>
            </w:tcBorders>
            <w:shd w:val="clear" w:color="auto" w:fill="CFF0FC"/>
          </w:tcPr>
          <w:p>
            <w:pPr>
              <w:ind w:left="260"/>
              <w:spacing w:after="0" w:line="142" w:lineRule="exact"/>
              <w:rPr>
                <w:sz w:val="20"/>
                <w:szCs w:val="20"/>
                <w:color w:val="auto"/>
              </w:rPr>
            </w:pPr>
            <w:r>
              <w:rPr>
                <w:rFonts w:ascii="Arial" w:cs="Arial" w:eastAsia="Arial" w:hAnsi="Arial"/>
                <w:sz w:val="13"/>
                <w:szCs w:val="13"/>
                <w:color w:val="auto"/>
              </w:rPr>
              <w:t>Noninterest operating expense</w:t>
            </w:r>
          </w:p>
        </w:tc>
        <w:tc>
          <w:tcPr>
            <w:tcW w:w="74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902,503</w:t>
            </w:r>
          </w:p>
        </w:tc>
        <w:tc>
          <w:tcPr>
            <w:tcW w:w="140" w:type="dxa"/>
            <w:vAlign w:val="bottom"/>
            <w:tcBorders>
              <w:top w:val="single" w:sz="8" w:color="CFF0FC"/>
              <w:bottom w:val="single" w:sz="8" w:color="CFF0FC"/>
            </w:tcBorders>
            <w:shd w:val="clear" w:color="auto" w:fill="CFF0FC"/>
          </w:tcPr>
          <w:p>
            <w:pPr>
              <w:spacing w:after="0"/>
              <w:rPr>
                <w:sz w:val="12"/>
                <w:szCs w:val="12"/>
                <w:color w:val="auto"/>
              </w:rPr>
            </w:pPr>
          </w:p>
        </w:tc>
        <w:tc>
          <w:tcPr>
            <w:tcW w:w="160" w:type="dxa"/>
            <w:vAlign w:val="bottom"/>
            <w:tcBorders>
              <w:top w:val="single" w:sz="8" w:color="CFF0FC"/>
              <w:bottom w:val="single" w:sz="8" w:color="CFF0FC"/>
            </w:tcBorders>
            <w:shd w:val="clear" w:color="auto" w:fill="CFF0FC"/>
          </w:tcPr>
          <w:p>
            <w:pPr>
              <w:spacing w:after="0"/>
              <w:rPr>
                <w:sz w:val="12"/>
                <w:szCs w:val="12"/>
                <w:color w:val="auto"/>
              </w:rPr>
            </w:pPr>
          </w:p>
        </w:tc>
        <w:tc>
          <w:tcPr>
            <w:tcW w:w="10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819,378</w:t>
            </w:r>
          </w:p>
        </w:tc>
        <w:tc>
          <w:tcPr>
            <w:tcW w:w="300" w:type="dxa"/>
            <w:vAlign w:val="bottom"/>
            <w:tcBorders>
              <w:top w:val="single" w:sz="8" w:color="CFF0FC"/>
              <w:bottom w:val="single" w:sz="8" w:color="CFF0FC"/>
            </w:tcBorders>
            <w:shd w:val="clear" w:color="auto" w:fill="CFF0FC"/>
          </w:tcPr>
          <w:p>
            <w:pPr>
              <w:spacing w:after="0"/>
              <w:rPr>
                <w:sz w:val="12"/>
                <w:szCs w:val="12"/>
                <w:color w:val="auto"/>
              </w:rPr>
            </w:pPr>
          </w:p>
        </w:tc>
        <w:tc>
          <w:tcPr>
            <w:tcW w:w="10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872,531</w:t>
            </w:r>
          </w:p>
        </w:tc>
        <w:tc>
          <w:tcPr>
            <w:tcW w:w="300" w:type="dxa"/>
            <w:vAlign w:val="bottom"/>
            <w:tcBorders>
              <w:top w:val="single" w:sz="8" w:color="CFF0FC"/>
              <w:bottom w:val="single" w:sz="8" w:color="CFF0FC"/>
            </w:tcBorders>
            <w:shd w:val="clear" w:color="auto" w:fill="CFF0FC"/>
          </w:tcPr>
          <w:p>
            <w:pPr>
              <w:spacing w:after="0"/>
              <w:rPr>
                <w:sz w:val="12"/>
                <w:szCs w:val="12"/>
                <w:color w:val="auto"/>
              </w:rPr>
            </w:pPr>
          </w:p>
        </w:tc>
        <w:tc>
          <w:tcPr>
            <w:tcW w:w="300" w:type="dxa"/>
            <w:vAlign w:val="bottom"/>
            <w:tcBorders>
              <w:top w:val="single" w:sz="8" w:color="auto"/>
              <w:bottom w:val="single" w:sz="8" w:color="auto"/>
            </w:tcBorders>
            <w:shd w:val="clear" w:color="auto" w:fill="CFF0FC"/>
          </w:tcPr>
          <w:p>
            <w:pPr>
              <w:spacing w:after="0"/>
              <w:rPr>
                <w:sz w:val="12"/>
                <w:szCs w:val="12"/>
                <w:color w:val="auto"/>
              </w:rPr>
            </w:pPr>
          </w:p>
        </w:tc>
        <w:tc>
          <w:tcPr>
            <w:tcW w:w="7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867,955</w:t>
            </w:r>
          </w:p>
        </w:tc>
        <w:tc>
          <w:tcPr>
            <w:tcW w:w="300" w:type="dxa"/>
            <w:vAlign w:val="bottom"/>
            <w:tcBorders>
              <w:top w:val="single" w:sz="8" w:color="CFF0FC"/>
              <w:bottom w:val="single" w:sz="8" w:color="CFF0FC"/>
            </w:tcBorders>
            <w:shd w:val="clear" w:color="auto" w:fill="CFF0FC"/>
          </w:tcPr>
          <w:p>
            <w:pPr>
              <w:spacing w:after="0"/>
              <w:rPr>
                <w:sz w:val="12"/>
                <w:szCs w:val="12"/>
                <w:color w:val="auto"/>
              </w:rPr>
            </w:pPr>
          </w:p>
        </w:tc>
        <w:tc>
          <w:tcPr>
            <w:tcW w:w="10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889,328</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c>
          <w:tcPr>
            <w:tcW w:w="180" w:type="dxa"/>
            <w:vAlign w:val="bottom"/>
            <w:tcBorders>
              <w:top w:val="single" w:sz="8" w:color="CFF0FC"/>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rPr>
                <w:sz w:val="20"/>
                <w:szCs w:val="20"/>
                <w:color w:val="auto"/>
              </w:rPr>
            </w:pPr>
            <w:r>
              <w:rPr>
                <w:rFonts w:ascii="Arial" w:cs="Arial" w:eastAsia="Arial" w:hAnsi="Arial"/>
                <w:sz w:val="13"/>
                <w:szCs w:val="13"/>
                <w:b w:val="1"/>
                <w:bCs w:val="1"/>
                <w:color w:val="auto"/>
              </w:rPr>
              <w:t>Efficiency ratio</w:t>
            </w:r>
          </w:p>
        </w:tc>
        <w:tc>
          <w:tcPr>
            <w:tcW w:w="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72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720" w:type="dxa"/>
            <w:vAlign w:val="bottom"/>
            <w:shd w:val="clear" w:color="auto" w:fill="CFF0FC"/>
          </w:tcPr>
          <w:p>
            <w:pPr>
              <w:spacing w:after="0" w:line="149" w:lineRule="exact"/>
              <w:rPr>
                <w:sz w:val="20"/>
                <w:szCs w:val="20"/>
                <w:color w:val="auto"/>
              </w:rPr>
            </w:pPr>
            <w:r>
              <w:rPr>
                <w:rFonts w:ascii="Arial" w:cs="Arial" w:eastAsia="Arial" w:hAnsi="Arial"/>
                <w:sz w:val="13"/>
                <w:szCs w:val="13"/>
                <w:color w:val="auto"/>
              </w:rPr>
              <w:t>Noninterest operating expense (numerator)</w:t>
            </w:r>
          </w:p>
        </w:tc>
        <w:tc>
          <w:tcPr>
            <w:tcW w:w="840" w:type="dxa"/>
            <w:vAlign w:val="bottom"/>
            <w:gridSpan w:val="2"/>
            <w:shd w:val="clear" w:color="auto" w:fill="CFF0FC"/>
          </w:tcPr>
          <w:p>
            <w:pPr>
              <w:jc w:val="right"/>
              <w:spacing w:after="0" w:line="149" w:lineRule="exact"/>
              <w:rPr>
                <w:sz w:val="20"/>
                <w:szCs w:val="20"/>
                <w:color w:val="auto"/>
              </w:rPr>
            </w:pPr>
            <w:r>
              <w:rPr>
                <w:rFonts w:ascii="Arial" w:cs="Arial" w:eastAsia="Arial" w:hAnsi="Arial"/>
                <w:sz w:val="13"/>
                <w:szCs w:val="13"/>
                <w:color w:val="auto"/>
              </w:rPr>
              <w:t>$</w:t>
            </w:r>
          </w:p>
        </w:tc>
        <w:tc>
          <w:tcPr>
            <w:tcW w:w="94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902,503</w:t>
            </w: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819,378</w:t>
            </w: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872,531</w:t>
            </w:r>
          </w:p>
        </w:tc>
        <w:tc>
          <w:tcPr>
            <w:tcW w:w="3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867,955</w:t>
            </w:r>
          </w:p>
        </w:tc>
        <w:tc>
          <w:tcPr>
            <w:tcW w:w="30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889,328</w:t>
            </w: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7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3"/>
                <w:szCs w:val="13"/>
                <w:color w:val="auto"/>
              </w:rPr>
              <w:t>Taxable-equivalent net interest income</w:t>
            </w:r>
          </w:p>
        </w:tc>
        <w:tc>
          <w:tcPr>
            <w:tcW w:w="7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72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line="129" w:lineRule="exact"/>
              <w:rPr>
                <w:sz w:val="20"/>
                <w:szCs w:val="20"/>
                <w:color w:val="auto"/>
              </w:rPr>
            </w:pPr>
            <w:r>
              <w:rPr>
                <w:rFonts w:ascii="Arial" w:cs="Arial" w:eastAsia="Arial" w:hAnsi="Arial"/>
                <w:sz w:val="13"/>
                <w:szCs w:val="13"/>
                <w:color w:val="auto"/>
              </w:rPr>
              <w:t>981,868</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jc w:val="right"/>
              <w:spacing w:after="0" w:line="129" w:lineRule="exact"/>
              <w:rPr>
                <w:sz w:val="20"/>
                <w:szCs w:val="20"/>
                <w:color w:val="auto"/>
              </w:rPr>
            </w:pPr>
            <w:r>
              <w:rPr>
                <w:rFonts w:ascii="Arial" w:cs="Arial" w:eastAsia="Arial" w:hAnsi="Arial"/>
                <w:sz w:val="13"/>
                <w:szCs w:val="13"/>
                <w:color w:val="auto"/>
              </w:rPr>
              <w:t>1,014,225</w:t>
            </w:r>
          </w:p>
        </w:tc>
        <w:tc>
          <w:tcPr>
            <w:tcW w:w="300" w:type="dxa"/>
            <w:vAlign w:val="bottom"/>
          </w:tcPr>
          <w:p>
            <w:pPr>
              <w:spacing w:after="0"/>
              <w:rPr>
                <w:sz w:val="11"/>
                <w:szCs w:val="11"/>
                <w:color w:val="auto"/>
              </w:rPr>
            </w:pPr>
          </w:p>
        </w:tc>
        <w:tc>
          <w:tcPr>
            <w:tcW w:w="1040" w:type="dxa"/>
            <w:vAlign w:val="bottom"/>
          </w:tcPr>
          <w:p>
            <w:pPr>
              <w:jc w:val="right"/>
              <w:spacing w:after="0" w:line="129" w:lineRule="exact"/>
              <w:rPr>
                <w:sz w:val="20"/>
                <w:szCs w:val="20"/>
                <w:color w:val="auto"/>
              </w:rPr>
            </w:pPr>
            <w:r>
              <w:rPr>
                <w:rFonts w:ascii="Arial" w:cs="Arial" w:eastAsia="Arial" w:hAnsi="Arial"/>
                <w:sz w:val="13"/>
                <w:szCs w:val="13"/>
                <w:color w:val="auto"/>
              </w:rPr>
              <w:t>1,035,469</w:t>
            </w: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jc w:val="right"/>
              <w:spacing w:after="0" w:line="129" w:lineRule="exact"/>
              <w:rPr>
                <w:sz w:val="20"/>
                <w:szCs w:val="20"/>
                <w:color w:val="auto"/>
              </w:rPr>
            </w:pPr>
            <w:r>
              <w:rPr>
                <w:rFonts w:ascii="Arial" w:cs="Arial" w:eastAsia="Arial" w:hAnsi="Arial"/>
                <w:sz w:val="13"/>
                <w:szCs w:val="13"/>
                <w:color w:val="auto"/>
              </w:rPr>
              <w:t>1,047,406</w:t>
            </w:r>
          </w:p>
        </w:tc>
        <w:tc>
          <w:tcPr>
            <w:tcW w:w="300" w:type="dxa"/>
            <w:vAlign w:val="bottom"/>
          </w:tcPr>
          <w:p>
            <w:pPr>
              <w:spacing w:after="0"/>
              <w:rPr>
                <w:sz w:val="11"/>
                <w:szCs w:val="11"/>
                <w:color w:val="auto"/>
              </w:rPr>
            </w:pPr>
          </w:p>
        </w:tc>
        <w:tc>
          <w:tcPr>
            <w:tcW w:w="1080" w:type="dxa"/>
            <w:vAlign w:val="bottom"/>
          </w:tcPr>
          <w:p>
            <w:pPr>
              <w:jc w:val="right"/>
              <w:spacing w:after="0" w:line="129" w:lineRule="exact"/>
              <w:rPr>
                <w:sz w:val="20"/>
                <w:szCs w:val="20"/>
                <w:color w:val="auto"/>
              </w:rPr>
            </w:pPr>
            <w:r>
              <w:rPr>
                <w:rFonts w:ascii="Arial" w:cs="Arial" w:eastAsia="Arial" w:hAnsi="Arial"/>
                <w:sz w:val="13"/>
                <w:szCs w:val="13"/>
                <w:color w:val="auto"/>
              </w:rPr>
              <w:t>1,056,027</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720" w:type="dxa"/>
            <w:vAlign w:val="bottom"/>
            <w:shd w:val="clear" w:color="auto" w:fill="CFF0FC"/>
          </w:tcPr>
          <w:p>
            <w:pPr>
              <w:spacing w:after="0" w:line="149" w:lineRule="exact"/>
              <w:rPr>
                <w:sz w:val="20"/>
                <w:szCs w:val="20"/>
                <w:color w:val="auto"/>
              </w:rPr>
            </w:pPr>
            <w:r>
              <w:rPr>
                <w:rFonts w:ascii="Arial" w:cs="Arial" w:eastAsia="Arial" w:hAnsi="Arial"/>
                <w:sz w:val="13"/>
                <w:szCs w:val="13"/>
                <w:color w:val="auto"/>
              </w:rPr>
              <w:t>Other income</w:t>
            </w: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529,360</w:t>
            </w: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521,040</w:t>
            </w: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527,779</w:t>
            </w:r>
          </w:p>
        </w:tc>
        <w:tc>
          <w:tcPr>
            <w:tcW w:w="3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512,095</w:t>
            </w:r>
          </w:p>
        </w:tc>
        <w:tc>
          <w:tcPr>
            <w:tcW w:w="30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500,765</w:t>
            </w: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20" w:type="dxa"/>
            <w:vAlign w:val="bottom"/>
          </w:tcPr>
          <w:p>
            <w:pPr>
              <w:spacing w:after="0" w:line="149" w:lineRule="exact"/>
              <w:rPr>
                <w:sz w:val="20"/>
                <w:szCs w:val="20"/>
                <w:color w:val="auto"/>
              </w:rPr>
            </w:pPr>
            <w:r>
              <w:rPr>
                <w:rFonts w:ascii="Arial" w:cs="Arial" w:eastAsia="Arial" w:hAnsi="Arial"/>
                <w:sz w:val="13"/>
                <w:szCs w:val="13"/>
                <w:color w:val="auto"/>
              </w:rPr>
              <w:t>Less: Gain (loss) on bank investment securities</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80"/>
              <w:spacing w:after="0" w:line="149" w:lineRule="exact"/>
              <w:rPr>
                <w:sz w:val="20"/>
                <w:szCs w:val="20"/>
                <w:color w:val="auto"/>
              </w:rPr>
            </w:pPr>
            <w:r>
              <w:rPr>
                <w:rFonts w:ascii="Arial" w:cs="Arial" w:eastAsia="Arial" w:hAnsi="Arial"/>
                <w:sz w:val="13"/>
                <w:szCs w:val="13"/>
                <w:color w:val="auto"/>
              </w:rPr>
              <w:t>(20,782)</w:t>
            </w:r>
          </w:p>
        </w:tc>
        <w:tc>
          <w:tcPr>
            <w:tcW w:w="160" w:type="dxa"/>
            <w:vAlign w:val="bottom"/>
          </w:tcPr>
          <w:p>
            <w:pPr>
              <w:spacing w:after="0"/>
              <w:rPr>
                <w:sz w:val="12"/>
                <w:szCs w:val="12"/>
                <w:color w:val="auto"/>
              </w:rPr>
            </w:pPr>
          </w:p>
        </w:tc>
        <w:tc>
          <w:tcPr>
            <w:tcW w:w="1360" w:type="dxa"/>
            <w:vAlign w:val="bottom"/>
            <w:gridSpan w:val="2"/>
          </w:tcPr>
          <w:p>
            <w:pPr>
              <w:jc w:val="right"/>
              <w:ind w:right="260"/>
              <w:spacing w:after="0" w:line="149" w:lineRule="exact"/>
              <w:rPr>
                <w:sz w:val="20"/>
                <w:szCs w:val="20"/>
                <w:color w:val="auto"/>
              </w:rPr>
            </w:pPr>
            <w:r>
              <w:rPr>
                <w:rFonts w:ascii="Arial" w:cs="Arial" w:eastAsia="Arial" w:hAnsi="Arial"/>
                <w:sz w:val="13"/>
                <w:szCs w:val="13"/>
                <w:color w:val="auto"/>
              </w:rPr>
              <w:t>(6,452)</w:t>
            </w:r>
          </w:p>
        </w:tc>
        <w:tc>
          <w:tcPr>
            <w:tcW w:w="1040" w:type="dxa"/>
            <w:vAlign w:val="bottom"/>
          </w:tcPr>
          <w:p>
            <w:pPr>
              <w:jc w:val="right"/>
              <w:spacing w:after="0" w:line="149" w:lineRule="exact"/>
              <w:rPr>
                <w:sz w:val="20"/>
                <w:szCs w:val="20"/>
                <w:color w:val="auto"/>
              </w:rPr>
            </w:pPr>
            <w:r>
              <w:rPr>
                <w:rFonts w:ascii="Arial" w:cs="Arial" w:eastAsia="Arial" w:hAnsi="Arial"/>
                <w:sz w:val="13"/>
                <w:szCs w:val="13"/>
                <w:color w:val="auto"/>
              </w:rPr>
              <w:t>3,737</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3"/>
                <w:szCs w:val="13"/>
                <w:color w:val="auto"/>
              </w:rPr>
              <w:t>8,911</w:t>
            </w:r>
          </w:p>
        </w:tc>
        <w:tc>
          <w:tcPr>
            <w:tcW w:w="30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3"/>
                <w:szCs w:val="13"/>
                <w:color w:val="auto"/>
              </w:rPr>
              <w:t>11,841</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20" w:type="dxa"/>
            <w:vAlign w:val="bottom"/>
            <w:tcBorders>
              <w:top w:val="single" w:sz="8" w:color="CFF0FC"/>
              <w:bottom w:val="single" w:sz="8" w:color="CFF0FC"/>
            </w:tcBorders>
            <w:shd w:val="clear" w:color="auto" w:fill="CFF0FC"/>
          </w:tcPr>
          <w:p>
            <w:pPr>
              <w:spacing w:after="0" w:line="142" w:lineRule="exact"/>
              <w:rPr>
                <w:sz w:val="20"/>
                <w:szCs w:val="20"/>
                <w:color w:val="auto"/>
              </w:rPr>
            </w:pPr>
            <w:r>
              <w:rPr>
                <w:rFonts w:ascii="Arial" w:cs="Arial" w:eastAsia="Arial" w:hAnsi="Arial"/>
                <w:sz w:val="13"/>
                <w:szCs w:val="13"/>
                <w:color w:val="auto"/>
              </w:rPr>
              <w:t>Denominator</w:t>
            </w:r>
          </w:p>
        </w:tc>
        <w:tc>
          <w:tcPr>
            <w:tcW w:w="74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1,532,010</w:t>
            </w:r>
          </w:p>
        </w:tc>
        <w:tc>
          <w:tcPr>
            <w:tcW w:w="140" w:type="dxa"/>
            <w:vAlign w:val="bottom"/>
            <w:tcBorders>
              <w:top w:val="single" w:sz="8" w:color="CFF0FC"/>
              <w:bottom w:val="single" w:sz="8" w:color="CFF0FC"/>
            </w:tcBorders>
            <w:shd w:val="clear" w:color="auto" w:fill="CFF0FC"/>
          </w:tcPr>
          <w:p>
            <w:pPr>
              <w:spacing w:after="0"/>
              <w:rPr>
                <w:sz w:val="12"/>
                <w:szCs w:val="12"/>
                <w:color w:val="auto"/>
              </w:rPr>
            </w:pPr>
          </w:p>
        </w:tc>
        <w:tc>
          <w:tcPr>
            <w:tcW w:w="160" w:type="dxa"/>
            <w:vAlign w:val="bottom"/>
            <w:tcBorders>
              <w:top w:val="single" w:sz="8" w:color="CFF0FC"/>
              <w:bottom w:val="single" w:sz="8" w:color="CFF0FC"/>
            </w:tcBorders>
            <w:shd w:val="clear" w:color="auto" w:fill="CFF0FC"/>
          </w:tcPr>
          <w:p>
            <w:pPr>
              <w:spacing w:after="0"/>
              <w:rPr>
                <w:sz w:val="12"/>
                <w:szCs w:val="12"/>
                <w:color w:val="auto"/>
              </w:rPr>
            </w:pPr>
          </w:p>
        </w:tc>
        <w:tc>
          <w:tcPr>
            <w:tcW w:w="10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1,541,717</w:t>
            </w:r>
          </w:p>
        </w:tc>
        <w:tc>
          <w:tcPr>
            <w:tcW w:w="300" w:type="dxa"/>
            <w:vAlign w:val="bottom"/>
            <w:tcBorders>
              <w:top w:val="single" w:sz="8" w:color="CFF0FC"/>
              <w:bottom w:val="single" w:sz="8" w:color="CFF0FC"/>
            </w:tcBorders>
            <w:shd w:val="clear" w:color="auto" w:fill="CFF0FC"/>
          </w:tcPr>
          <w:p>
            <w:pPr>
              <w:spacing w:after="0"/>
              <w:rPr>
                <w:sz w:val="12"/>
                <w:szCs w:val="12"/>
                <w:color w:val="auto"/>
              </w:rPr>
            </w:pPr>
          </w:p>
        </w:tc>
        <w:tc>
          <w:tcPr>
            <w:tcW w:w="10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1,559,511</w:t>
            </w:r>
          </w:p>
        </w:tc>
        <w:tc>
          <w:tcPr>
            <w:tcW w:w="300" w:type="dxa"/>
            <w:vAlign w:val="bottom"/>
            <w:tcBorders>
              <w:top w:val="single" w:sz="8" w:color="CFF0FC"/>
              <w:bottom w:val="single" w:sz="8" w:color="CFF0FC"/>
            </w:tcBorders>
            <w:shd w:val="clear" w:color="auto" w:fill="CFF0FC"/>
          </w:tcPr>
          <w:p>
            <w:pPr>
              <w:spacing w:after="0"/>
              <w:rPr>
                <w:sz w:val="12"/>
                <w:szCs w:val="12"/>
                <w:color w:val="auto"/>
              </w:rPr>
            </w:pPr>
          </w:p>
        </w:tc>
        <w:tc>
          <w:tcPr>
            <w:tcW w:w="300" w:type="dxa"/>
            <w:vAlign w:val="bottom"/>
            <w:tcBorders>
              <w:top w:val="single" w:sz="8" w:color="auto"/>
              <w:bottom w:val="single" w:sz="8" w:color="auto"/>
            </w:tcBorders>
            <w:shd w:val="clear" w:color="auto" w:fill="CFF0FC"/>
          </w:tcPr>
          <w:p>
            <w:pPr>
              <w:spacing w:after="0"/>
              <w:rPr>
                <w:sz w:val="12"/>
                <w:szCs w:val="12"/>
                <w:color w:val="auto"/>
              </w:rPr>
            </w:pPr>
          </w:p>
        </w:tc>
        <w:tc>
          <w:tcPr>
            <w:tcW w:w="7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1,550,590</w:t>
            </w:r>
          </w:p>
        </w:tc>
        <w:tc>
          <w:tcPr>
            <w:tcW w:w="300" w:type="dxa"/>
            <w:vAlign w:val="bottom"/>
            <w:tcBorders>
              <w:top w:val="single" w:sz="8" w:color="CFF0FC"/>
              <w:bottom w:val="single" w:sz="8" w:color="CFF0FC"/>
            </w:tcBorders>
            <w:shd w:val="clear" w:color="auto" w:fill="CFF0FC"/>
          </w:tcPr>
          <w:p>
            <w:pPr>
              <w:spacing w:after="0"/>
              <w:rPr>
                <w:sz w:val="12"/>
                <w:szCs w:val="12"/>
                <w:color w:val="auto"/>
              </w:rPr>
            </w:pPr>
          </w:p>
        </w:tc>
        <w:tc>
          <w:tcPr>
            <w:tcW w:w="10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1,544,951</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c>
          <w:tcPr>
            <w:tcW w:w="180" w:type="dxa"/>
            <w:vAlign w:val="bottom"/>
            <w:tcBorders>
              <w:top w:val="single" w:sz="8" w:color="CFF0FC"/>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rPr>
                <w:sz w:val="20"/>
                <w:szCs w:val="20"/>
                <w:color w:val="auto"/>
              </w:rPr>
            </w:pPr>
            <w:r>
              <w:rPr>
                <w:rFonts w:ascii="Arial" w:cs="Arial" w:eastAsia="Arial" w:hAnsi="Arial"/>
                <w:sz w:val="13"/>
                <w:szCs w:val="13"/>
                <w:color w:val="auto"/>
              </w:rPr>
              <w:t>Efficiency ratio</w:t>
            </w:r>
          </w:p>
        </w:tc>
        <w:tc>
          <w:tcPr>
            <w:tcW w:w="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72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20"/>
              <w:spacing w:after="0" w:line="129" w:lineRule="exact"/>
              <w:rPr>
                <w:sz w:val="20"/>
                <w:szCs w:val="20"/>
                <w:color w:val="auto"/>
              </w:rPr>
            </w:pPr>
            <w:r>
              <w:rPr>
                <w:rFonts w:ascii="Arial" w:cs="Arial" w:eastAsia="Arial" w:hAnsi="Arial"/>
                <w:sz w:val="13"/>
                <w:szCs w:val="13"/>
                <w:color w:val="auto"/>
              </w:rPr>
              <w:t>58.91%</w:t>
            </w:r>
          </w:p>
        </w:tc>
        <w:tc>
          <w:tcPr>
            <w:tcW w:w="160" w:type="dxa"/>
            <w:vAlign w:val="bottom"/>
          </w:tcPr>
          <w:p>
            <w:pPr>
              <w:spacing w:after="0"/>
              <w:rPr>
                <w:sz w:val="14"/>
                <w:szCs w:val="14"/>
                <w:color w:val="auto"/>
              </w:rPr>
            </w:pPr>
          </w:p>
        </w:tc>
        <w:tc>
          <w:tcPr>
            <w:tcW w:w="1360" w:type="dxa"/>
            <w:vAlign w:val="bottom"/>
            <w:gridSpan w:val="2"/>
          </w:tcPr>
          <w:p>
            <w:pPr>
              <w:jc w:val="right"/>
              <w:ind w:right="200"/>
              <w:spacing w:after="0" w:line="129" w:lineRule="exact"/>
              <w:rPr>
                <w:sz w:val="20"/>
                <w:szCs w:val="20"/>
                <w:color w:val="auto"/>
              </w:rPr>
            </w:pPr>
            <w:r>
              <w:rPr>
                <w:rFonts w:ascii="Arial" w:cs="Arial" w:eastAsia="Arial" w:hAnsi="Arial"/>
                <w:sz w:val="13"/>
                <w:szCs w:val="13"/>
                <w:color w:val="auto"/>
              </w:rPr>
              <w:t>53.15%</w:t>
            </w:r>
          </w:p>
        </w:tc>
        <w:tc>
          <w:tcPr>
            <w:tcW w:w="1340" w:type="dxa"/>
            <w:vAlign w:val="bottom"/>
            <w:gridSpan w:val="2"/>
          </w:tcPr>
          <w:p>
            <w:pPr>
              <w:jc w:val="right"/>
              <w:ind w:right="180"/>
              <w:spacing w:after="0" w:line="129" w:lineRule="exact"/>
              <w:rPr>
                <w:sz w:val="20"/>
                <w:szCs w:val="20"/>
                <w:color w:val="auto"/>
              </w:rPr>
            </w:pPr>
            <w:r>
              <w:rPr>
                <w:rFonts w:ascii="Arial" w:cs="Arial" w:eastAsia="Arial" w:hAnsi="Arial"/>
                <w:sz w:val="13"/>
                <w:szCs w:val="13"/>
                <w:color w:val="auto"/>
              </w:rPr>
              <w:t>55.95%</w:t>
            </w:r>
          </w:p>
        </w:tc>
        <w:tc>
          <w:tcPr>
            <w:tcW w:w="300" w:type="dxa"/>
            <w:vAlign w:val="bottom"/>
          </w:tcPr>
          <w:p>
            <w:pPr>
              <w:spacing w:after="0"/>
              <w:rPr>
                <w:sz w:val="14"/>
                <w:szCs w:val="14"/>
                <w:color w:val="auto"/>
              </w:rPr>
            </w:pPr>
          </w:p>
        </w:tc>
        <w:tc>
          <w:tcPr>
            <w:tcW w:w="1060" w:type="dxa"/>
            <w:vAlign w:val="bottom"/>
            <w:gridSpan w:val="2"/>
          </w:tcPr>
          <w:p>
            <w:pPr>
              <w:jc w:val="right"/>
              <w:ind w:right="180"/>
              <w:spacing w:after="0" w:line="129" w:lineRule="exact"/>
              <w:rPr>
                <w:sz w:val="20"/>
                <w:szCs w:val="20"/>
                <w:color w:val="auto"/>
              </w:rPr>
            </w:pPr>
            <w:r>
              <w:rPr>
                <w:rFonts w:ascii="Arial" w:cs="Arial" w:eastAsia="Arial" w:hAnsi="Arial"/>
                <w:sz w:val="13"/>
                <w:szCs w:val="13"/>
                <w:color w:val="auto"/>
              </w:rPr>
              <w:t>55.98%</w:t>
            </w:r>
          </w:p>
        </w:tc>
        <w:tc>
          <w:tcPr>
            <w:tcW w:w="1200" w:type="dxa"/>
            <w:vAlign w:val="bottom"/>
            <w:gridSpan w:val="2"/>
          </w:tcPr>
          <w:p>
            <w:pPr>
              <w:jc w:val="right"/>
              <w:ind w:right="20"/>
              <w:spacing w:after="0" w:line="129" w:lineRule="exact"/>
              <w:rPr>
                <w:sz w:val="20"/>
                <w:szCs w:val="20"/>
                <w:color w:val="auto"/>
              </w:rPr>
            </w:pPr>
            <w:r>
              <w:rPr>
                <w:rFonts w:ascii="Arial" w:cs="Arial" w:eastAsia="Arial" w:hAnsi="Arial"/>
                <w:sz w:val="13"/>
                <w:szCs w:val="13"/>
                <w:color w:val="auto"/>
              </w:rPr>
              <w:t>57.56%</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720" w:type="dxa"/>
            <w:vAlign w:val="bottom"/>
            <w:tcBorders>
              <w:top w:val="single" w:sz="8" w:color="CFF0FC"/>
            </w:tcBorders>
            <w:shd w:val="clear" w:color="auto" w:fill="CFF0FC"/>
          </w:tcPr>
          <w:p>
            <w:pPr>
              <w:spacing w:after="0" w:line="129" w:lineRule="exact"/>
              <w:rPr>
                <w:sz w:val="20"/>
                <w:szCs w:val="20"/>
                <w:color w:val="auto"/>
              </w:rPr>
            </w:pPr>
            <w:r>
              <w:rPr>
                <w:rFonts w:ascii="Arial" w:cs="Arial" w:eastAsia="Arial" w:hAnsi="Arial"/>
                <w:sz w:val="13"/>
                <w:szCs w:val="13"/>
                <w:b w:val="1"/>
                <w:bCs w:val="1"/>
                <w:color w:val="auto"/>
              </w:rPr>
              <w:t>Balance sheet data (in millions)</w:t>
            </w:r>
          </w:p>
        </w:tc>
        <w:tc>
          <w:tcPr>
            <w:tcW w:w="74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94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106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CFF0FC"/>
            </w:tcBorders>
            <w:shd w:val="clear" w:color="auto" w:fill="CFF0FC"/>
          </w:tcPr>
          <w:p>
            <w:pPr>
              <w:spacing w:after="0"/>
              <w:rPr>
                <w:sz w:val="11"/>
                <w:szCs w:val="11"/>
                <w:color w:val="auto"/>
              </w:rPr>
            </w:pPr>
          </w:p>
        </w:tc>
        <w:tc>
          <w:tcPr>
            <w:tcW w:w="104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CFF0FC"/>
            </w:tcBorders>
            <w:shd w:val="clear" w:color="auto" w:fill="CFF0FC"/>
          </w:tcPr>
          <w:p>
            <w:pPr>
              <w:spacing w:after="0"/>
              <w:rPr>
                <w:sz w:val="11"/>
                <w:szCs w:val="11"/>
                <w:color w:val="auto"/>
              </w:rPr>
            </w:pPr>
          </w:p>
        </w:tc>
        <w:tc>
          <w:tcPr>
            <w:tcW w:w="300" w:type="dxa"/>
            <w:vAlign w:val="bottom"/>
            <w:tcBorders>
              <w:top w:val="single" w:sz="8" w:color="auto"/>
            </w:tcBorders>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CFF0FC"/>
            </w:tcBorders>
            <w:shd w:val="clear" w:color="auto" w:fill="CFF0FC"/>
          </w:tcPr>
          <w:p>
            <w:pPr>
              <w:spacing w:after="0"/>
              <w:rPr>
                <w:sz w:val="11"/>
                <w:szCs w:val="11"/>
                <w:color w:val="auto"/>
              </w:rPr>
            </w:pPr>
          </w:p>
        </w:tc>
        <w:tc>
          <w:tcPr>
            <w:tcW w:w="108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720" w:type="dxa"/>
            <w:vAlign w:val="bottom"/>
          </w:tcPr>
          <w:p>
            <w:pPr>
              <w:spacing w:after="0" w:line="149" w:lineRule="exact"/>
              <w:rPr>
                <w:sz w:val="20"/>
                <w:szCs w:val="20"/>
                <w:color w:val="auto"/>
              </w:rPr>
            </w:pPr>
            <w:r>
              <w:rPr>
                <w:rFonts w:ascii="Arial" w:cs="Arial" w:eastAsia="Arial" w:hAnsi="Arial"/>
                <w:sz w:val="13"/>
                <w:szCs w:val="13"/>
                <w:b w:val="1"/>
                <w:bCs w:val="1"/>
                <w:color w:val="auto"/>
              </w:rPr>
              <w:t>Average assets</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20" w:type="dxa"/>
            <w:vAlign w:val="bottom"/>
            <w:shd w:val="clear" w:color="auto" w:fill="CFF0FC"/>
          </w:tcPr>
          <w:p>
            <w:pPr>
              <w:spacing w:after="0" w:line="149" w:lineRule="exact"/>
              <w:rPr>
                <w:sz w:val="20"/>
                <w:szCs w:val="20"/>
                <w:color w:val="auto"/>
              </w:rPr>
            </w:pPr>
            <w:r>
              <w:rPr>
                <w:rFonts w:ascii="Arial" w:cs="Arial" w:eastAsia="Arial" w:hAnsi="Arial"/>
                <w:sz w:val="13"/>
                <w:szCs w:val="13"/>
                <w:color w:val="auto"/>
              </w:rPr>
              <w:t>Average assets</w:t>
            </w:r>
          </w:p>
        </w:tc>
        <w:tc>
          <w:tcPr>
            <w:tcW w:w="840" w:type="dxa"/>
            <w:vAlign w:val="bottom"/>
            <w:gridSpan w:val="2"/>
            <w:shd w:val="clear" w:color="auto" w:fill="CFF0FC"/>
          </w:tcPr>
          <w:p>
            <w:pPr>
              <w:jc w:val="right"/>
              <w:spacing w:after="0" w:line="149" w:lineRule="exact"/>
              <w:rPr>
                <w:sz w:val="20"/>
                <w:szCs w:val="20"/>
                <w:color w:val="auto"/>
              </w:rPr>
            </w:pPr>
            <w:r>
              <w:rPr>
                <w:rFonts w:ascii="Arial" w:cs="Arial" w:eastAsia="Arial" w:hAnsi="Arial"/>
                <w:sz w:val="13"/>
                <w:szCs w:val="13"/>
                <w:color w:val="auto"/>
              </w:rPr>
              <w:t>$</w:t>
            </w:r>
          </w:p>
        </w:tc>
        <w:tc>
          <w:tcPr>
            <w:tcW w:w="94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120,585</w:t>
            </w: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122,554</w:t>
            </w: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120,388</w:t>
            </w:r>
          </w:p>
        </w:tc>
        <w:tc>
          <w:tcPr>
            <w:tcW w:w="3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118,487</w:t>
            </w:r>
          </w:p>
        </w:tc>
        <w:tc>
          <w:tcPr>
            <w:tcW w:w="30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116,839</w:t>
            </w: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20" w:type="dxa"/>
            <w:vAlign w:val="bottom"/>
          </w:tcPr>
          <w:p>
            <w:pPr>
              <w:spacing w:after="0" w:line="149" w:lineRule="exact"/>
              <w:rPr>
                <w:sz w:val="20"/>
                <w:szCs w:val="20"/>
                <w:color w:val="auto"/>
              </w:rPr>
            </w:pPr>
            <w:r>
              <w:rPr>
                <w:rFonts w:ascii="Arial" w:cs="Arial" w:eastAsia="Arial" w:hAnsi="Arial"/>
                <w:sz w:val="13"/>
                <w:szCs w:val="13"/>
                <w:color w:val="auto"/>
              </w:rPr>
              <w:t>Goodwill</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80"/>
              <w:spacing w:after="0" w:line="149" w:lineRule="exact"/>
              <w:rPr>
                <w:sz w:val="20"/>
                <w:szCs w:val="20"/>
                <w:color w:val="auto"/>
              </w:rPr>
            </w:pPr>
            <w:r>
              <w:rPr>
                <w:rFonts w:ascii="Arial" w:cs="Arial" w:eastAsia="Arial" w:hAnsi="Arial"/>
                <w:sz w:val="13"/>
                <w:szCs w:val="13"/>
                <w:color w:val="auto"/>
              </w:rPr>
              <w:t>(4,593)</w:t>
            </w:r>
          </w:p>
        </w:tc>
        <w:tc>
          <w:tcPr>
            <w:tcW w:w="160" w:type="dxa"/>
            <w:vAlign w:val="bottom"/>
          </w:tcPr>
          <w:p>
            <w:pPr>
              <w:spacing w:after="0"/>
              <w:rPr>
                <w:sz w:val="12"/>
                <w:szCs w:val="12"/>
                <w:color w:val="auto"/>
              </w:rPr>
            </w:pPr>
          </w:p>
        </w:tc>
        <w:tc>
          <w:tcPr>
            <w:tcW w:w="1360" w:type="dxa"/>
            <w:vAlign w:val="bottom"/>
            <w:gridSpan w:val="2"/>
          </w:tcPr>
          <w:p>
            <w:pPr>
              <w:jc w:val="right"/>
              <w:ind w:right="260"/>
              <w:spacing w:after="0" w:line="149" w:lineRule="exact"/>
              <w:rPr>
                <w:sz w:val="20"/>
                <w:szCs w:val="20"/>
                <w:color w:val="auto"/>
              </w:rPr>
            </w:pPr>
            <w:r>
              <w:rPr>
                <w:rFonts w:ascii="Arial" w:cs="Arial" w:eastAsia="Arial" w:hAnsi="Arial"/>
                <w:sz w:val="13"/>
                <w:szCs w:val="13"/>
                <w:color w:val="auto"/>
              </w:rPr>
              <w:t>(4,593)</w:t>
            </w:r>
          </w:p>
        </w:tc>
        <w:tc>
          <w:tcPr>
            <w:tcW w:w="1340" w:type="dxa"/>
            <w:vAlign w:val="bottom"/>
            <w:gridSpan w:val="2"/>
          </w:tcPr>
          <w:p>
            <w:pPr>
              <w:jc w:val="right"/>
              <w:ind w:right="260"/>
              <w:spacing w:after="0" w:line="149" w:lineRule="exact"/>
              <w:rPr>
                <w:sz w:val="20"/>
                <w:szCs w:val="20"/>
                <w:color w:val="auto"/>
              </w:rPr>
            </w:pPr>
            <w:r>
              <w:rPr>
                <w:rFonts w:ascii="Arial" w:cs="Arial" w:eastAsia="Arial" w:hAnsi="Arial"/>
                <w:sz w:val="13"/>
                <w:szCs w:val="13"/>
                <w:color w:val="auto"/>
              </w:rPr>
              <w:t>(4,593)</w:t>
            </w:r>
          </w:p>
        </w:tc>
        <w:tc>
          <w:tcPr>
            <w:tcW w:w="300" w:type="dxa"/>
            <w:vAlign w:val="bottom"/>
          </w:tcPr>
          <w:p>
            <w:pPr>
              <w:spacing w:after="0"/>
              <w:rPr>
                <w:sz w:val="12"/>
                <w:szCs w:val="12"/>
                <w:color w:val="auto"/>
              </w:rPr>
            </w:pP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3"/>
                <w:szCs w:val="13"/>
                <w:color w:val="auto"/>
              </w:rPr>
              <w:t>(4,593)</w:t>
            </w:r>
          </w:p>
        </w:tc>
        <w:tc>
          <w:tcPr>
            <w:tcW w:w="1200" w:type="dxa"/>
            <w:vAlign w:val="bottom"/>
            <w:gridSpan w:val="2"/>
          </w:tcPr>
          <w:p>
            <w:pPr>
              <w:jc w:val="right"/>
              <w:ind w:right="80"/>
              <w:spacing w:after="0" w:line="149" w:lineRule="exact"/>
              <w:rPr>
                <w:sz w:val="20"/>
                <w:szCs w:val="20"/>
                <w:color w:val="auto"/>
              </w:rPr>
            </w:pPr>
            <w:r>
              <w:rPr>
                <w:rFonts w:ascii="Arial" w:cs="Arial" w:eastAsia="Arial" w:hAnsi="Arial"/>
                <w:sz w:val="13"/>
                <w:szCs w:val="13"/>
                <w:color w:val="auto"/>
              </w:rPr>
              <w:t>(4,593)</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20" w:type="dxa"/>
            <w:vAlign w:val="bottom"/>
            <w:shd w:val="clear" w:color="auto" w:fill="CFF0FC"/>
          </w:tcPr>
          <w:p>
            <w:pPr>
              <w:spacing w:after="0" w:line="149" w:lineRule="exact"/>
              <w:rPr>
                <w:sz w:val="20"/>
                <w:szCs w:val="20"/>
                <w:color w:val="auto"/>
              </w:rPr>
            </w:pPr>
            <w:r>
              <w:rPr>
                <w:rFonts w:ascii="Arial" w:cs="Arial" w:eastAsia="Arial" w:hAnsi="Arial"/>
                <w:sz w:val="13"/>
                <w:szCs w:val="13"/>
                <w:color w:val="auto"/>
              </w:rPr>
              <w:t>Core deposit and other intangible assets</w:t>
            </w: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80"/>
              <w:spacing w:after="0" w:line="149" w:lineRule="exact"/>
              <w:rPr>
                <w:sz w:val="20"/>
                <w:szCs w:val="20"/>
                <w:color w:val="auto"/>
              </w:rPr>
            </w:pPr>
            <w:r>
              <w:rPr>
                <w:rFonts w:ascii="Arial" w:cs="Arial" w:eastAsia="Arial" w:hAnsi="Arial"/>
                <w:sz w:val="13"/>
                <w:szCs w:val="13"/>
                <w:color w:val="auto"/>
              </w:rPr>
              <w:t>(27)</w:t>
            </w:r>
          </w:p>
        </w:tc>
        <w:tc>
          <w:tcPr>
            <w:tcW w:w="16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260"/>
              <w:spacing w:after="0" w:line="149" w:lineRule="exact"/>
              <w:rPr>
                <w:sz w:val="20"/>
                <w:szCs w:val="20"/>
                <w:color w:val="auto"/>
              </w:rPr>
            </w:pPr>
            <w:r>
              <w:rPr>
                <w:rFonts w:ascii="Arial" w:cs="Arial" w:eastAsia="Arial" w:hAnsi="Arial"/>
                <w:sz w:val="13"/>
                <w:szCs w:val="13"/>
                <w:color w:val="auto"/>
              </w:rPr>
              <w:t>(31)</w:t>
            </w:r>
          </w:p>
        </w:tc>
        <w:tc>
          <w:tcPr>
            <w:tcW w:w="1340" w:type="dxa"/>
            <w:vAlign w:val="bottom"/>
            <w:gridSpan w:val="2"/>
            <w:shd w:val="clear" w:color="auto" w:fill="CFF0FC"/>
          </w:tcPr>
          <w:p>
            <w:pPr>
              <w:jc w:val="right"/>
              <w:ind w:right="260"/>
              <w:spacing w:after="0" w:line="149" w:lineRule="exact"/>
              <w:rPr>
                <w:sz w:val="20"/>
                <w:szCs w:val="20"/>
                <w:color w:val="auto"/>
              </w:rPr>
            </w:pPr>
            <w:r>
              <w:rPr>
                <w:rFonts w:ascii="Arial" w:cs="Arial" w:eastAsia="Arial" w:hAnsi="Arial"/>
                <w:sz w:val="13"/>
                <w:szCs w:val="13"/>
                <w:color w:val="auto"/>
              </w:rPr>
              <w:t>(36)</w:t>
            </w:r>
          </w:p>
        </w:tc>
        <w:tc>
          <w:tcPr>
            <w:tcW w:w="30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240"/>
              <w:spacing w:after="0" w:line="149" w:lineRule="exact"/>
              <w:rPr>
                <w:sz w:val="20"/>
                <w:szCs w:val="20"/>
                <w:color w:val="auto"/>
              </w:rPr>
            </w:pPr>
            <w:r>
              <w:rPr>
                <w:rFonts w:ascii="Arial" w:cs="Arial" w:eastAsia="Arial" w:hAnsi="Arial"/>
                <w:sz w:val="13"/>
                <w:szCs w:val="13"/>
                <w:color w:val="auto"/>
              </w:rPr>
              <w:t>(41)</w:t>
            </w:r>
          </w:p>
        </w:tc>
        <w:tc>
          <w:tcPr>
            <w:tcW w:w="1200" w:type="dxa"/>
            <w:vAlign w:val="bottom"/>
            <w:gridSpan w:val="2"/>
            <w:shd w:val="clear" w:color="auto" w:fill="CFF0FC"/>
          </w:tcPr>
          <w:p>
            <w:pPr>
              <w:jc w:val="right"/>
              <w:ind w:right="80"/>
              <w:spacing w:after="0" w:line="149" w:lineRule="exact"/>
              <w:rPr>
                <w:sz w:val="20"/>
                <w:szCs w:val="20"/>
                <w:color w:val="auto"/>
              </w:rPr>
            </w:pPr>
            <w:r>
              <w:rPr>
                <w:rFonts w:ascii="Arial" w:cs="Arial" w:eastAsia="Arial" w:hAnsi="Arial"/>
                <w:sz w:val="13"/>
                <w:szCs w:val="13"/>
                <w:color w:val="auto"/>
              </w:rPr>
              <w:t>(45)</w:t>
            </w:r>
          </w:p>
        </w:tc>
        <w:tc>
          <w:tcPr>
            <w:tcW w:w="1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20" w:type="dxa"/>
            <w:vAlign w:val="bottom"/>
            <w:tcBorders>
              <w:bottom w:val="single" w:sz="8" w:color="CFF0FC"/>
            </w:tcBorders>
          </w:tcPr>
          <w:p>
            <w:pPr>
              <w:spacing w:after="0" w:line="149" w:lineRule="exact"/>
              <w:rPr>
                <w:sz w:val="20"/>
                <w:szCs w:val="20"/>
                <w:color w:val="auto"/>
              </w:rPr>
            </w:pPr>
            <w:r>
              <w:rPr>
                <w:rFonts w:ascii="Arial" w:cs="Arial" w:eastAsia="Arial" w:hAnsi="Arial"/>
                <w:sz w:val="13"/>
                <w:szCs w:val="13"/>
                <w:color w:val="auto"/>
              </w:rPr>
              <w:t>Deferred taxes</w:t>
            </w:r>
          </w:p>
        </w:tc>
        <w:tc>
          <w:tcPr>
            <w:tcW w:w="74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3"/>
                <w:szCs w:val="13"/>
                <w:color w:val="auto"/>
              </w:rPr>
              <w:t>7</w:t>
            </w:r>
          </w:p>
        </w:tc>
        <w:tc>
          <w:tcPr>
            <w:tcW w:w="140" w:type="dxa"/>
            <w:vAlign w:val="bottom"/>
            <w:tcBorders>
              <w:bottom w:val="single" w:sz="8" w:color="CFF0FC"/>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10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3"/>
                <w:szCs w:val="13"/>
                <w:color w:val="auto"/>
              </w:rPr>
              <w:t>8</w:t>
            </w:r>
          </w:p>
        </w:tc>
        <w:tc>
          <w:tcPr>
            <w:tcW w:w="300" w:type="dxa"/>
            <w:vAlign w:val="bottom"/>
            <w:tcBorders>
              <w:bottom w:val="single" w:sz="8" w:color="CFF0FC"/>
            </w:tcBorders>
          </w:tcPr>
          <w:p>
            <w:pPr>
              <w:spacing w:after="0"/>
              <w:rPr>
                <w:sz w:val="12"/>
                <w:szCs w:val="12"/>
                <w:color w:val="auto"/>
              </w:rPr>
            </w:pPr>
          </w:p>
        </w:tc>
        <w:tc>
          <w:tcPr>
            <w:tcW w:w="10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3"/>
                <w:szCs w:val="13"/>
                <w:color w:val="auto"/>
              </w:rPr>
              <w:t>10</w:t>
            </w:r>
          </w:p>
        </w:tc>
        <w:tc>
          <w:tcPr>
            <w:tcW w:w="30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3"/>
                <w:szCs w:val="13"/>
                <w:color w:val="auto"/>
              </w:rPr>
              <w:t>11</w:t>
            </w:r>
          </w:p>
        </w:tc>
        <w:tc>
          <w:tcPr>
            <w:tcW w:w="300" w:type="dxa"/>
            <w:vAlign w:val="bottom"/>
            <w:tcBorders>
              <w:bottom w:val="single" w:sz="8" w:color="CFF0FC"/>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3"/>
                <w:szCs w:val="13"/>
                <w:color w:val="auto"/>
              </w:rPr>
              <w:t>12</w:t>
            </w:r>
          </w:p>
        </w:tc>
        <w:tc>
          <w:tcPr>
            <w:tcW w:w="120" w:type="dxa"/>
            <w:vAlign w:val="bottom"/>
            <w:tcBorders>
              <w:bottom w:val="single" w:sz="8" w:color="CFF0FC"/>
            </w:tcBorders>
          </w:tcPr>
          <w:p>
            <w:pPr>
              <w:spacing w:after="0"/>
              <w:rPr>
                <w:sz w:val="12"/>
                <w:szCs w:val="12"/>
                <w:color w:val="auto"/>
              </w:rPr>
            </w:pPr>
          </w:p>
        </w:tc>
        <w:tc>
          <w:tcPr>
            <w:tcW w:w="18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20" w:type="dxa"/>
            <w:vAlign w:val="bottom"/>
            <w:tcBorders>
              <w:bottom w:val="single" w:sz="8" w:color="CFF0FC"/>
            </w:tcBorders>
            <w:shd w:val="clear" w:color="auto" w:fill="CFF0FC"/>
          </w:tcPr>
          <w:p>
            <w:pPr>
              <w:ind w:left="260"/>
              <w:spacing w:after="0" w:line="142" w:lineRule="exact"/>
              <w:rPr>
                <w:sz w:val="20"/>
                <w:szCs w:val="20"/>
                <w:color w:val="auto"/>
              </w:rPr>
            </w:pPr>
            <w:r>
              <w:rPr>
                <w:rFonts w:ascii="Arial" w:cs="Arial" w:eastAsia="Arial" w:hAnsi="Arial"/>
                <w:sz w:val="13"/>
                <w:szCs w:val="13"/>
                <w:color w:val="auto"/>
              </w:rPr>
              <w:t>Average tangible assets</w:t>
            </w:r>
          </w:p>
        </w:tc>
        <w:tc>
          <w:tcPr>
            <w:tcW w:w="7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115,972</w:t>
            </w:r>
          </w:p>
        </w:tc>
        <w:tc>
          <w:tcPr>
            <w:tcW w:w="14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spacing w:after="0"/>
              <w:rPr>
                <w:sz w:val="12"/>
                <w:szCs w:val="12"/>
                <w:color w:val="auto"/>
              </w:rPr>
            </w:pPr>
          </w:p>
        </w:tc>
        <w:tc>
          <w:tcPr>
            <w:tcW w:w="10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117,938</w:t>
            </w:r>
          </w:p>
        </w:tc>
        <w:tc>
          <w:tcPr>
            <w:tcW w:w="300" w:type="dxa"/>
            <w:vAlign w:val="bottom"/>
            <w:tcBorders>
              <w:bottom w:val="single" w:sz="8" w:color="CFF0FC"/>
            </w:tcBorders>
            <w:shd w:val="clear" w:color="auto" w:fill="CFF0FC"/>
          </w:tcPr>
          <w:p>
            <w:pPr>
              <w:spacing w:after="0"/>
              <w:rPr>
                <w:sz w:val="12"/>
                <w:szCs w:val="12"/>
                <w:color w:val="auto"/>
              </w:rPr>
            </w:pPr>
          </w:p>
        </w:tc>
        <w:tc>
          <w:tcPr>
            <w:tcW w:w="10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115,769</w:t>
            </w:r>
          </w:p>
        </w:tc>
        <w:tc>
          <w:tcPr>
            <w:tcW w:w="300" w:type="dxa"/>
            <w:vAlign w:val="bottom"/>
            <w:tcBorders>
              <w:bottom w:val="single" w:sz="8" w:color="CFF0FC"/>
            </w:tcBorders>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113,864</w:t>
            </w:r>
          </w:p>
        </w:tc>
        <w:tc>
          <w:tcPr>
            <w:tcW w:w="300" w:type="dxa"/>
            <w:vAlign w:val="bottom"/>
            <w:tcBorders>
              <w:bottom w:val="single" w:sz="8" w:color="CFF0FC"/>
            </w:tcBorders>
            <w:shd w:val="clear" w:color="auto" w:fill="CFF0FC"/>
          </w:tcPr>
          <w:p>
            <w:pPr>
              <w:spacing w:after="0"/>
              <w:rPr>
                <w:sz w:val="12"/>
                <w:szCs w:val="12"/>
                <w:color w:val="auto"/>
              </w:rPr>
            </w:pPr>
          </w:p>
        </w:tc>
        <w:tc>
          <w:tcPr>
            <w:tcW w:w="10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112,213</w:t>
            </w:r>
          </w:p>
        </w:tc>
        <w:tc>
          <w:tcPr>
            <w:tcW w:w="12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rPr>
                <w:sz w:val="20"/>
                <w:szCs w:val="20"/>
                <w:color w:val="auto"/>
              </w:rPr>
            </w:pPr>
            <w:r>
              <w:rPr>
                <w:rFonts w:ascii="Arial" w:cs="Arial" w:eastAsia="Arial" w:hAnsi="Arial"/>
                <w:sz w:val="13"/>
                <w:szCs w:val="13"/>
                <w:b w:val="1"/>
                <w:bCs w:val="1"/>
                <w:color w:val="auto"/>
              </w:rPr>
              <w:t>Average common equity</w:t>
            </w:r>
          </w:p>
        </w:tc>
        <w:tc>
          <w:tcPr>
            <w:tcW w:w="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72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720" w:type="dxa"/>
            <w:vAlign w:val="bottom"/>
            <w:shd w:val="clear" w:color="auto" w:fill="CFF0FC"/>
          </w:tcPr>
          <w:p>
            <w:pPr>
              <w:spacing w:after="0" w:line="149" w:lineRule="exact"/>
              <w:rPr>
                <w:sz w:val="20"/>
                <w:szCs w:val="20"/>
                <w:color w:val="auto"/>
              </w:rPr>
            </w:pPr>
            <w:r>
              <w:rPr>
                <w:rFonts w:ascii="Arial" w:cs="Arial" w:eastAsia="Arial" w:hAnsi="Arial"/>
                <w:sz w:val="13"/>
                <w:szCs w:val="13"/>
                <w:color w:val="auto"/>
              </w:rPr>
              <w:t>Average total equity</w:t>
            </w:r>
          </w:p>
        </w:tc>
        <w:tc>
          <w:tcPr>
            <w:tcW w:w="840" w:type="dxa"/>
            <w:vAlign w:val="bottom"/>
            <w:gridSpan w:val="2"/>
            <w:shd w:val="clear" w:color="auto" w:fill="CFF0FC"/>
          </w:tcPr>
          <w:p>
            <w:pPr>
              <w:jc w:val="right"/>
              <w:spacing w:after="0" w:line="149" w:lineRule="exact"/>
              <w:rPr>
                <w:sz w:val="20"/>
                <w:szCs w:val="20"/>
                <w:color w:val="auto"/>
              </w:rPr>
            </w:pPr>
            <w:r>
              <w:rPr>
                <w:rFonts w:ascii="Arial" w:cs="Arial" w:eastAsia="Arial" w:hAnsi="Arial"/>
                <w:sz w:val="13"/>
                <w:szCs w:val="13"/>
                <w:color w:val="auto"/>
              </w:rPr>
              <w:t>$</w:t>
            </w:r>
          </w:p>
        </w:tc>
        <w:tc>
          <w:tcPr>
            <w:tcW w:w="94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15,720</w:t>
            </w: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15,832</w:t>
            </w: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15,837</w:t>
            </w:r>
          </w:p>
        </w:tc>
        <w:tc>
          <w:tcPr>
            <w:tcW w:w="3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15,630</w:t>
            </w:r>
          </w:p>
        </w:tc>
        <w:tc>
          <w:tcPr>
            <w:tcW w:w="30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15,569</w:t>
            </w: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20" w:type="dxa"/>
            <w:vAlign w:val="bottom"/>
          </w:tcPr>
          <w:p>
            <w:pPr>
              <w:spacing w:after="0" w:line="149" w:lineRule="exact"/>
              <w:rPr>
                <w:sz w:val="20"/>
                <w:szCs w:val="20"/>
                <w:color w:val="auto"/>
              </w:rPr>
            </w:pPr>
            <w:r>
              <w:rPr>
                <w:rFonts w:ascii="Arial" w:cs="Arial" w:eastAsia="Arial" w:hAnsi="Arial"/>
                <w:sz w:val="13"/>
                <w:szCs w:val="13"/>
                <w:color w:val="auto"/>
              </w:rPr>
              <w:t>Preferred stock</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80"/>
              <w:spacing w:after="0" w:line="149" w:lineRule="exact"/>
              <w:rPr>
                <w:sz w:val="20"/>
                <w:szCs w:val="20"/>
                <w:color w:val="auto"/>
              </w:rPr>
            </w:pPr>
            <w:r>
              <w:rPr>
                <w:rFonts w:ascii="Arial" w:cs="Arial" w:eastAsia="Arial" w:hAnsi="Arial"/>
                <w:sz w:val="13"/>
                <w:szCs w:val="13"/>
                <w:color w:val="auto"/>
              </w:rPr>
              <w:t>(1,250)</w:t>
            </w:r>
          </w:p>
        </w:tc>
        <w:tc>
          <w:tcPr>
            <w:tcW w:w="160" w:type="dxa"/>
            <w:vAlign w:val="bottom"/>
          </w:tcPr>
          <w:p>
            <w:pPr>
              <w:spacing w:after="0"/>
              <w:rPr>
                <w:sz w:val="12"/>
                <w:szCs w:val="12"/>
                <w:color w:val="auto"/>
              </w:rPr>
            </w:pPr>
          </w:p>
        </w:tc>
        <w:tc>
          <w:tcPr>
            <w:tcW w:w="1360" w:type="dxa"/>
            <w:vAlign w:val="bottom"/>
            <w:gridSpan w:val="2"/>
          </w:tcPr>
          <w:p>
            <w:pPr>
              <w:jc w:val="right"/>
              <w:ind w:right="260"/>
              <w:spacing w:after="0" w:line="149" w:lineRule="exact"/>
              <w:rPr>
                <w:sz w:val="20"/>
                <w:szCs w:val="20"/>
                <w:color w:val="auto"/>
              </w:rPr>
            </w:pPr>
            <w:r>
              <w:rPr>
                <w:rFonts w:ascii="Arial" w:cs="Arial" w:eastAsia="Arial" w:hAnsi="Arial"/>
                <w:sz w:val="13"/>
                <w:szCs w:val="13"/>
                <w:color w:val="auto"/>
              </w:rPr>
              <w:t>(1,250)</w:t>
            </w:r>
          </w:p>
        </w:tc>
        <w:tc>
          <w:tcPr>
            <w:tcW w:w="1340" w:type="dxa"/>
            <w:vAlign w:val="bottom"/>
            <w:gridSpan w:val="2"/>
          </w:tcPr>
          <w:p>
            <w:pPr>
              <w:jc w:val="right"/>
              <w:ind w:right="260"/>
              <w:spacing w:after="0" w:line="149" w:lineRule="exact"/>
              <w:rPr>
                <w:sz w:val="20"/>
                <w:szCs w:val="20"/>
                <w:color w:val="auto"/>
              </w:rPr>
            </w:pPr>
            <w:r>
              <w:rPr>
                <w:rFonts w:ascii="Arial" w:cs="Arial" w:eastAsia="Arial" w:hAnsi="Arial"/>
                <w:sz w:val="13"/>
                <w:szCs w:val="13"/>
                <w:color w:val="auto"/>
              </w:rPr>
              <w:t>(1,373)</w:t>
            </w:r>
          </w:p>
        </w:tc>
        <w:tc>
          <w:tcPr>
            <w:tcW w:w="300" w:type="dxa"/>
            <w:vAlign w:val="bottom"/>
          </w:tcPr>
          <w:p>
            <w:pPr>
              <w:spacing w:after="0"/>
              <w:rPr>
                <w:sz w:val="12"/>
                <w:szCs w:val="12"/>
                <w:color w:val="auto"/>
              </w:rPr>
            </w:pP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3"/>
                <w:szCs w:val="13"/>
                <w:color w:val="auto"/>
              </w:rPr>
              <w:t>(1,232)</w:t>
            </w:r>
          </w:p>
        </w:tc>
        <w:tc>
          <w:tcPr>
            <w:tcW w:w="1200" w:type="dxa"/>
            <w:vAlign w:val="bottom"/>
            <w:gridSpan w:val="2"/>
          </w:tcPr>
          <w:p>
            <w:pPr>
              <w:jc w:val="right"/>
              <w:ind w:right="80"/>
              <w:spacing w:after="0" w:line="149" w:lineRule="exact"/>
              <w:rPr>
                <w:sz w:val="20"/>
                <w:szCs w:val="20"/>
                <w:color w:val="auto"/>
              </w:rPr>
            </w:pPr>
            <w:r>
              <w:rPr>
                <w:rFonts w:ascii="Arial" w:cs="Arial" w:eastAsia="Arial" w:hAnsi="Arial"/>
                <w:sz w:val="13"/>
                <w:szCs w:val="13"/>
                <w:color w:val="auto"/>
              </w:rPr>
              <w:t>(1,232)</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20" w:type="dxa"/>
            <w:vAlign w:val="bottom"/>
            <w:tcBorders>
              <w:top w:val="single" w:sz="8" w:color="CFF0FC"/>
            </w:tcBorders>
            <w:shd w:val="clear" w:color="auto" w:fill="CFF0FC"/>
          </w:tcPr>
          <w:p>
            <w:pPr>
              <w:ind w:left="260"/>
              <w:spacing w:after="0" w:line="142" w:lineRule="exact"/>
              <w:rPr>
                <w:sz w:val="20"/>
                <w:szCs w:val="20"/>
                <w:color w:val="auto"/>
              </w:rPr>
            </w:pPr>
            <w:r>
              <w:rPr>
                <w:rFonts w:ascii="Arial" w:cs="Arial" w:eastAsia="Arial" w:hAnsi="Arial"/>
                <w:sz w:val="13"/>
                <w:szCs w:val="13"/>
                <w:color w:val="auto"/>
              </w:rPr>
              <w:t>Average common equity</w:t>
            </w:r>
          </w:p>
        </w:tc>
        <w:tc>
          <w:tcPr>
            <w:tcW w:w="7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9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14,470</w:t>
            </w:r>
          </w:p>
        </w:tc>
        <w:tc>
          <w:tcPr>
            <w:tcW w:w="14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10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14,582</w:t>
            </w:r>
          </w:p>
        </w:tc>
        <w:tc>
          <w:tcPr>
            <w:tcW w:w="300" w:type="dxa"/>
            <w:vAlign w:val="bottom"/>
            <w:tcBorders>
              <w:top w:val="single" w:sz="8" w:color="CFF0FC"/>
            </w:tcBorders>
            <w:shd w:val="clear" w:color="auto" w:fill="CFF0FC"/>
          </w:tcPr>
          <w:p>
            <w:pPr>
              <w:spacing w:after="0"/>
              <w:rPr>
                <w:sz w:val="12"/>
                <w:szCs w:val="12"/>
                <w:color w:val="auto"/>
              </w:rPr>
            </w:pPr>
          </w:p>
        </w:tc>
        <w:tc>
          <w:tcPr>
            <w:tcW w:w="10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14,464</w:t>
            </w:r>
          </w:p>
        </w:tc>
        <w:tc>
          <w:tcPr>
            <w:tcW w:w="300" w:type="dxa"/>
            <w:vAlign w:val="bottom"/>
            <w:tcBorders>
              <w:top w:val="single" w:sz="8" w:color="CFF0FC"/>
            </w:tcBorders>
            <w:shd w:val="clear" w:color="auto" w:fill="CFF0FC"/>
          </w:tcPr>
          <w:p>
            <w:pPr>
              <w:spacing w:after="0"/>
              <w:rPr>
                <w:sz w:val="12"/>
                <w:szCs w:val="12"/>
                <w:color w:val="auto"/>
              </w:rPr>
            </w:pPr>
          </w:p>
        </w:tc>
        <w:tc>
          <w:tcPr>
            <w:tcW w:w="300" w:type="dxa"/>
            <w:vAlign w:val="bottom"/>
            <w:tcBorders>
              <w:top w:val="single" w:sz="8" w:color="auto"/>
            </w:tcBorders>
            <w:shd w:val="clear" w:color="auto" w:fill="CFF0FC"/>
          </w:tcPr>
          <w:p>
            <w:pPr>
              <w:spacing w:after="0"/>
              <w:rPr>
                <w:sz w:val="12"/>
                <w:szCs w:val="12"/>
                <w:color w:val="auto"/>
              </w:rPr>
            </w:pPr>
          </w:p>
        </w:tc>
        <w:tc>
          <w:tcPr>
            <w:tcW w:w="7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14,398</w:t>
            </w:r>
          </w:p>
        </w:tc>
        <w:tc>
          <w:tcPr>
            <w:tcW w:w="300" w:type="dxa"/>
            <w:vAlign w:val="bottom"/>
            <w:tcBorders>
              <w:top w:val="single" w:sz="8" w:color="CFF0FC"/>
            </w:tcBorders>
            <w:shd w:val="clear" w:color="auto" w:fill="CFF0FC"/>
          </w:tcPr>
          <w:p>
            <w:pPr>
              <w:spacing w:after="0"/>
              <w:rPr>
                <w:sz w:val="12"/>
                <w:szCs w:val="12"/>
                <w:color w:val="auto"/>
              </w:rPr>
            </w:pPr>
          </w:p>
        </w:tc>
        <w:tc>
          <w:tcPr>
            <w:tcW w:w="10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14,337</w:t>
            </w:r>
          </w:p>
        </w:tc>
        <w:tc>
          <w:tcPr>
            <w:tcW w:w="12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20" w:type="dxa"/>
            <w:vAlign w:val="bottom"/>
          </w:tcPr>
          <w:p>
            <w:pPr>
              <w:spacing w:after="0" w:line="149" w:lineRule="exact"/>
              <w:rPr>
                <w:sz w:val="20"/>
                <w:szCs w:val="20"/>
                <w:color w:val="auto"/>
              </w:rPr>
            </w:pPr>
            <w:r>
              <w:rPr>
                <w:rFonts w:ascii="Arial" w:cs="Arial" w:eastAsia="Arial" w:hAnsi="Arial"/>
                <w:sz w:val="13"/>
                <w:szCs w:val="13"/>
                <w:color w:val="auto"/>
              </w:rPr>
              <w:t>Goodwill</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80"/>
              <w:spacing w:after="0" w:line="149" w:lineRule="exact"/>
              <w:rPr>
                <w:sz w:val="20"/>
                <w:szCs w:val="20"/>
                <w:color w:val="auto"/>
              </w:rPr>
            </w:pPr>
            <w:r>
              <w:rPr>
                <w:rFonts w:ascii="Arial" w:cs="Arial" w:eastAsia="Arial" w:hAnsi="Arial"/>
                <w:sz w:val="13"/>
                <w:szCs w:val="13"/>
                <w:color w:val="auto"/>
              </w:rPr>
              <w:t>(4,593)</w:t>
            </w:r>
          </w:p>
        </w:tc>
        <w:tc>
          <w:tcPr>
            <w:tcW w:w="160" w:type="dxa"/>
            <w:vAlign w:val="bottom"/>
          </w:tcPr>
          <w:p>
            <w:pPr>
              <w:spacing w:after="0"/>
              <w:rPr>
                <w:sz w:val="12"/>
                <w:szCs w:val="12"/>
                <w:color w:val="auto"/>
              </w:rPr>
            </w:pPr>
          </w:p>
        </w:tc>
        <w:tc>
          <w:tcPr>
            <w:tcW w:w="1360" w:type="dxa"/>
            <w:vAlign w:val="bottom"/>
            <w:gridSpan w:val="2"/>
          </w:tcPr>
          <w:p>
            <w:pPr>
              <w:jc w:val="right"/>
              <w:ind w:right="260"/>
              <w:spacing w:after="0" w:line="149" w:lineRule="exact"/>
              <w:rPr>
                <w:sz w:val="20"/>
                <w:szCs w:val="20"/>
                <w:color w:val="auto"/>
              </w:rPr>
            </w:pPr>
            <w:r>
              <w:rPr>
                <w:rFonts w:ascii="Arial" w:cs="Arial" w:eastAsia="Arial" w:hAnsi="Arial"/>
                <w:sz w:val="13"/>
                <w:szCs w:val="13"/>
                <w:color w:val="auto"/>
              </w:rPr>
              <w:t>(4,593)</w:t>
            </w:r>
          </w:p>
        </w:tc>
        <w:tc>
          <w:tcPr>
            <w:tcW w:w="1340" w:type="dxa"/>
            <w:vAlign w:val="bottom"/>
            <w:gridSpan w:val="2"/>
          </w:tcPr>
          <w:p>
            <w:pPr>
              <w:jc w:val="right"/>
              <w:ind w:right="260"/>
              <w:spacing w:after="0" w:line="149" w:lineRule="exact"/>
              <w:rPr>
                <w:sz w:val="20"/>
                <w:szCs w:val="20"/>
                <w:color w:val="auto"/>
              </w:rPr>
            </w:pPr>
            <w:r>
              <w:rPr>
                <w:rFonts w:ascii="Arial" w:cs="Arial" w:eastAsia="Arial" w:hAnsi="Arial"/>
                <w:sz w:val="13"/>
                <w:szCs w:val="13"/>
                <w:color w:val="auto"/>
              </w:rPr>
              <w:t>(4,593)</w:t>
            </w:r>
          </w:p>
        </w:tc>
        <w:tc>
          <w:tcPr>
            <w:tcW w:w="300" w:type="dxa"/>
            <w:vAlign w:val="bottom"/>
          </w:tcPr>
          <w:p>
            <w:pPr>
              <w:spacing w:after="0"/>
              <w:rPr>
                <w:sz w:val="12"/>
                <w:szCs w:val="12"/>
                <w:color w:val="auto"/>
              </w:rPr>
            </w:pP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3"/>
                <w:szCs w:val="13"/>
                <w:color w:val="auto"/>
              </w:rPr>
              <w:t>(4,593)</w:t>
            </w:r>
          </w:p>
        </w:tc>
        <w:tc>
          <w:tcPr>
            <w:tcW w:w="1200" w:type="dxa"/>
            <w:vAlign w:val="bottom"/>
            <w:gridSpan w:val="2"/>
          </w:tcPr>
          <w:p>
            <w:pPr>
              <w:jc w:val="right"/>
              <w:ind w:right="80"/>
              <w:spacing w:after="0" w:line="149" w:lineRule="exact"/>
              <w:rPr>
                <w:sz w:val="20"/>
                <w:szCs w:val="20"/>
                <w:color w:val="auto"/>
              </w:rPr>
            </w:pPr>
            <w:r>
              <w:rPr>
                <w:rFonts w:ascii="Arial" w:cs="Arial" w:eastAsia="Arial" w:hAnsi="Arial"/>
                <w:sz w:val="13"/>
                <w:szCs w:val="13"/>
                <w:color w:val="auto"/>
              </w:rPr>
              <w:t>(4,593)</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20" w:type="dxa"/>
            <w:vAlign w:val="bottom"/>
            <w:shd w:val="clear" w:color="auto" w:fill="CFF0FC"/>
          </w:tcPr>
          <w:p>
            <w:pPr>
              <w:spacing w:after="0" w:line="149" w:lineRule="exact"/>
              <w:rPr>
                <w:sz w:val="20"/>
                <w:szCs w:val="20"/>
                <w:color w:val="auto"/>
              </w:rPr>
            </w:pPr>
            <w:r>
              <w:rPr>
                <w:rFonts w:ascii="Arial" w:cs="Arial" w:eastAsia="Arial" w:hAnsi="Arial"/>
                <w:sz w:val="13"/>
                <w:szCs w:val="13"/>
                <w:color w:val="auto"/>
              </w:rPr>
              <w:t>Core deposit and other intangible assets</w:t>
            </w: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80"/>
              <w:spacing w:after="0" w:line="149" w:lineRule="exact"/>
              <w:rPr>
                <w:sz w:val="20"/>
                <w:szCs w:val="20"/>
                <w:color w:val="auto"/>
              </w:rPr>
            </w:pPr>
            <w:r>
              <w:rPr>
                <w:rFonts w:ascii="Arial" w:cs="Arial" w:eastAsia="Arial" w:hAnsi="Arial"/>
                <w:sz w:val="13"/>
                <w:szCs w:val="13"/>
                <w:color w:val="auto"/>
              </w:rPr>
              <w:t>(27)</w:t>
            </w:r>
          </w:p>
        </w:tc>
        <w:tc>
          <w:tcPr>
            <w:tcW w:w="16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260"/>
              <w:spacing w:after="0" w:line="149" w:lineRule="exact"/>
              <w:rPr>
                <w:sz w:val="20"/>
                <w:szCs w:val="20"/>
                <w:color w:val="auto"/>
              </w:rPr>
            </w:pPr>
            <w:r>
              <w:rPr>
                <w:rFonts w:ascii="Arial" w:cs="Arial" w:eastAsia="Arial" w:hAnsi="Arial"/>
                <w:sz w:val="13"/>
                <w:szCs w:val="13"/>
                <w:color w:val="auto"/>
              </w:rPr>
              <w:t>(31)</w:t>
            </w:r>
          </w:p>
        </w:tc>
        <w:tc>
          <w:tcPr>
            <w:tcW w:w="1340" w:type="dxa"/>
            <w:vAlign w:val="bottom"/>
            <w:gridSpan w:val="2"/>
            <w:shd w:val="clear" w:color="auto" w:fill="CFF0FC"/>
          </w:tcPr>
          <w:p>
            <w:pPr>
              <w:jc w:val="right"/>
              <w:ind w:right="260"/>
              <w:spacing w:after="0" w:line="149" w:lineRule="exact"/>
              <w:rPr>
                <w:sz w:val="20"/>
                <w:szCs w:val="20"/>
                <w:color w:val="auto"/>
              </w:rPr>
            </w:pPr>
            <w:r>
              <w:rPr>
                <w:rFonts w:ascii="Arial" w:cs="Arial" w:eastAsia="Arial" w:hAnsi="Arial"/>
                <w:sz w:val="13"/>
                <w:szCs w:val="13"/>
                <w:color w:val="auto"/>
              </w:rPr>
              <w:t>(36)</w:t>
            </w:r>
          </w:p>
        </w:tc>
        <w:tc>
          <w:tcPr>
            <w:tcW w:w="30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240"/>
              <w:spacing w:after="0" w:line="149" w:lineRule="exact"/>
              <w:rPr>
                <w:sz w:val="20"/>
                <w:szCs w:val="20"/>
                <w:color w:val="auto"/>
              </w:rPr>
            </w:pPr>
            <w:r>
              <w:rPr>
                <w:rFonts w:ascii="Arial" w:cs="Arial" w:eastAsia="Arial" w:hAnsi="Arial"/>
                <w:sz w:val="13"/>
                <w:szCs w:val="13"/>
                <w:color w:val="auto"/>
              </w:rPr>
              <w:t>(41)</w:t>
            </w:r>
          </w:p>
        </w:tc>
        <w:tc>
          <w:tcPr>
            <w:tcW w:w="1200" w:type="dxa"/>
            <w:vAlign w:val="bottom"/>
            <w:gridSpan w:val="2"/>
            <w:shd w:val="clear" w:color="auto" w:fill="CFF0FC"/>
          </w:tcPr>
          <w:p>
            <w:pPr>
              <w:jc w:val="right"/>
              <w:ind w:right="80"/>
              <w:spacing w:after="0" w:line="149" w:lineRule="exact"/>
              <w:rPr>
                <w:sz w:val="20"/>
                <w:szCs w:val="20"/>
                <w:color w:val="auto"/>
              </w:rPr>
            </w:pPr>
            <w:r>
              <w:rPr>
                <w:rFonts w:ascii="Arial" w:cs="Arial" w:eastAsia="Arial" w:hAnsi="Arial"/>
                <w:sz w:val="13"/>
                <w:szCs w:val="13"/>
                <w:color w:val="auto"/>
              </w:rPr>
              <w:t>(45)</w:t>
            </w:r>
          </w:p>
        </w:tc>
        <w:tc>
          <w:tcPr>
            <w:tcW w:w="1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20" w:type="dxa"/>
            <w:vAlign w:val="bottom"/>
            <w:tcBorders>
              <w:bottom w:val="single" w:sz="8" w:color="CFF0FC"/>
            </w:tcBorders>
          </w:tcPr>
          <w:p>
            <w:pPr>
              <w:spacing w:after="0" w:line="149" w:lineRule="exact"/>
              <w:rPr>
                <w:sz w:val="20"/>
                <w:szCs w:val="20"/>
                <w:color w:val="auto"/>
              </w:rPr>
            </w:pPr>
            <w:r>
              <w:rPr>
                <w:rFonts w:ascii="Arial" w:cs="Arial" w:eastAsia="Arial" w:hAnsi="Arial"/>
                <w:sz w:val="13"/>
                <w:szCs w:val="13"/>
                <w:color w:val="auto"/>
              </w:rPr>
              <w:t>Deferred taxes</w:t>
            </w:r>
          </w:p>
        </w:tc>
        <w:tc>
          <w:tcPr>
            <w:tcW w:w="74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3"/>
                <w:szCs w:val="13"/>
                <w:color w:val="auto"/>
              </w:rPr>
              <w:t>7</w:t>
            </w:r>
          </w:p>
        </w:tc>
        <w:tc>
          <w:tcPr>
            <w:tcW w:w="140" w:type="dxa"/>
            <w:vAlign w:val="bottom"/>
            <w:tcBorders>
              <w:bottom w:val="single" w:sz="8" w:color="CFF0FC"/>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10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3"/>
                <w:szCs w:val="13"/>
                <w:color w:val="auto"/>
              </w:rPr>
              <w:t>8</w:t>
            </w:r>
          </w:p>
        </w:tc>
        <w:tc>
          <w:tcPr>
            <w:tcW w:w="300" w:type="dxa"/>
            <w:vAlign w:val="bottom"/>
            <w:tcBorders>
              <w:bottom w:val="single" w:sz="8" w:color="CFF0FC"/>
            </w:tcBorders>
          </w:tcPr>
          <w:p>
            <w:pPr>
              <w:spacing w:after="0"/>
              <w:rPr>
                <w:sz w:val="12"/>
                <w:szCs w:val="12"/>
                <w:color w:val="auto"/>
              </w:rPr>
            </w:pPr>
          </w:p>
        </w:tc>
        <w:tc>
          <w:tcPr>
            <w:tcW w:w="10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3"/>
                <w:szCs w:val="13"/>
                <w:color w:val="auto"/>
              </w:rPr>
              <w:t>10</w:t>
            </w:r>
          </w:p>
        </w:tc>
        <w:tc>
          <w:tcPr>
            <w:tcW w:w="30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3"/>
                <w:szCs w:val="13"/>
                <w:color w:val="auto"/>
              </w:rPr>
              <w:t>11</w:t>
            </w:r>
          </w:p>
        </w:tc>
        <w:tc>
          <w:tcPr>
            <w:tcW w:w="300" w:type="dxa"/>
            <w:vAlign w:val="bottom"/>
            <w:tcBorders>
              <w:bottom w:val="single" w:sz="8" w:color="CFF0FC"/>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3"/>
                <w:szCs w:val="13"/>
                <w:color w:val="auto"/>
              </w:rPr>
              <w:t>12</w:t>
            </w:r>
          </w:p>
        </w:tc>
        <w:tc>
          <w:tcPr>
            <w:tcW w:w="120" w:type="dxa"/>
            <w:vAlign w:val="bottom"/>
            <w:tcBorders>
              <w:bottom w:val="single" w:sz="8" w:color="CFF0FC"/>
            </w:tcBorders>
          </w:tcPr>
          <w:p>
            <w:pPr>
              <w:spacing w:after="0"/>
              <w:rPr>
                <w:sz w:val="12"/>
                <w:szCs w:val="12"/>
                <w:color w:val="auto"/>
              </w:rPr>
            </w:pPr>
          </w:p>
        </w:tc>
        <w:tc>
          <w:tcPr>
            <w:tcW w:w="18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20" w:type="dxa"/>
            <w:vAlign w:val="bottom"/>
            <w:tcBorders>
              <w:bottom w:val="single" w:sz="8" w:color="CFF0FC"/>
            </w:tcBorders>
            <w:shd w:val="clear" w:color="auto" w:fill="CFF0FC"/>
          </w:tcPr>
          <w:p>
            <w:pPr>
              <w:ind w:left="260"/>
              <w:spacing w:after="0" w:line="142" w:lineRule="exact"/>
              <w:rPr>
                <w:sz w:val="20"/>
                <w:szCs w:val="20"/>
                <w:color w:val="auto"/>
              </w:rPr>
            </w:pPr>
            <w:r>
              <w:rPr>
                <w:rFonts w:ascii="Arial" w:cs="Arial" w:eastAsia="Arial" w:hAnsi="Arial"/>
                <w:sz w:val="13"/>
                <w:szCs w:val="13"/>
                <w:color w:val="auto"/>
              </w:rPr>
              <w:t>Average tangible common equity</w:t>
            </w:r>
          </w:p>
        </w:tc>
        <w:tc>
          <w:tcPr>
            <w:tcW w:w="7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9,857</w:t>
            </w:r>
          </w:p>
        </w:tc>
        <w:tc>
          <w:tcPr>
            <w:tcW w:w="14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spacing w:after="0"/>
              <w:rPr>
                <w:sz w:val="12"/>
                <w:szCs w:val="12"/>
                <w:color w:val="auto"/>
              </w:rPr>
            </w:pPr>
          </w:p>
        </w:tc>
        <w:tc>
          <w:tcPr>
            <w:tcW w:w="10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9,966</w:t>
            </w:r>
          </w:p>
        </w:tc>
        <w:tc>
          <w:tcPr>
            <w:tcW w:w="300" w:type="dxa"/>
            <w:vAlign w:val="bottom"/>
            <w:tcBorders>
              <w:bottom w:val="single" w:sz="8" w:color="CFF0FC"/>
            </w:tcBorders>
            <w:shd w:val="clear" w:color="auto" w:fill="CFF0FC"/>
          </w:tcPr>
          <w:p>
            <w:pPr>
              <w:spacing w:after="0"/>
              <w:rPr>
                <w:sz w:val="12"/>
                <w:szCs w:val="12"/>
                <w:color w:val="auto"/>
              </w:rPr>
            </w:pPr>
          </w:p>
        </w:tc>
        <w:tc>
          <w:tcPr>
            <w:tcW w:w="10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9,845</w:t>
            </w:r>
          </w:p>
        </w:tc>
        <w:tc>
          <w:tcPr>
            <w:tcW w:w="300" w:type="dxa"/>
            <w:vAlign w:val="bottom"/>
            <w:tcBorders>
              <w:bottom w:val="single" w:sz="8" w:color="CFF0FC"/>
            </w:tcBorders>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9,775</w:t>
            </w:r>
          </w:p>
        </w:tc>
        <w:tc>
          <w:tcPr>
            <w:tcW w:w="300" w:type="dxa"/>
            <w:vAlign w:val="bottom"/>
            <w:tcBorders>
              <w:bottom w:val="single" w:sz="8" w:color="CFF0FC"/>
            </w:tcBorders>
            <w:shd w:val="clear" w:color="auto" w:fill="CFF0FC"/>
          </w:tcPr>
          <w:p>
            <w:pPr>
              <w:spacing w:after="0"/>
              <w:rPr>
                <w:sz w:val="12"/>
                <w:szCs w:val="12"/>
                <w:color w:val="auto"/>
              </w:rPr>
            </w:pPr>
          </w:p>
        </w:tc>
        <w:tc>
          <w:tcPr>
            <w:tcW w:w="10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9,711</w:t>
            </w:r>
          </w:p>
        </w:tc>
        <w:tc>
          <w:tcPr>
            <w:tcW w:w="12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rPr>
                <w:sz w:val="20"/>
                <w:szCs w:val="20"/>
                <w:color w:val="auto"/>
              </w:rPr>
            </w:pPr>
            <w:r>
              <w:rPr>
                <w:rFonts w:ascii="Arial" w:cs="Arial" w:eastAsia="Arial" w:hAnsi="Arial"/>
                <w:sz w:val="13"/>
                <w:szCs w:val="13"/>
                <w:b w:val="1"/>
                <w:bCs w:val="1"/>
                <w:color w:val="auto"/>
              </w:rPr>
              <w:t>At end of quarter</w:t>
            </w:r>
          </w:p>
        </w:tc>
        <w:tc>
          <w:tcPr>
            <w:tcW w:w="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72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720" w:type="dxa"/>
            <w:vAlign w:val="bottom"/>
            <w:shd w:val="clear" w:color="auto" w:fill="CFF0FC"/>
          </w:tcPr>
          <w:p>
            <w:pPr>
              <w:spacing w:after="0" w:line="149" w:lineRule="exact"/>
              <w:rPr>
                <w:sz w:val="20"/>
                <w:szCs w:val="20"/>
                <w:color w:val="auto"/>
              </w:rPr>
            </w:pPr>
            <w:r>
              <w:rPr>
                <w:rFonts w:ascii="Arial" w:cs="Arial" w:eastAsia="Arial" w:hAnsi="Arial"/>
                <w:sz w:val="13"/>
                <w:szCs w:val="13"/>
                <w:b w:val="1"/>
                <w:bCs w:val="1"/>
                <w:color w:val="auto"/>
              </w:rPr>
              <w:t>Total assets</w:t>
            </w: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20" w:type="dxa"/>
            <w:vAlign w:val="bottom"/>
          </w:tcPr>
          <w:p>
            <w:pPr>
              <w:spacing w:after="0" w:line="149" w:lineRule="exact"/>
              <w:rPr>
                <w:sz w:val="20"/>
                <w:szCs w:val="20"/>
                <w:color w:val="auto"/>
              </w:rPr>
            </w:pPr>
            <w:r>
              <w:rPr>
                <w:rFonts w:ascii="Arial" w:cs="Arial" w:eastAsia="Arial" w:hAnsi="Arial"/>
                <w:sz w:val="13"/>
                <w:szCs w:val="13"/>
                <w:color w:val="auto"/>
              </w:rPr>
              <w:t>Total assets</w:t>
            </w:r>
          </w:p>
        </w:tc>
        <w:tc>
          <w:tcPr>
            <w:tcW w:w="840" w:type="dxa"/>
            <w:vAlign w:val="bottom"/>
            <w:gridSpan w:val="2"/>
          </w:tcPr>
          <w:p>
            <w:pPr>
              <w:jc w:val="right"/>
              <w:spacing w:after="0" w:line="149" w:lineRule="exact"/>
              <w:rPr>
                <w:sz w:val="20"/>
                <w:szCs w:val="20"/>
                <w:color w:val="auto"/>
              </w:rPr>
            </w:pPr>
            <w:r>
              <w:rPr>
                <w:rFonts w:ascii="Arial" w:cs="Arial" w:eastAsia="Arial" w:hAnsi="Arial"/>
                <w:sz w:val="13"/>
                <w:szCs w:val="13"/>
                <w:color w:val="auto"/>
              </w:rPr>
              <w:t>$</w:t>
            </w:r>
          </w:p>
        </w:tc>
        <w:tc>
          <w:tcPr>
            <w:tcW w:w="940" w:type="dxa"/>
            <w:vAlign w:val="bottom"/>
          </w:tcPr>
          <w:p>
            <w:pPr>
              <w:jc w:val="right"/>
              <w:spacing w:after="0" w:line="149" w:lineRule="exact"/>
              <w:rPr>
                <w:sz w:val="20"/>
                <w:szCs w:val="20"/>
                <w:color w:val="auto"/>
              </w:rPr>
            </w:pPr>
            <w:r>
              <w:rPr>
                <w:rFonts w:ascii="Arial" w:cs="Arial" w:eastAsia="Arial" w:hAnsi="Arial"/>
                <w:sz w:val="13"/>
                <w:szCs w:val="13"/>
                <w:color w:val="auto"/>
              </w:rPr>
              <w:t>124,578</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3"/>
                <w:szCs w:val="13"/>
                <w:color w:val="auto"/>
              </w:rPr>
              <w:t>119,873</w:t>
            </w:r>
          </w:p>
        </w:tc>
        <w:tc>
          <w:tcPr>
            <w:tcW w:w="3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3"/>
                <w:szCs w:val="13"/>
                <w:color w:val="auto"/>
              </w:rPr>
              <w:t>125,501</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3"/>
                <w:szCs w:val="13"/>
                <w:color w:val="auto"/>
              </w:rPr>
              <w:t>121,555</w:t>
            </w:r>
          </w:p>
        </w:tc>
        <w:tc>
          <w:tcPr>
            <w:tcW w:w="30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3"/>
                <w:szCs w:val="13"/>
                <w:color w:val="auto"/>
              </w:rPr>
              <w:t>120,025</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20" w:type="dxa"/>
            <w:vAlign w:val="bottom"/>
            <w:shd w:val="clear" w:color="auto" w:fill="CFF0FC"/>
          </w:tcPr>
          <w:p>
            <w:pPr>
              <w:spacing w:after="0" w:line="149" w:lineRule="exact"/>
              <w:rPr>
                <w:sz w:val="20"/>
                <w:szCs w:val="20"/>
                <w:color w:val="auto"/>
              </w:rPr>
            </w:pPr>
            <w:r>
              <w:rPr>
                <w:rFonts w:ascii="Arial" w:cs="Arial" w:eastAsia="Arial" w:hAnsi="Arial"/>
                <w:sz w:val="13"/>
                <w:szCs w:val="13"/>
                <w:color w:val="auto"/>
              </w:rPr>
              <w:t>Goodwill</w:t>
            </w: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80"/>
              <w:spacing w:after="0" w:line="149" w:lineRule="exact"/>
              <w:rPr>
                <w:sz w:val="20"/>
                <w:szCs w:val="20"/>
                <w:color w:val="auto"/>
              </w:rPr>
            </w:pPr>
            <w:r>
              <w:rPr>
                <w:rFonts w:ascii="Arial" w:cs="Arial" w:eastAsia="Arial" w:hAnsi="Arial"/>
                <w:sz w:val="13"/>
                <w:szCs w:val="13"/>
                <w:color w:val="auto"/>
              </w:rPr>
              <w:t>(4,593)</w:t>
            </w:r>
          </w:p>
        </w:tc>
        <w:tc>
          <w:tcPr>
            <w:tcW w:w="16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260"/>
              <w:spacing w:after="0" w:line="149" w:lineRule="exact"/>
              <w:rPr>
                <w:sz w:val="20"/>
                <w:szCs w:val="20"/>
                <w:color w:val="auto"/>
              </w:rPr>
            </w:pPr>
            <w:r>
              <w:rPr>
                <w:rFonts w:ascii="Arial" w:cs="Arial" w:eastAsia="Arial" w:hAnsi="Arial"/>
                <w:sz w:val="13"/>
                <w:szCs w:val="13"/>
                <w:color w:val="auto"/>
              </w:rPr>
              <w:t>(4,593)</w:t>
            </w:r>
          </w:p>
        </w:tc>
        <w:tc>
          <w:tcPr>
            <w:tcW w:w="1340" w:type="dxa"/>
            <w:vAlign w:val="bottom"/>
            <w:gridSpan w:val="2"/>
            <w:shd w:val="clear" w:color="auto" w:fill="CFF0FC"/>
          </w:tcPr>
          <w:p>
            <w:pPr>
              <w:jc w:val="right"/>
              <w:ind w:right="260"/>
              <w:spacing w:after="0" w:line="149" w:lineRule="exact"/>
              <w:rPr>
                <w:sz w:val="20"/>
                <w:szCs w:val="20"/>
                <w:color w:val="auto"/>
              </w:rPr>
            </w:pPr>
            <w:r>
              <w:rPr>
                <w:rFonts w:ascii="Arial" w:cs="Arial" w:eastAsia="Arial" w:hAnsi="Arial"/>
                <w:sz w:val="13"/>
                <w:szCs w:val="13"/>
                <w:color w:val="auto"/>
              </w:rPr>
              <w:t>(4,593)</w:t>
            </w:r>
          </w:p>
        </w:tc>
        <w:tc>
          <w:tcPr>
            <w:tcW w:w="30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240"/>
              <w:spacing w:after="0" w:line="149" w:lineRule="exact"/>
              <w:rPr>
                <w:sz w:val="20"/>
                <w:szCs w:val="20"/>
                <w:color w:val="auto"/>
              </w:rPr>
            </w:pPr>
            <w:r>
              <w:rPr>
                <w:rFonts w:ascii="Arial" w:cs="Arial" w:eastAsia="Arial" w:hAnsi="Arial"/>
                <w:sz w:val="13"/>
                <w:szCs w:val="13"/>
                <w:color w:val="auto"/>
              </w:rPr>
              <w:t>(4,593)</w:t>
            </w:r>
          </w:p>
        </w:tc>
        <w:tc>
          <w:tcPr>
            <w:tcW w:w="1200" w:type="dxa"/>
            <w:vAlign w:val="bottom"/>
            <w:gridSpan w:val="2"/>
            <w:shd w:val="clear" w:color="auto" w:fill="CFF0FC"/>
          </w:tcPr>
          <w:p>
            <w:pPr>
              <w:jc w:val="right"/>
              <w:ind w:right="80"/>
              <w:spacing w:after="0" w:line="149" w:lineRule="exact"/>
              <w:rPr>
                <w:sz w:val="20"/>
                <w:szCs w:val="20"/>
                <w:color w:val="auto"/>
              </w:rPr>
            </w:pPr>
            <w:r>
              <w:rPr>
                <w:rFonts w:ascii="Arial" w:cs="Arial" w:eastAsia="Arial" w:hAnsi="Arial"/>
                <w:sz w:val="13"/>
                <w:szCs w:val="13"/>
                <w:color w:val="auto"/>
              </w:rPr>
              <w:t>(4,593)</w:t>
            </w:r>
          </w:p>
        </w:tc>
        <w:tc>
          <w:tcPr>
            <w:tcW w:w="1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20" w:type="dxa"/>
            <w:vAlign w:val="bottom"/>
          </w:tcPr>
          <w:p>
            <w:pPr>
              <w:spacing w:after="0" w:line="149" w:lineRule="exact"/>
              <w:rPr>
                <w:sz w:val="20"/>
                <w:szCs w:val="20"/>
                <w:color w:val="auto"/>
              </w:rPr>
            </w:pPr>
            <w:r>
              <w:rPr>
                <w:rFonts w:ascii="Arial" w:cs="Arial" w:eastAsia="Arial" w:hAnsi="Arial"/>
                <w:sz w:val="13"/>
                <w:szCs w:val="13"/>
                <w:color w:val="auto"/>
              </w:rPr>
              <w:t>Core deposit and other intangible assets</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80"/>
              <w:spacing w:after="0" w:line="149" w:lineRule="exact"/>
              <w:rPr>
                <w:sz w:val="20"/>
                <w:szCs w:val="20"/>
                <w:color w:val="auto"/>
              </w:rPr>
            </w:pPr>
            <w:r>
              <w:rPr>
                <w:rFonts w:ascii="Arial" w:cs="Arial" w:eastAsia="Arial" w:hAnsi="Arial"/>
                <w:sz w:val="13"/>
                <w:szCs w:val="13"/>
                <w:color w:val="auto"/>
              </w:rPr>
              <w:t>(25)</w:t>
            </w:r>
          </w:p>
        </w:tc>
        <w:tc>
          <w:tcPr>
            <w:tcW w:w="160" w:type="dxa"/>
            <w:vAlign w:val="bottom"/>
          </w:tcPr>
          <w:p>
            <w:pPr>
              <w:spacing w:after="0"/>
              <w:rPr>
                <w:sz w:val="12"/>
                <w:szCs w:val="12"/>
                <w:color w:val="auto"/>
              </w:rPr>
            </w:pPr>
          </w:p>
        </w:tc>
        <w:tc>
          <w:tcPr>
            <w:tcW w:w="1360" w:type="dxa"/>
            <w:vAlign w:val="bottom"/>
            <w:gridSpan w:val="2"/>
          </w:tcPr>
          <w:p>
            <w:pPr>
              <w:jc w:val="right"/>
              <w:ind w:right="260"/>
              <w:spacing w:after="0" w:line="149" w:lineRule="exact"/>
              <w:rPr>
                <w:sz w:val="20"/>
                <w:szCs w:val="20"/>
                <w:color w:val="auto"/>
              </w:rPr>
            </w:pPr>
            <w:r>
              <w:rPr>
                <w:rFonts w:ascii="Arial" w:cs="Arial" w:eastAsia="Arial" w:hAnsi="Arial"/>
                <w:sz w:val="13"/>
                <w:szCs w:val="13"/>
                <w:color w:val="auto"/>
              </w:rPr>
              <w:t>(29)</w:t>
            </w:r>
          </w:p>
        </w:tc>
        <w:tc>
          <w:tcPr>
            <w:tcW w:w="1340" w:type="dxa"/>
            <w:vAlign w:val="bottom"/>
            <w:gridSpan w:val="2"/>
          </w:tcPr>
          <w:p>
            <w:pPr>
              <w:jc w:val="right"/>
              <w:ind w:right="260"/>
              <w:spacing w:after="0" w:line="149" w:lineRule="exact"/>
              <w:rPr>
                <w:sz w:val="20"/>
                <w:szCs w:val="20"/>
                <w:color w:val="auto"/>
              </w:rPr>
            </w:pPr>
            <w:r>
              <w:rPr>
                <w:rFonts w:ascii="Arial" w:cs="Arial" w:eastAsia="Arial" w:hAnsi="Arial"/>
                <w:sz w:val="13"/>
                <w:szCs w:val="13"/>
                <w:color w:val="auto"/>
              </w:rPr>
              <w:t>(33)</w:t>
            </w:r>
          </w:p>
        </w:tc>
        <w:tc>
          <w:tcPr>
            <w:tcW w:w="300" w:type="dxa"/>
            <w:vAlign w:val="bottom"/>
          </w:tcPr>
          <w:p>
            <w:pPr>
              <w:spacing w:after="0"/>
              <w:rPr>
                <w:sz w:val="12"/>
                <w:szCs w:val="12"/>
                <w:color w:val="auto"/>
              </w:rPr>
            </w:pP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3"/>
                <w:szCs w:val="13"/>
                <w:color w:val="auto"/>
              </w:rPr>
              <w:t>(38)</w:t>
            </w:r>
          </w:p>
        </w:tc>
        <w:tc>
          <w:tcPr>
            <w:tcW w:w="1200" w:type="dxa"/>
            <w:vAlign w:val="bottom"/>
            <w:gridSpan w:val="2"/>
          </w:tcPr>
          <w:p>
            <w:pPr>
              <w:jc w:val="right"/>
              <w:ind w:right="80"/>
              <w:spacing w:after="0" w:line="149" w:lineRule="exact"/>
              <w:rPr>
                <w:sz w:val="20"/>
                <w:szCs w:val="20"/>
                <w:color w:val="auto"/>
              </w:rPr>
            </w:pPr>
            <w:r>
              <w:rPr>
                <w:rFonts w:ascii="Arial" w:cs="Arial" w:eastAsia="Arial" w:hAnsi="Arial"/>
                <w:sz w:val="13"/>
                <w:szCs w:val="13"/>
                <w:color w:val="auto"/>
              </w:rPr>
              <w:t>(44)</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20" w:type="dxa"/>
            <w:vAlign w:val="bottom"/>
            <w:shd w:val="clear" w:color="auto" w:fill="CFF0FC"/>
          </w:tcPr>
          <w:p>
            <w:pPr>
              <w:spacing w:after="0" w:line="149" w:lineRule="exact"/>
              <w:rPr>
                <w:sz w:val="20"/>
                <w:szCs w:val="20"/>
                <w:color w:val="auto"/>
              </w:rPr>
            </w:pPr>
            <w:r>
              <w:rPr>
                <w:rFonts w:ascii="Arial" w:cs="Arial" w:eastAsia="Arial" w:hAnsi="Arial"/>
                <w:sz w:val="13"/>
                <w:szCs w:val="13"/>
                <w:color w:val="auto"/>
              </w:rPr>
              <w:t>Deferred taxes</w:t>
            </w:r>
          </w:p>
        </w:tc>
        <w:tc>
          <w:tcPr>
            <w:tcW w:w="740" w:type="dxa"/>
            <w:vAlign w:val="bottom"/>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jc w:val="right"/>
              <w:spacing w:after="0" w:line="149" w:lineRule="exact"/>
              <w:rPr>
                <w:sz w:val="20"/>
                <w:szCs w:val="20"/>
                <w:color w:val="auto"/>
              </w:rPr>
            </w:pPr>
            <w:r>
              <w:rPr>
                <w:rFonts w:ascii="Arial" w:cs="Arial" w:eastAsia="Arial" w:hAnsi="Arial"/>
                <w:sz w:val="13"/>
                <w:szCs w:val="13"/>
                <w:color w:val="auto"/>
              </w:rPr>
              <w:t>6</w:t>
            </w: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60" w:type="dxa"/>
            <w:vAlign w:val="bottom"/>
            <w:tcBorders>
              <w:bottom w:val="single" w:sz="8" w:color="auto"/>
            </w:tcBorders>
            <w:shd w:val="clear" w:color="auto" w:fill="CFF0FC"/>
          </w:tcPr>
          <w:p>
            <w:pPr>
              <w:jc w:val="right"/>
              <w:spacing w:after="0" w:line="149" w:lineRule="exact"/>
              <w:rPr>
                <w:sz w:val="20"/>
                <w:szCs w:val="20"/>
                <w:color w:val="auto"/>
              </w:rPr>
            </w:pPr>
            <w:r>
              <w:rPr>
                <w:rFonts w:ascii="Arial" w:cs="Arial" w:eastAsia="Arial" w:hAnsi="Arial"/>
                <w:sz w:val="13"/>
                <w:szCs w:val="13"/>
                <w:color w:val="auto"/>
              </w:rPr>
              <w:t>7</w:t>
            </w:r>
          </w:p>
        </w:tc>
        <w:tc>
          <w:tcPr>
            <w:tcW w:w="300" w:type="dxa"/>
            <w:vAlign w:val="bottom"/>
            <w:shd w:val="clear" w:color="auto" w:fill="CFF0FC"/>
          </w:tcPr>
          <w:p>
            <w:pPr>
              <w:spacing w:after="0"/>
              <w:rPr>
                <w:sz w:val="12"/>
                <w:szCs w:val="12"/>
                <w:color w:val="auto"/>
              </w:rPr>
            </w:pPr>
          </w:p>
        </w:tc>
        <w:tc>
          <w:tcPr>
            <w:tcW w:w="1040" w:type="dxa"/>
            <w:vAlign w:val="bottom"/>
            <w:tcBorders>
              <w:bottom w:val="single" w:sz="8" w:color="auto"/>
            </w:tcBorders>
            <w:shd w:val="clear" w:color="auto" w:fill="CFF0FC"/>
          </w:tcPr>
          <w:p>
            <w:pPr>
              <w:jc w:val="right"/>
              <w:spacing w:after="0" w:line="149" w:lineRule="exact"/>
              <w:rPr>
                <w:sz w:val="20"/>
                <w:szCs w:val="20"/>
                <w:color w:val="auto"/>
              </w:rPr>
            </w:pPr>
            <w:r>
              <w:rPr>
                <w:rFonts w:ascii="Arial" w:cs="Arial" w:eastAsia="Arial" w:hAnsi="Arial"/>
                <w:sz w:val="13"/>
                <w:szCs w:val="13"/>
                <w:color w:val="auto"/>
              </w:rPr>
              <w:t>8</w:t>
            </w:r>
          </w:p>
        </w:tc>
        <w:tc>
          <w:tcPr>
            <w:tcW w:w="300" w:type="dxa"/>
            <w:vAlign w:val="bottom"/>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spacing w:after="0" w:line="149" w:lineRule="exact"/>
              <w:rPr>
                <w:sz w:val="20"/>
                <w:szCs w:val="20"/>
                <w:color w:val="auto"/>
              </w:rPr>
            </w:pPr>
            <w:r>
              <w:rPr>
                <w:rFonts w:ascii="Arial" w:cs="Arial" w:eastAsia="Arial" w:hAnsi="Arial"/>
                <w:sz w:val="13"/>
                <w:szCs w:val="13"/>
                <w:color w:val="auto"/>
              </w:rPr>
              <w:t>10</w:t>
            </w:r>
          </w:p>
        </w:tc>
        <w:tc>
          <w:tcPr>
            <w:tcW w:w="300" w:type="dxa"/>
            <w:vAlign w:val="bottom"/>
            <w:shd w:val="clear" w:color="auto" w:fill="CFF0FC"/>
          </w:tcPr>
          <w:p>
            <w:pPr>
              <w:spacing w:after="0"/>
              <w:rPr>
                <w:sz w:val="12"/>
                <w:szCs w:val="12"/>
                <w:color w:val="auto"/>
              </w:rPr>
            </w:pPr>
          </w:p>
        </w:tc>
        <w:tc>
          <w:tcPr>
            <w:tcW w:w="1080" w:type="dxa"/>
            <w:vAlign w:val="bottom"/>
            <w:tcBorders>
              <w:bottom w:val="single" w:sz="8" w:color="auto"/>
            </w:tcBorders>
            <w:shd w:val="clear" w:color="auto" w:fill="CFF0FC"/>
          </w:tcPr>
          <w:p>
            <w:pPr>
              <w:jc w:val="right"/>
              <w:spacing w:after="0" w:line="149" w:lineRule="exact"/>
              <w:rPr>
                <w:sz w:val="20"/>
                <w:szCs w:val="20"/>
                <w:color w:val="auto"/>
              </w:rPr>
            </w:pPr>
            <w:r>
              <w:rPr>
                <w:rFonts w:ascii="Arial" w:cs="Arial" w:eastAsia="Arial" w:hAnsi="Arial"/>
                <w:sz w:val="13"/>
                <w:szCs w:val="13"/>
                <w:color w:val="auto"/>
              </w:rPr>
              <w:t>12</w:t>
            </w: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720" w:type="dxa"/>
            <w:vAlign w:val="bottom"/>
            <w:tcBorders>
              <w:bottom w:val="single" w:sz="8" w:color="CFF0FC"/>
            </w:tcBorders>
          </w:tcPr>
          <w:p>
            <w:pPr>
              <w:ind w:left="260"/>
              <w:spacing w:after="0" w:line="142" w:lineRule="exact"/>
              <w:rPr>
                <w:sz w:val="20"/>
                <w:szCs w:val="20"/>
                <w:color w:val="auto"/>
              </w:rPr>
            </w:pPr>
            <w:r>
              <w:rPr>
                <w:rFonts w:ascii="Arial" w:cs="Arial" w:eastAsia="Arial" w:hAnsi="Arial"/>
                <w:sz w:val="13"/>
                <w:szCs w:val="13"/>
                <w:color w:val="auto"/>
              </w:rPr>
              <w:t>Total tangible assets</w:t>
            </w:r>
          </w:p>
        </w:tc>
        <w:tc>
          <w:tcPr>
            <w:tcW w:w="74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119,966</w:t>
            </w:r>
          </w:p>
        </w:tc>
        <w:tc>
          <w:tcPr>
            <w:tcW w:w="140" w:type="dxa"/>
            <w:vAlign w:val="bottom"/>
            <w:tcBorders>
              <w:bottom w:val="single" w:sz="8" w:color="CFF0FC"/>
            </w:tcBorders>
          </w:tcPr>
          <w:p>
            <w:pPr>
              <w:spacing w:after="0"/>
              <w:rPr>
                <w:sz w:val="15"/>
                <w:szCs w:val="15"/>
                <w:color w:val="auto"/>
              </w:rPr>
            </w:pPr>
          </w:p>
        </w:tc>
        <w:tc>
          <w:tcPr>
            <w:tcW w:w="160" w:type="dxa"/>
            <w:vAlign w:val="bottom"/>
            <w:tcBorders>
              <w:bottom w:val="single" w:sz="8" w:color="CFF0FC"/>
            </w:tcBorders>
          </w:tcPr>
          <w:p>
            <w:pPr>
              <w:spacing w:after="0"/>
              <w:rPr>
                <w:sz w:val="15"/>
                <w:szCs w:val="15"/>
                <w:color w:val="auto"/>
              </w:rPr>
            </w:pPr>
          </w:p>
        </w:tc>
        <w:tc>
          <w:tcPr>
            <w:tcW w:w="10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115,258</w:t>
            </w:r>
          </w:p>
        </w:tc>
        <w:tc>
          <w:tcPr>
            <w:tcW w:w="300" w:type="dxa"/>
            <w:vAlign w:val="bottom"/>
            <w:tcBorders>
              <w:bottom w:val="single" w:sz="8" w:color="CFF0FC"/>
            </w:tcBorders>
          </w:tcPr>
          <w:p>
            <w:pPr>
              <w:spacing w:after="0"/>
              <w:rPr>
                <w:sz w:val="15"/>
                <w:szCs w:val="15"/>
                <w:color w:val="auto"/>
              </w:rPr>
            </w:pPr>
          </w:p>
        </w:tc>
        <w:tc>
          <w:tcPr>
            <w:tcW w:w="10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120,883</w:t>
            </w:r>
          </w:p>
        </w:tc>
        <w:tc>
          <w:tcPr>
            <w:tcW w:w="30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116,934</w:t>
            </w:r>
          </w:p>
        </w:tc>
        <w:tc>
          <w:tcPr>
            <w:tcW w:w="300" w:type="dxa"/>
            <w:vAlign w:val="bottom"/>
            <w:tcBorders>
              <w:bottom w:val="single" w:sz="8" w:color="CFF0FC"/>
            </w:tcBorders>
          </w:tcPr>
          <w:p>
            <w:pPr>
              <w:spacing w:after="0"/>
              <w:rPr>
                <w:sz w:val="15"/>
                <w:szCs w:val="15"/>
                <w:color w:val="auto"/>
              </w:rPr>
            </w:pPr>
          </w:p>
        </w:tc>
        <w:tc>
          <w:tcPr>
            <w:tcW w:w="10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115,400</w:t>
            </w:r>
          </w:p>
        </w:tc>
        <w:tc>
          <w:tcPr>
            <w:tcW w:w="120" w:type="dxa"/>
            <w:vAlign w:val="bottom"/>
            <w:tcBorders>
              <w:bottom w:val="single" w:sz="8" w:color="CFF0FC"/>
            </w:tcBorders>
          </w:tcPr>
          <w:p>
            <w:pPr>
              <w:spacing w:after="0"/>
              <w:rPr>
                <w:sz w:val="15"/>
                <w:szCs w:val="15"/>
                <w:color w:val="auto"/>
              </w:rPr>
            </w:pPr>
          </w:p>
        </w:tc>
        <w:tc>
          <w:tcPr>
            <w:tcW w:w="18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3720" w:type="dxa"/>
            <w:vAlign w:val="bottom"/>
            <w:shd w:val="clear" w:color="auto" w:fill="CFF0FC"/>
          </w:tcPr>
          <w:p>
            <w:pPr>
              <w:spacing w:after="0" w:line="129" w:lineRule="exact"/>
              <w:rPr>
                <w:sz w:val="20"/>
                <w:szCs w:val="20"/>
                <w:color w:val="auto"/>
              </w:rPr>
            </w:pPr>
            <w:r>
              <w:rPr>
                <w:rFonts w:ascii="Arial" w:cs="Arial" w:eastAsia="Arial" w:hAnsi="Arial"/>
                <w:sz w:val="13"/>
                <w:szCs w:val="13"/>
                <w:b w:val="1"/>
                <w:bCs w:val="1"/>
                <w:color w:val="auto"/>
              </w:rPr>
              <w:t>Total common equity</w:t>
            </w: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720" w:type="dxa"/>
            <w:vAlign w:val="bottom"/>
          </w:tcPr>
          <w:p>
            <w:pPr>
              <w:spacing w:after="0" w:line="149" w:lineRule="exact"/>
              <w:rPr>
                <w:sz w:val="20"/>
                <w:szCs w:val="20"/>
                <w:color w:val="auto"/>
              </w:rPr>
            </w:pPr>
            <w:r>
              <w:rPr>
                <w:rFonts w:ascii="Arial" w:cs="Arial" w:eastAsia="Arial" w:hAnsi="Arial"/>
                <w:sz w:val="13"/>
                <w:szCs w:val="13"/>
                <w:color w:val="auto"/>
              </w:rPr>
              <w:t>Total equity</w:t>
            </w:r>
          </w:p>
        </w:tc>
        <w:tc>
          <w:tcPr>
            <w:tcW w:w="840" w:type="dxa"/>
            <w:vAlign w:val="bottom"/>
            <w:gridSpan w:val="2"/>
          </w:tcPr>
          <w:p>
            <w:pPr>
              <w:jc w:val="right"/>
              <w:spacing w:after="0" w:line="149" w:lineRule="exact"/>
              <w:rPr>
                <w:sz w:val="20"/>
                <w:szCs w:val="20"/>
                <w:color w:val="auto"/>
              </w:rPr>
            </w:pPr>
            <w:r>
              <w:rPr>
                <w:rFonts w:ascii="Arial" w:cs="Arial" w:eastAsia="Arial" w:hAnsi="Arial"/>
                <w:sz w:val="13"/>
                <w:szCs w:val="13"/>
                <w:color w:val="auto"/>
              </w:rPr>
              <w:t>$</w:t>
            </w:r>
          </w:p>
        </w:tc>
        <w:tc>
          <w:tcPr>
            <w:tcW w:w="940" w:type="dxa"/>
            <w:vAlign w:val="bottom"/>
          </w:tcPr>
          <w:p>
            <w:pPr>
              <w:jc w:val="right"/>
              <w:spacing w:after="0" w:line="149" w:lineRule="exact"/>
              <w:rPr>
                <w:sz w:val="20"/>
                <w:szCs w:val="20"/>
                <w:color w:val="auto"/>
              </w:rPr>
            </w:pPr>
            <w:r>
              <w:rPr>
                <w:rFonts w:ascii="Arial" w:cs="Arial" w:eastAsia="Arial" w:hAnsi="Arial"/>
                <w:sz w:val="13"/>
                <w:szCs w:val="13"/>
                <w:color w:val="auto"/>
              </w:rPr>
              <w:t>15,816</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3"/>
                <w:szCs w:val="13"/>
                <w:color w:val="auto"/>
              </w:rPr>
              <w:t>15,717</w:t>
            </w:r>
          </w:p>
        </w:tc>
        <w:tc>
          <w:tcPr>
            <w:tcW w:w="3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3"/>
                <w:szCs w:val="13"/>
                <w:color w:val="auto"/>
              </w:rPr>
              <w:t>15,780</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3"/>
                <w:szCs w:val="13"/>
                <w:color w:val="auto"/>
              </w:rPr>
              <w:t>15,692</w:t>
            </w:r>
          </w:p>
        </w:tc>
        <w:tc>
          <w:tcPr>
            <w:tcW w:w="30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3"/>
                <w:szCs w:val="13"/>
                <w:color w:val="auto"/>
              </w:rPr>
              <w:t>15,588</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20" w:type="dxa"/>
            <w:vAlign w:val="bottom"/>
            <w:shd w:val="clear" w:color="auto" w:fill="CFF0FC"/>
          </w:tcPr>
          <w:p>
            <w:pPr>
              <w:spacing w:after="0" w:line="149" w:lineRule="exact"/>
              <w:rPr>
                <w:sz w:val="20"/>
                <w:szCs w:val="20"/>
                <w:color w:val="auto"/>
              </w:rPr>
            </w:pPr>
            <w:r>
              <w:rPr>
                <w:rFonts w:ascii="Arial" w:cs="Arial" w:eastAsia="Arial" w:hAnsi="Arial"/>
                <w:sz w:val="13"/>
                <w:szCs w:val="13"/>
                <w:color w:val="auto"/>
              </w:rPr>
              <w:t>Preferred stock</w:t>
            </w: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80"/>
              <w:spacing w:after="0" w:line="149" w:lineRule="exact"/>
              <w:rPr>
                <w:sz w:val="20"/>
                <w:szCs w:val="20"/>
                <w:color w:val="auto"/>
              </w:rPr>
            </w:pPr>
            <w:r>
              <w:rPr>
                <w:rFonts w:ascii="Arial" w:cs="Arial" w:eastAsia="Arial" w:hAnsi="Arial"/>
                <w:sz w:val="13"/>
                <w:szCs w:val="13"/>
                <w:color w:val="auto"/>
              </w:rPr>
              <w:t>(1,250)</w:t>
            </w:r>
          </w:p>
        </w:tc>
        <w:tc>
          <w:tcPr>
            <w:tcW w:w="16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260"/>
              <w:spacing w:after="0" w:line="149" w:lineRule="exact"/>
              <w:rPr>
                <w:sz w:val="20"/>
                <w:szCs w:val="20"/>
                <w:color w:val="auto"/>
              </w:rPr>
            </w:pPr>
            <w:r>
              <w:rPr>
                <w:rFonts w:ascii="Arial" w:cs="Arial" w:eastAsia="Arial" w:hAnsi="Arial"/>
                <w:sz w:val="13"/>
                <w:szCs w:val="13"/>
                <w:color w:val="auto"/>
              </w:rPr>
              <w:t>(1,250)</w:t>
            </w:r>
          </w:p>
        </w:tc>
        <w:tc>
          <w:tcPr>
            <w:tcW w:w="1340" w:type="dxa"/>
            <w:vAlign w:val="bottom"/>
            <w:gridSpan w:val="2"/>
            <w:shd w:val="clear" w:color="auto" w:fill="CFF0FC"/>
          </w:tcPr>
          <w:p>
            <w:pPr>
              <w:jc w:val="right"/>
              <w:ind w:right="260"/>
              <w:spacing w:after="0" w:line="149" w:lineRule="exact"/>
              <w:rPr>
                <w:sz w:val="20"/>
                <w:szCs w:val="20"/>
                <w:color w:val="auto"/>
              </w:rPr>
            </w:pPr>
            <w:r>
              <w:rPr>
                <w:rFonts w:ascii="Arial" w:cs="Arial" w:eastAsia="Arial" w:hAnsi="Arial"/>
                <w:sz w:val="13"/>
                <w:szCs w:val="13"/>
                <w:color w:val="auto"/>
              </w:rPr>
              <w:t>(1,250)</w:t>
            </w:r>
          </w:p>
        </w:tc>
        <w:tc>
          <w:tcPr>
            <w:tcW w:w="30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240"/>
              <w:spacing w:after="0" w:line="149" w:lineRule="exact"/>
              <w:rPr>
                <w:sz w:val="20"/>
                <w:szCs w:val="20"/>
                <w:color w:val="auto"/>
              </w:rPr>
            </w:pPr>
            <w:r>
              <w:rPr>
                <w:rFonts w:ascii="Arial" w:cs="Arial" w:eastAsia="Arial" w:hAnsi="Arial"/>
                <w:sz w:val="13"/>
                <w:szCs w:val="13"/>
                <w:color w:val="auto"/>
              </w:rPr>
              <w:t>(1,232)</w:t>
            </w:r>
          </w:p>
        </w:tc>
        <w:tc>
          <w:tcPr>
            <w:tcW w:w="1200" w:type="dxa"/>
            <w:vAlign w:val="bottom"/>
            <w:gridSpan w:val="2"/>
            <w:shd w:val="clear" w:color="auto" w:fill="CFF0FC"/>
          </w:tcPr>
          <w:p>
            <w:pPr>
              <w:jc w:val="right"/>
              <w:ind w:right="80"/>
              <w:spacing w:after="0" w:line="149" w:lineRule="exact"/>
              <w:rPr>
                <w:sz w:val="20"/>
                <w:szCs w:val="20"/>
                <w:color w:val="auto"/>
              </w:rPr>
            </w:pPr>
            <w:r>
              <w:rPr>
                <w:rFonts w:ascii="Arial" w:cs="Arial" w:eastAsia="Arial" w:hAnsi="Arial"/>
                <w:sz w:val="13"/>
                <w:szCs w:val="13"/>
                <w:color w:val="auto"/>
              </w:rPr>
              <w:t>(1,232)</w:t>
            </w:r>
          </w:p>
        </w:tc>
        <w:tc>
          <w:tcPr>
            <w:tcW w:w="1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20" w:type="dxa"/>
            <w:vAlign w:val="bottom"/>
          </w:tcPr>
          <w:p>
            <w:pPr>
              <w:spacing w:after="0" w:line="149" w:lineRule="exact"/>
              <w:rPr>
                <w:sz w:val="20"/>
                <w:szCs w:val="20"/>
                <w:color w:val="auto"/>
              </w:rPr>
            </w:pPr>
            <w:r>
              <w:rPr>
                <w:rFonts w:ascii="Arial" w:cs="Arial" w:eastAsia="Arial" w:hAnsi="Arial"/>
                <w:sz w:val="13"/>
                <w:szCs w:val="13"/>
                <w:color w:val="auto"/>
              </w:rPr>
              <w:t>Undeclared dividends - cumulative preferred stock</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tcPr>
          <w:p>
            <w:pPr>
              <w:jc w:val="right"/>
              <w:ind w:right="300"/>
              <w:spacing w:after="0" w:line="149" w:lineRule="exact"/>
              <w:rPr>
                <w:sz w:val="20"/>
                <w:szCs w:val="20"/>
                <w:color w:val="auto"/>
              </w:rPr>
            </w:pPr>
            <w:r>
              <w:rPr>
                <w:rFonts w:ascii="Arial" w:cs="Arial" w:eastAsia="Arial" w:hAnsi="Arial"/>
                <w:sz w:val="13"/>
                <w:szCs w:val="13"/>
                <w:color w:val="auto"/>
              </w:rPr>
              <w:t>—</w:t>
            </w:r>
          </w:p>
        </w:tc>
        <w:tc>
          <w:tcPr>
            <w:tcW w:w="1360" w:type="dxa"/>
            <w:vAlign w:val="bottom"/>
            <w:gridSpan w:val="2"/>
          </w:tcPr>
          <w:p>
            <w:pPr>
              <w:jc w:val="right"/>
              <w:ind w:right="320"/>
              <w:spacing w:after="0" w:line="149" w:lineRule="exact"/>
              <w:rPr>
                <w:sz w:val="20"/>
                <w:szCs w:val="20"/>
                <w:color w:val="auto"/>
              </w:rPr>
            </w:pPr>
            <w:r>
              <w:rPr>
                <w:rFonts w:ascii="Arial" w:cs="Arial" w:eastAsia="Arial" w:hAnsi="Arial"/>
                <w:sz w:val="13"/>
                <w:szCs w:val="13"/>
                <w:color w:val="auto"/>
              </w:rPr>
              <w:t>—</w:t>
            </w:r>
          </w:p>
        </w:tc>
        <w:tc>
          <w:tcPr>
            <w:tcW w:w="1640" w:type="dxa"/>
            <w:vAlign w:val="bottom"/>
            <w:gridSpan w:val="3"/>
          </w:tcPr>
          <w:p>
            <w:pPr>
              <w:jc w:val="right"/>
              <w:ind w:right="600"/>
              <w:spacing w:after="0" w:line="149" w:lineRule="exact"/>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3"/>
                <w:szCs w:val="13"/>
                <w:color w:val="auto"/>
              </w:rPr>
              <w:t>(3)</w:t>
            </w:r>
          </w:p>
        </w:tc>
        <w:tc>
          <w:tcPr>
            <w:tcW w:w="1200" w:type="dxa"/>
            <w:vAlign w:val="bottom"/>
            <w:gridSpan w:val="2"/>
          </w:tcPr>
          <w:p>
            <w:pPr>
              <w:jc w:val="right"/>
              <w:ind w:right="80"/>
              <w:spacing w:after="0" w:line="149" w:lineRule="exact"/>
              <w:rPr>
                <w:sz w:val="20"/>
                <w:szCs w:val="20"/>
                <w:color w:val="auto"/>
              </w:rPr>
            </w:pPr>
            <w:r>
              <w:rPr>
                <w:rFonts w:ascii="Arial" w:cs="Arial" w:eastAsia="Arial" w:hAnsi="Arial"/>
                <w:sz w:val="13"/>
                <w:szCs w:val="13"/>
                <w:color w:val="auto"/>
              </w:rPr>
              <w:t>(3)</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720" w:type="dxa"/>
            <w:vAlign w:val="bottom"/>
            <w:tcBorders>
              <w:top w:val="single" w:sz="8" w:color="CFF0FC"/>
            </w:tcBorders>
            <w:shd w:val="clear" w:color="auto" w:fill="CFF0FC"/>
          </w:tcPr>
          <w:p>
            <w:pPr>
              <w:ind w:left="260"/>
              <w:spacing w:after="0" w:line="128" w:lineRule="exact"/>
              <w:rPr>
                <w:sz w:val="20"/>
                <w:szCs w:val="20"/>
                <w:color w:val="auto"/>
              </w:rPr>
            </w:pPr>
            <w:r>
              <w:rPr>
                <w:rFonts w:ascii="Arial" w:cs="Arial" w:eastAsia="Arial" w:hAnsi="Arial"/>
                <w:sz w:val="13"/>
                <w:szCs w:val="13"/>
                <w:color w:val="auto"/>
              </w:rPr>
              <w:t>Common equity, net of undeclared</w:t>
            </w:r>
          </w:p>
        </w:tc>
        <w:tc>
          <w:tcPr>
            <w:tcW w:w="74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94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106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CFF0FC"/>
            </w:tcBorders>
            <w:shd w:val="clear" w:color="auto" w:fill="CFF0FC"/>
          </w:tcPr>
          <w:p>
            <w:pPr>
              <w:spacing w:after="0"/>
              <w:rPr>
                <w:sz w:val="11"/>
                <w:szCs w:val="11"/>
                <w:color w:val="auto"/>
              </w:rPr>
            </w:pPr>
          </w:p>
        </w:tc>
        <w:tc>
          <w:tcPr>
            <w:tcW w:w="104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CFF0FC"/>
            </w:tcBorders>
            <w:shd w:val="clear" w:color="auto" w:fill="CFF0FC"/>
          </w:tcPr>
          <w:p>
            <w:pPr>
              <w:spacing w:after="0"/>
              <w:rPr>
                <w:sz w:val="11"/>
                <w:szCs w:val="11"/>
                <w:color w:val="auto"/>
              </w:rPr>
            </w:pPr>
          </w:p>
        </w:tc>
        <w:tc>
          <w:tcPr>
            <w:tcW w:w="300" w:type="dxa"/>
            <w:vAlign w:val="bottom"/>
            <w:tcBorders>
              <w:top w:val="single" w:sz="8" w:color="auto"/>
            </w:tcBorders>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CFF0FC"/>
            </w:tcBorders>
            <w:shd w:val="clear" w:color="auto" w:fill="CFF0FC"/>
          </w:tcPr>
          <w:p>
            <w:pPr>
              <w:spacing w:after="0"/>
              <w:rPr>
                <w:sz w:val="11"/>
                <w:szCs w:val="11"/>
                <w:color w:val="auto"/>
              </w:rPr>
            </w:pPr>
          </w:p>
        </w:tc>
        <w:tc>
          <w:tcPr>
            <w:tcW w:w="108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720" w:type="dxa"/>
            <w:vAlign w:val="bottom"/>
            <w:shd w:val="clear" w:color="auto" w:fill="CFF0FC"/>
          </w:tcPr>
          <w:p>
            <w:pPr>
              <w:ind w:left="340"/>
              <w:spacing w:after="0"/>
              <w:rPr>
                <w:sz w:val="20"/>
                <w:szCs w:val="20"/>
                <w:color w:val="auto"/>
              </w:rPr>
            </w:pPr>
            <w:r>
              <w:rPr>
                <w:rFonts w:ascii="Arial" w:cs="Arial" w:eastAsia="Arial" w:hAnsi="Arial"/>
                <w:sz w:val="13"/>
                <w:szCs w:val="13"/>
                <w:color w:val="auto"/>
              </w:rPr>
              <w:t>cumulative preferred dividends</w:t>
            </w: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14,566</w:t>
            </w: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14,467</w:t>
            </w: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14,530</w:t>
            </w:r>
          </w:p>
        </w:tc>
        <w:tc>
          <w:tcPr>
            <w:tcW w:w="3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14,457</w:t>
            </w:r>
          </w:p>
        </w:tc>
        <w:tc>
          <w:tcPr>
            <w:tcW w:w="30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14,353</w:t>
            </w: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20" w:type="dxa"/>
            <w:vAlign w:val="bottom"/>
          </w:tcPr>
          <w:p>
            <w:pPr>
              <w:spacing w:after="0" w:line="149" w:lineRule="exact"/>
              <w:rPr>
                <w:sz w:val="20"/>
                <w:szCs w:val="20"/>
                <w:color w:val="auto"/>
              </w:rPr>
            </w:pPr>
            <w:r>
              <w:rPr>
                <w:rFonts w:ascii="Arial" w:cs="Arial" w:eastAsia="Arial" w:hAnsi="Arial"/>
                <w:sz w:val="13"/>
                <w:szCs w:val="13"/>
                <w:color w:val="auto"/>
              </w:rPr>
              <w:t>Goodwill</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80"/>
              <w:spacing w:after="0" w:line="149" w:lineRule="exact"/>
              <w:rPr>
                <w:sz w:val="20"/>
                <w:szCs w:val="20"/>
                <w:color w:val="auto"/>
              </w:rPr>
            </w:pPr>
            <w:r>
              <w:rPr>
                <w:rFonts w:ascii="Arial" w:cs="Arial" w:eastAsia="Arial" w:hAnsi="Arial"/>
                <w:sz w:val="13"/>
                <w:szCs w:val="13"/>
                <w:color w:val="auto"/>
              </w:rPr>
              <w:t>(4,593)</w:t>
            </w:r>
          </w:p>
        </w:tc>
        <w:tc>
          <w:tcPr>
            <w:tcW w:w="160" w:type="dxa"/>
            <w:vAlign w:val="bottom"/>
          </w:tcPr>
          <w:p>
            <w:pPr>
              <w:spacing w:after="0"/>
              <w:rPr>
                <w:sz w:val="12"/>
                <w:szCs w:val="12"/>
                <w:color w:val="auto"/>
              </w:rPr>
            </w:pPr>
          </w:p>
        </w:tc>
        <w:tc>
          <w:tcPr>
            <w:tcW w:w="1360" w:type="dxa"/>
            <w:vAlign w:val="bottom"/>
            <w:gridSpan w:val="2"/>
          </w:tcPr>
          <w:p>
            <w:pPr>
              <w:jc w:val="right"/>
              <w:ind w:right="260"/>
              <w:spacing w:after="0" w:line="149" w:lineRule="exact"/>
              <w:rPr>
                <w:sz w:val="20"/>
                <w:szCs w:val="20"/>
                <w:color w:val="auto"/>
              </w:rPr>
            </w:pPr>
            <w:r>
              <w:rPr>
                <w:rFonts w:ascii="Arial" w:cs="Arial" w:eastAsia="Arial" w:hAnsi="Arial"/>
                <w:sz w:val="13"/>
                <w:szCs w:val="13"/>
                <w:color w:val="auto"/>
              </w:rPr>
              <w:t>(4,593)</w:t>
            </w:r>
          </w:p>
        </w:tc>
        <w:tc>
          <w:tcPr>
            <w:tcW w:w="1340" w:type="dxa"/>
            <w:vAlign w:val="bottom"/>
            <w:gridSpan w:val="2"/>
          </w:tcPr>
          <w:p>
            <w:pPr>
              <w:jc w:val="right"/>
              <w:ind w:right="260"/>
              <w:spacing w:after="0" w:line="149" w:lineRule="exact"/>
              <w:rPr>
                <w:sz w:val="20"/>
                <w:szCs w:val="20"/>
                <w:color w:val="auto"/>
              </w:rPr>
            </w:pPr>
            <w:r>
              <w:rPr>
                <w:rFonts w:ascii="Arial" w:cs="Arial" w:eastAsia="Arial" w:hAnsi="Arial"/>
                <w:sz w:val="13"/>
                <w:szCs w:val="13"/>
                <w:color w:val="auto"/>
              </w:rPr>
              <w:t>(4,593)</w:t>
            </w:r>
          </w:p>
        </w:tc>
        <w:tc>
          <w:tcPr>
            <w:tcW w:w="300" w:type="dxa"/>
            <w:vAlign w:val="bottom"/>
          </w:tcPr>
          <w:p>
            <w:pPr>
              <w:spacing w:after="0"/>
              <w:rPr>
                <w:sz w:val="12"/>
                <w:szCs w:val="12"/>
                <w:color w:val="auto"/>
              </w:rPr>
            </w:pP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3"/>
                <w:szCs w:val="13"/>
                <w:color w:val="auto"/>
              </w:rPr>
              <w:t>(4,593)</w:t>
            </w:r>
          </w:p>
        </w:tc>
        <w:tc>
          <w:tcPr>
            <w:tcW w:w="1200" w:type="dxa"/>
            <w:vAlign w:val="bottom"/>
            <w:gridSpan w:val="2"/>
          </w:tcPr>
          <w:p>
            <w:pPr>
              <w:jc w:val="right"/>
              <w:ind w:right="80"/>
              <w:spacing w:after="0" w:line="149" w:lineRule="exact"/>
              <w:rPr>
                <w:sz w:val="20"/>
                <w:szCs w:val="20"/>
                <w:color w:val="auto"/>
              </w:rPr>
            </w:pPr>
            <w:r>
              <w:rPr>
                <w:rFonts w:ascii="Arial" w:cs="Arial" w:eastAsia="Arial" w:hAnsi="Arial"/>
                <w:sz w:val="13"/>
                <w:szCs w:val="13"/>
                <w:color w:val="auto"/>
              </w:rPr>
              <w:t>(4,593)</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20" w:type="dxa"/>
            <w:vAlign w:val="bottom"/>
            <w:shd w:val="clear" w:color="auto" w:fill="CFF0FC"/>
          </w:tcPr>
          <w:p>
            <w:pPr>
              <w:spacing w:after="0" w:line="149" w:lineRule="exact"/>
              <w:rPr>
                <w:sz w:val="20"/>
                <w:szCs w:val="20"/>
                <w:color w:val="auto"/>
              </w:rPr>
            </w:pPr>
            <w:r>
              <w:rPr>
                <w:rFonts w:ascii="Arial" w:cs="Arial" w:eastAsia="Arial" w:hAnsi="Arial"/>
                <w:sz w:val="13"/>
                <w:szCs w:val="13"/>
                <w:color w:val="auto"/>
              </w:rPr>
              <w:t>Core deposit and other intangible assets</w:t>
            </w: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80"/>
              <w:spacing w:after="0" w:line="149" w:lineRule="exact"/>
              <w:rPr>
                <w:sz w:val="20"/>
                <w:szCs w:val="20"/>
                <w:color w:val="auto"/>
              </w:rPr>
            </w:pPr>
            <w:r>
              <w:rPr>
                <w:rFonts w:ascii="Arial" w:cs="Arial" w:eastAsia="Arial" w:hAnsi="Arial"/>
                <w:sz w:val="13"/>
                <w:szCs w:val="13"/>
                <w:color w:val="auto"/>
              </w:rPr>
              <w:t>(25)</w:t>
            </w:r>
          </w:p>
        </w:tc>
        <w:tc>
          <w:tcPr>
            <w:tcW w:w="16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260"/>
              <w:spacing w:after="0" w:line="149" w:lineRule="exact"/>
              <w:rPr>
                <w:sz w:val="20"/>
                <w:szCs w:val="20"/>
                <w:color w:val="auto"/>
              </w:rPr>
            </w:pPr>
            <w:r>
              <w:rPr>
                <w:rFonts w:ascii="Arial" w:cs="Arial" w:eastAsia="Arial" w:hAnsi="Arial"/>
                <w:sz w:val="13"/>
                <w:szCs w:val="13"/>
                <w:color w:val="auto"/>
              </w:rPr>
              <w:t>(29)</w:t>
            </w:r>
          </w:p>
        </w:tc>
        <w:tc>
          <w:tcPr>
            <w:tcW w:w="1340" w:type="dxa"/>
            <w:vAlign w:val="bottom"/>
            <w:gridSpan w:val="2"/>
            <w:shd w:val="clear" w:color="auto" w:fill="CFF0FC"/>
          </w:tcPr>
          <w:p>
            <w:pPr>
              <w:jc w:val="right"/>
              <w:ind w:right="260"/>
              <w:spacing w:after="0" w:line="149" w:lineRule="exact"/>
              <w:rPr>
                <w:sz w:val="20"/>
                <w:szCs w:val="20"/>
                <w:color w:val="auto"/>
              </w:rPr>
            </w:pPr>
            <w:r>
              <w:rPr>
                <w:rFonts w:ascii="Arial" w:cs="Arial" w:eastAsia="Arial" w:hAnsi="Arial"/>
                <w:sz w:val="13"/>
                <w:szCs w:val="13"/>
                <w:color w:val="auto"/>
              </w:rPr>
              <w:t>(33)</w:t>
            </w:r>
          </w:p>
        </w:tc>
        <w:tc>
          <w:tcPr>
            <w:tcW w:w="30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240"/>
              <w:spacing w:after="0" w:line="149" w:lineRule="exact"/>
              <w:rPr>
                <w:sz w:val="20"/>
                <w:szCs w:val="20"/>
                <w:color w:val="auto"/>
              </w:rPr>
            </w:pPr>
            <w:r>
              <w:rPr>
                <w:rFonts w:ascii="Arial" w:cs="Arial" w:eastAsia="Arial" w:hAnsi="Arial"/>
                <w:sz w:val="13"/>
                <w:szCs w:val="13"/>
                <w:color w:val="auto"/>
              </w:rPr>
              <w:t>(38)</w:t>
            </w:r>
          </w:p>
        </w:tc>
        <w:tc>
          <w:tcPr>
            <w:tcW w:w="1200" w:type="dxa"/>
            <w:vAlign w:val="bottom"/>
            <w:gridSpan w:val="2"/>
            <w:shd w:val="clear" w:color="auto" w:fill="CFF0FC"/>
          </w:tcPr>
          <w:p>
            <w:pPr>
              <w:jc w:val="right"/>
              <w:ind w:right="80"/>
              <w:spacing w:after="0" w:line="149" w:lineRule="exact"/>
              <w:rPr>
                <w:sz w:val="20"/>
                <w:szCs w:val="20"/>
                <w:color w:val="auto"/>
              </w:rPr>
            </w:pPr>
            <w:r>
              <w:rPr>
                <w:rFonts w:ascii="Arial" w:cs="Arial" w:eastAsia="Arial" w:hAnsi="Arial"/>
                <w:sz w:val="13"/>
                <w:szCs w:val="13"/>
                <w:color w:val="auto"/>
              </w:rPr>
              <w:t>(44)</w:t>
            </w:r>
          </w:p>
        </w:tc>
        <w:tc>
          <w:tcPr>
            <w:tcW w:w="1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20" w:type="dxa"/>
            <w:vAlign w:val="bottom"/>
            <w:tcBorders>
              <w:bottom w:val="single" w:sz="8" w:color="CFF0FC"/>
            </w:tcBorders>
          </w:tcPr>
          <w:p>
            <w:pPr>
              <w:spacing w:after="0" w:line="149" w:lineRule="exact"/>
              <w:rPr>
                <w:sz w:val="20"/>
                <w:szCs w:val="20"/>
                <w:color w:val="auto"/>
              </w:rPr>
            </w:pPr>
            <w:r>
              <w:rPr>
                <w:rFonts w:ascii="Arial" w:cs="Arial" w:eastAsia="Arial" w:hAnsi="Arial"/>
                <w:sz w:val="13"/>
                <w:szCs w:val="13"/>
                <w:color w:val="auto"/>
              </w:rPr>
              <w:t>Deferred taxes</w:t>
            </w:r>
          </w:p>
        </w:tc>
        <w:tc>
          <w:tcPr>
            <w:tcW w:w="74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3"/>
                <w:szCs w:val="13"/>
                <w:color w:val="auto"/>
              </w:rPr>
              <w:t>6</w:t>
            </w:r>
          </w:p>
        </w:tc>
        <w:tc>
          <w:tcPr>
            <w:tcW w:w="140" w:type="dxa"/>
            <w:vAlign w:val="bottom"/>
            <w:tcBorders>
              <w:bottom w:val="single" w:sz="8" w:color="CFF0FC"/>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10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3"/>
                <w:szCs w:val="13"/>
                <w:color w:val="auto"/>
              </w:rPr>
              <w:t>7</w:t>
            </w:r>
          </w:p>
        </w:tc>
        <w:tc>
          <w:tcPr>
            <w:tcW w:w="300" w:type="dxa"/>
            <w:vAlign w:val="bottom"/>
            <w:tcBorders>
              <w:bottom w:val="single" w:sz="8" w:color="CFF0FC"/>
            </w:tcBorders>
          </w:tcPr>
          <w:p>
            <w:pPr>
              <w:spacing w:after="0"/>
              <w:rPr>
                <w:sz w:val="12"/>
                <w:szCs w:val="12"/>
                <w:color w:val="auto"/>
              </w:rPr>
            </w:pPr>
          </w:p>
        </w:tc>
        <w:tc>
          <w:tcPr>
            <w:tcW w:w="10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3"/>
                <w:szCs w:val="13"/>
                <w:color w:val="auto"/>
              </w:rPr>
              <w:t>8</w:t>
            </w:r>
          </w:p>
        </w:tc>
        <w:tc>
          <w:tcPr>
            <w:tcW w:w="30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3"/>
                <w:szCs w:val="13"/>
                <w:color w:val="auto"/>
              </w:rPr>
              <w:t>10</w:t>
            </w:r>
          </w:p>
        </w:tc>
        <w:tc>
          <w:tcPr>
            <w:tcW w:w="300" w:type="dxa"/>
            <w:vAlign w:val="bottom"/>
            <w:tcBorders>
              <w:bottom w:val="single" w:sz="8" w:color="CFF0FC"/>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3"/>
                <w:szCs w:val="13"/>
                <w:color w:val="auto"/>
              </w:rPr>
              <w:t>12</w:t>
            </w:r>
          </w:p>
        </w:tc>
        <w:tc>
          <w:tcPr>
            <w:tcW w:w="120" w:type="dxa"/>
            <w:vAlign w:val="bottom"/>
            <w:tcBorders>
              <w:bottom w:val="single" w:sz="8" w:color="CFF0FC"/>
            </w:tcBorders>
          </w:tcPr>
          <w:p>
            <w:pPr>
              <w:spacing w:after="0"/>
              <w:rPr>
                <w:sz w:val="12"/>
                <w:szCs w:val="12"/>
                <w:color w:val="auto"/>
              </w:rPr>
            </w:pPr>
          </w:p>
        </w:tc>
        <w:tc>
          <w:tcPr>
            <w:tcW w:w="18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20" w:type="dxa"/>
            <w:vAlign w:val="bottom"/>
            <w:tcBorders>
              <w:bottom w:val="single" w:sz="8" w:color="CFF0FC"/>
            </w:tcBorders>
            <w:shd w:val="clear" w:color="auto" w:fill="CFF0FC"/>
          </w:tcPr>
          <w:p>
            <w:pPr>
              <w:ind w:left="260"/>
              <w:spacing w:after="0" w:line="142" w:lineRule="exact"/>
              <w:rPr>
                <w:sz w:val="20"/>
                <w:szCs w:val="20"/>
                <w:color w:val="auto"/>
              </w:rPr>
            </w:pPr>
            <w:r>
              <w:rPr>
                <w:rFonts w:ascii="Arial" w:cs="Arial" w:eastAsia="Arial" w:hAnsi="Arial"/>
                <w:sz w:val="13"/>
                <w:szCs w:val="13"/>
                <w:color w:val="auto"/>
              </w:rPr>
              <w:t>Total tangible common equity</w:t>
            </w:r>
          </w:p>
        </w:tc>
        <w:tc>
          <w:tcPr>
            <w:tcW w:w="7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9,954</w:t>
            </w:r>
          </w:p>
        </w:tc>
        <w:tc>
          <w:tcPr>
            <w:tcW w:w="14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spacing w:after="0"/>
              <w:rPr>
                <w:sz w:val="12"/>
                <w:szCs w:val="12"/>
                <w:color w:val="auto"/>
              </w:rPr>
            </w:pPr>
          </w:p>
        </w:tc>
        <w:tc>
          <w:tcPr>
            <w:tcW w:w="10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9,852</w:t>
            </w:r>
          </w:p>
        </w:tc>
        <w:tc>
          <w:tcPr>
            <w:tcW w:w="300" w:type="dxa"/>
            <w:vAlign w:val="bottom"/>
            <w:tcBorders>
              <w:bottom w:val="single" w:sz="8" w:color="CFF0FC"/>
            </w:tcBorders>
            <w:shd w:val="clear" w:color="auto" w:fill="CFF0FC"/>
          </w:tcPr>
          <w:p>
            <w:pPr>
              <w:spacing w:after="0"/>
              <w:rPr>
                <w:sz w:val="12"/>
                <w:szCs w:val="12"/>
                <w:color w:val="auto"/>
              </w:rPr>
            </w:pPr>
          </w:p>
        </w:tc>
        <w:tc>
          <w:tcPr>
            <w:tcW w:w="10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9,912</w:t>
            </w:r>
          </w:p>
        </w:tc>
        <w:tc>
          <w:tcPr>
            <w:tcW w:w="300" w:type="dxa"/>
            <w:vAlign w:val="bottom"/>
            <w:tcBorders>
              <w:bottom w:val="single" w:sz="8" w:color="CFF0FC"/>
            </w:tcBorders>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9,836</w:t>
            </w:r>
          </w:p>
        </w:tc>
        <w:tc>
          <w:tcPr>
            <w:tcW w:w="300" w:type="dxa"/>
            <w:vAlign w:val="bottom"/>
            <w:tcBorders>
              <w:bottom w:val="single" w:sz="8" w:color="CFF0FC"/>
            </w:tcBorders>
            <w:shd w:val="clear" w:color="auto" w:fill="CFF0FC"/>
          </w:tcPr>
          <w:p>
            <w:pPr>
              <w:spacing w:after="0"/>
              <w:rPr>
                <w:sz w:val="12"/>
                <w:szCs w:val="12"/>
                <w:color w:val="auto"/>
              </w:rPr>
            </w:pPr>
          </w:p>
        </w:tc>
        <w:tc>
          <w:tcPr>
            <w:tcW w:w="10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9,728</w:t>
            </w:r>
          </w:p>
        </w:tc>
        <w:tc>
          <w:tcPr>
            <w:tcW w:w="12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 w:lineRule="exact"/>
        <w:rPr>
          <w:sz w:val="20"/>
          <w:szCs w:val="20"/>
          <w:color w:val="auto"/>
        </w:rPr>
      </w:pPr>
    </w:p>
    <w:p>
      <w:pPr>
        <w:spacing w:after="0"/>
        <w:tabs>
          <w:tab w:leader="none" w:pos="480" w:val="left"/>
        </w:tabs>
        <w:rPr>
          <w:sz w:val="20"/>
          <w:szCs w:val="20"/>
          <w:color w:val="auto"/>
        </w:rPr>
      </w:pPr>
      <w:r>
        <w:rPr>
          <w:rFonts w:ascii="Arial" w:cs="Arial" w:eastAsia="Arial" w:hAnsi="Arial"/>
          <w:sz w:val="13"/>
          <w:szCs w:val="13"/>
          <w:i w:val="1"/>
          <w:iCs w:val="1"/>
          <w:color w:val="auto"/>
        </w:rPr>
        <w:t>(</w:t>
      </w:r>
      <w:r>
        <w:rPr>
          <w:rFonts w:ascii="Arial" w:cs="Arial" w:eastAsia="Arial" w:hAnsi="Arial"/>
          <w:sz w:val="14"/>
          <w:szCs w:val="14"/>
          <w:i w:val="1"/>
          <w:iCs w:val="1"/>
          <w:color w:val="auto"/>
        </w:rPr>
        <w:t>a)</w:t>
      </w:r>
      <w:r>
        <w:rPr>
          <w:sz w:val="20"/>
          <w:szCs w:val="20"/>
          <w:color w:val="auto"/>
        </w:rPr>
        <w:tab/>
      </w:r>
      <w:r>
        <w:rPr>
          <w:rFonts w:ascii="Arial" w:cs="Arial" w:eastAsia="Arial" w:hAnsi="Arial"/>
          <w:sz w:val="13"/>
          <w:szCs w:val="13"/>
          <w:i w:val="1"/>
          <w:iCs w:val="1"/>
          <w:color w:val="auto"/>
        </w:rPr>
        <w:t>After any related tax effect.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78" w:name="page79"/>
    <w:bookmarkEnd w:id="78"/>
    <w:p>
      <w:pPr>
        <w:jc w:val="center"/>
        <w:spacing w:after="0"/>
        <w:rPr>
          <w:sz w:val="20"/>
          <w:szCs w:val="20"/>
          <w:color w:val="auto"/>
        </w:rPr>
      </w:pPr>
      <w:r>
        <w:rPr>
          <w:rFonts w:ascii="Arial" w:cs="Arial" w:eastAsia="Arial" w:hAnsi="Arial"/>
          <w:sz w:val="20"/>
          <w:szCs w:val="20"/>
          <w:color w:val="auto"/>
        </w:rPr>
        <w:t>M&amp;T BANK CORPORATION AND SUBSIDIARIES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20"/>
                <w:szCs w:val="20"/>
                <w:color w:val="auto"/>
              </w:rPr>
              <w:t>Table 3</w:t>
            </w:r>
          </w:p>
        </w:tc>
        <w:tc>
          <w:tcPr>
            <w:tcW w:w="0" w:type="dxa"/>
            <w:vAlign w:val="bottom"/>
          </w:tcPr>
          <w:p>
            <w:pPr>
              <w:spacing w:after="0"/>
              <w:rPr>
                <w:sz w:val="1"/>
                <w:szCs w:val="1"/>
                <w:color w:val="auto"/>
              </w:rPr>
            </w:pPr>
          </w:p>
        </w:tc>
      </w:tr>
      <w:tr>
        <w:trPr>
          <w:trHeight w:val="337"/>
        </w:trPr>
        <w:tc>
          <w:tcPr>
            <w:tcW w:w="7620" w:type="dxa"/>
            <w:vAlign w:val="bottom"/>
            <w:gridSpan w:val="16"/>
          </w:tcPr>
          <w:p>
            <w:pPr>
              <w:spacing w:after="0"/>
              <w:rPr>
                <w:sz w:val="20"/>
                <w:szCs w:val="20"/>
                <w:color w:val="auto"/>
              </w:rPr>
            </w:pPr>
            <w:r>
              <w:rPr>
                <w:rFonts w:ascii="Arial" w:cs="Arial" w:eastAsia="Arial" w:hAnsi="Arial"/>
                <w:sz w:val="20"/>
                <w:szCs w:val="20"/>
                <w:color w:val="auto"/>
                <w:w w:val="99"/>
              </w:rPr>
              <w:t>AVERAGE BALANCE SHEETS AND ANNUALIZED TAXABLE-EQUIVALENT RATES</w:t>
            </w: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6"/>
              </w:rPr>
              <w:t>2020 First Quarter</w:t>
            </w: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80" w:type="dxa"/>
            <w:vAlign w:val="bottom"/>
            <w:gridSpan w:val="5"/>
          </w:tcPr>
          <w:p>
            <w:pPr>
              <w:jc w:val="center"/>
              <w:ind w:left="500"/>
              <w:spacing w:after="0"/>
              <w:rPr>
                <w:sz w:val="20"/>
                <w:szCs w:val="20"/>
                <w:color w:val="auto"/>
              </w:rPr>
            </w:pPr>
            <w:r>
              <w:rPr>
                <w:rFonts w:ascii="Arial" w:cs="Arial" w:eastAsia="Arial" w:hAnsi="Arial"/>
                <w:sz w:val="14"/>
                <w:szCs w:val="14"/>
                <w:b w:val="1"/>
                <w:bCs w:val="1"/>
                <w:color w:val="auto"/>
                <w:w w:val="97"/>
              </w:rPr>
              <w:t>2019 Fourth Quarter</w:t>
            </w: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60" w:type="dxa"/>
            <w:vAlign w:val="bottom"/>
            <w:gridSpan w:val="4"/>
          </w:tcPr>
          <w:p>
            <w:pPr>
              <w:jc w:val="center"/>
              <w:ind w:left="520"/>
              <w:spacing w:after="0"/>
              <w:rPr>
                <w:sz w:val="20"/>
                <w:szCs w:val="20"/>
                <w:color w:val="auto"/>
              </w:rPr>
            </w:pPr>
            <w:r>
              <w:rPr>
                <w:rFonts w:ascii="Arial" w:cs="Arial" w:eastAsia="Arial" w:hAnsi="Arial"/>
                <w:sz w:val="14"/>
                <w:szCs w:val="14"/>
                <w:b w:val="1"/>
                <w:bCs w:val="1"/>
                <w:color w:val="auto"/>
                <w:w w:val="97"/>
              </w:rPr>
              <w:t>2019 Third Quarter</w:t>
            </w: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Average</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0"/>
              </w:rPr>
              <w:t>Interest</w:t>
            </w:r>
          </w:p>
        </w:tc>
        <w:tc>
          <w:tcPr>
            <w:tcW w:w="6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4"/>
              </w:rPr>
              <w:t>Average</w:t>
            </w:r>
          </w:p>
        </w:tc>
        <w:tc>
          <w:tcPr>
            <w:tcW w:w="280" w:type="dxa"/>
            <w:vAlign w:val="bottom"/>
          </w:tcPr>
          <w:p>
            <w:pPr>
              <w:spacing w:after="0"/>
              <w:rPr>
                <w:sz w:val="12"/>
                <w:szCs w:val="12"/>
                <w:color w:val="auto"/>
              </w:rPr>
            </w:pPr>
          </w:p>
        </w:tc>
        <w:tc>
          <w:tcPr>
            <w:tcW w:w="86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97"/>
              </w:rPr>
              <w:t>Average</w:t>
            </w:r>
          </w:p>
        </w:tc>
        <w:tc>
          <w:tcPr>
            <w:tcW w:w="102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4"/>
              </w:rPr>
              <w:t>Interest</w:t>
            </w:r>
          </w:p>
        </w:tc>
        <w:tc>
          <w:tcPr>
            <w:tcW w:w="5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0"/>
              </w:rPr>
              <w:t>Average</w:t>
            </w:r>
          </w:p>
        </w:tc>
        <w:tc>
          <w:tcPr>
            <w:tcW w:w="280" w:type="dxa"/>
            <w:vAlign w:val="bottom"/>
          </w:tcPr>
          <w:p>
            <w:pPr>
              <w:spacing w:after="0"/>
              <w:rPr>
                <w:sz w:val="12"/>
                <w:szCs w:val="12"/>
                <w:color w:val="auto"/>
              </w:rPr>
            </w:pP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Average</w:t>
            </w: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Interest</w:t>
            </w:r>
          </w:p>
        </w:tc>
        <w:tc>
          <w:tcPr>
            <w:tcW w:w="6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7"/>
              </w:rPr>
              <w:t>Average</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19"/>
              <w:spacing w:after="0"/>
              <w:rPr>
                <w:sz w:val="20"/>
                <w:szCs w:val="20"/>
                <w:color w:val="auto"/>
              </w:rPr>
            </w:pPr>
            <w:r>
              <w:rPr>
                <w:rFonts w:ascii="Arial" w:cs="Arial" w:eastAsia="Arial" w:hAnsi="Arial"/>
                <w:sz w:val="14"/>
                <w:szCs w:val="14"/>
                <w:b w:val="1"/>
                <w:bCs w:val="1"/>
                <w:color w:val="auto"/>
              </w:rPr>
              <w:t>Balance</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620" w:type="dxa"/>
            <w:vAlign w:val="bottom"/>
          </w:tcPr>
          <w:p>
            <w:pPr>
              <w:jc w:val="right"/>
              <w:ind w:right="100"/>
              <w:spacing w:after="0"/>
              <w:rPr>
                <w:sz w:val="20"/>
                <w:szCs w:val="20"/>
                <w:color w:val="auto"/>
              </w:rPr>
            </w:pPr>
            <w:r>
              <w:rPr>
                <w:rFonts w:ascii="Arial" w:cs="Arial" w:eastAsia="Arial" w:hAnsi="Arial"/>
                <w:sz w:val="14"/>
                <w:szCs w:val="14"/>
                <w:b w:val="1"/>
                <w:bCs w:val="1"/>
                <w:color w:val="auto"/>
              </w:rPr>
              <w:t>Rate</w:t>
            </w:r>
          </w:p>
        </w:tc>
        <w:tc>
          <w:tcPr>
            <w:tcW w:w="280" w:type="dxa"/>
            <w:vAlign w:val="bottom"/>
          </w:tcPr>
          <w:p>
            <w:pPr>
              <w:spacing w:after="0"/>
              <w:rPr>
                <w:sz w:val="14"/>
                <w:szCs w:val="14"/>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Balance</w:t>
            </w:r>
          </w:p>
        </w:tc>
        <w:tc>
          <w:tcPr>
            <w:tcW w:w="1020" w:type="dxa"/>
            <w:vAlign w:val="bottom"/>
            <w:gridSpan w:val="3"/>
            <w:vMerge w:val="continue"/>
          </w:tcPr>
          <w:p>
            <w:pPr>
              <w:spacing w:after="0"/>
              <w:rPr>
                <w:sz w:val="14"/>
                <w:szCs w:val="14"/>
                <w:color w:val="auto"/>
              </w:rPr>
            </w:pPr>
          </w:p>
        </w:tc>
        <w:tc>
          <w:tcPr>
            <w:tcW w:w="580" w:type="dxa"/>
            <w:vAlign w:val="bottom"/>
          </w:tcPr>
          <w:p>
            <w:pPr>
              <w:jc w:val="right"/>
              <w:ind w:right="80"/>
              <w:spacing w:after="0"/>
              <w:rPr>
                <w:sz w:val="20"/>
                <w:szCs w:val="20"/>
                <w:color w:val="auto"/>
              </w:rPr>
            </w:pPr>
            <w:r>
              <w:rPr>
                <w:rFonts w:ascii="Arial" w:cs="Arial" w:eastAsia="Arial" w:hAnsi="Arial"/>
                <w:sz w:val="14"/>
                <w:szCs w:val="14"/>
                <w:b w:val="1"/>
                <w:bCs w:val="1"/>
                <w:color w:val="auto"/>
              </w:rPr>
              <w:t>Rate</w:t>
            </w:r>
          </w:p>
        </w:tc>
        <w:tc>
          <w:tcPr>
            <w:tcW w:w="280" w:type="dxa"/>
            <w:vAlign w:val="bottom"/>
          </w:tcPr>
          <w:p>
            <w:pPr>
              <w:spacing w:after="0"/>
              <w:rPr>
                <w:sz w:val="14"/>
                <w:szCs w:val="14"/>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Balance</w:t>
            </w:r>
          </w:p>
        </w:tc>
        <w:tc>
          <w:tcPr>
            <w:tcW w:w="980" w:type="dxa"/>
            <w:vAlign w:val="bottom"/>
            <w:gridSpan w:val="2"/>
            <w:vMerge w:val="continue"/>
          </w:tcPr>
          <w:p>
            <w:pPr>
              <w:spacing w:after="0"/>
              <w:rPr>
                <w:sz w:val="14"/>
                <w:szCs w:val="14"/>
                <w:color w:val="auto"/>
              </w:rPr>
            </w:pPr>
          </w:p>
        </w:tc>
        <w:tc>
          <w:tcPr>
            <w:tcW w:w="620" w:type="dxa"/>
            <w:vAlign w:val="bottom"/>
          </w:tcPr>
          <w:p>
            <w:pPr>
              <w:jc w:val="right"/>
              <w:ind w:right="99"/>
              <w:spacing w:after="0"/>
              <w:rPr>
                <w:sz w:val="20"/>
                <w:szCs w:val="20"/>
                <w:color w:val="auto"/>
              </w:rPr>
            </w:pPr>
            <w:r>
              <w:rPr>
                <w:rFonts w:ascii="Arial" w:cs="Arial" w:eastAsia="Arial" w:hAnsi="Arial"/>
                <w:sz w:val="14"/>
                <w:szCs w:val="14"/>
                <w:b w:val="1"/>
                <w:bCs w:val="1"/>
                <w:color w:val="auto"/>
              </w:rPr>
              <w:t>Rate</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860" w:type="dxa"/>
            <w:vAlign w:val="bottom"/>
            <w:tcBorders>
              <w:top w:val="single" w:sz="8" w:color="auto"/>
            </w:tcBorders>
          </w:tcPr>
          <w:p>
            <w:pPr>
              <w:spacing w:after="0" w:line="137" w:lineRule="exact"/>
              <w:rPr>
                <w:sz w:val="20"/>
                <w:szCs w:val="20"/>
                <w:color w:val="auto"/>
              </w:rPr>
            </w:pPr>
            <w:r>
              <w:rPr>
                <w:rFonts w:ascii="Arial" w:cs="Arial" w:eastAsia="Arial" w:hAnsi="Arial"/>
                <w:sz w:val="14"/>
                <w:szCs w:val="14"/>
                <w:b w:val="1"/>
                <w:bCs w:val="1"/>
                <w:i w:val="1"/>
                <w:iCs w:val="1"/>
                <w:color w:val="auto"/>
              </w:rPr>
              <w:t>Average balance in millions; interest in</w:t>
            </w: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thousands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880" w:type="dxa"/>
            <w:vAlign w:val="bottom"/>
            <w:gridSpan w:val="2"/>
          </w:tcPr>
          <w:p>
            <w:pPr>
              <w:spacing w:after="0"/>
              <w:rPr>
                <w:sz w:val="20"/>
                <w:szCs w:val="20"/>
                <w:color w:val="auto"/>
              </w:rPr>
            </w:pPr>
            <w:r>
              <w:rPr>
                <w:rFonts w:ascii="Arial" w:cs="Arial" w:eastAsia="Arial" w:hAnsi="Arial"/>
                <w:sz w:val="16"/>
                <w:szCs w:val="16"/>
                <w:b w:val="1"/>
                <w:bCs w:val="1"/>
                <w:color w:val="auto"/>
              </w:rPr>
              <w:t>Assets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860" w:type="dxa"/>
            <w:vAlign w:val="bottom"/>
            <w:shd w:val="clear" w:color="auto" w:fill="CFF0FC"/>
          </w:tcPr>
          <w:p>
            <w:pPr>
              <w:spacing w:after="0"/>
              <w:rPr>
                <w:sz w:val="20"/>
                <w:szCs w:val="20"/>
                <w:color w:val="auto"/>
              </w:rPr>
            </w:pPr>
            <w:r>
              <w:rPr>
                <w:rFonts w:ascii="Arial" w:cs="Arial" w:eastAsia="Arial" w:hAnsi="Arial"/>
                <w:sz w:val="16"/>
                <w:szCs w:val="16"/>
                <w:color w:val="auto"/>
              </w:rPr>
              <w:t>Earning assets</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880" w:type="dxa"/>
            <w:vAlign w:val="bottom"/>
            <w:gridSpan w:val="2"/>
          </w:tcPr>
          <w:p>
            <w:pPr>
              <w:spacing w:after="0"/>
              <w:rPr>
                <w:sz w:val="20"/>
                <w:szCs w:val="20"/>
                <w:color w:val="auto"/>
              </w:rPr>
            </w:pPr>
            <w:r>
              <w:rPr>
                <w:rFonts w:ascii="Arial" w:cs="Arial" w:eastAsia="Arial" w:hAnsi="Arial"/>
                <w:sz w:val="16"/>
                <w:szCs w:val="16"/>
                <w:color w:val="auto"/>
              </w:rPr>
              <w:t>Loans and leases, net of unearned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60" w:type="dxa"/>
            <w:vAlign w:val="bottom"/>
          </w:tcPr>
          <w:p>
            <w:pPr>
              <w:ind w:left="140"/>
              <w:spacing w:after="0"/>
              <w:rPr>
                <w:sz w:val="20"/>
                <w:szCs w:val="20"/>
                <w:color w:val="auto"/>
              </w:rPr>
            </w:pPr>
            <w:r>
              <w:rPr>
                <w:rFonts w:ascii="Arial" w:cs="Arial" w:eastAsia="Arial" w:hAnsi="Arial"/>
                <w:sz w:val="16"/>
                <w:szCs w:val="16"/>
                <w:color w:val="auto"/>
              </w:rPr>
              <w:t>discount (a)</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8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Commercial, financial, etc.</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24,290</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247,344</w:t>
            </w: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4.10</w:t>
            </w: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23,548</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258,969</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4.36</w:t>
            </w: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23,326</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283,291</w:t>
            </w: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4.82</w:t>
            </w: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860" w:type="dxa"/>
            <w:vAlign w:val="bottom"/>
          </w:tcPr>
          <w:p>
            <w:pPr>
              <w:ind w:left="240"/>
              <w:spacing w:after="0"/>
              <w:rPr>
                <w:sz w:val="20"/>
                <w:szCs w:val="20"/>
                <w:color w:val="auto"/>
              </w:rPr>
            </w:pPr>
            <w:r>
              <w:rPr>
                <w:rFonts w:ascii="Arial" w:cs="Arial" w:eastAsia="Arial" w:hAnsi="Arial"/>
                <w:sz w:val="16"/>
                <w:szCs w:val="16"/>
                <w:color w:val="auto"/>
              </w:rPr>
              <w:t>Real estate – commercial</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36,034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440,291</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4.83</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35,039</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452,752</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5.06</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35,200</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462,759</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5.14</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8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Real estate – consumer</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15,931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160,650</w:t>
            </w: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4.03</w:t>
            </w: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16,330</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169,371</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4.15</w:t>
            </w: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16,673</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175,098</w:t>
            </w: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4.20</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860" w:type="dxa"/>
            <w:vAlign w:val="bottom"/>
            <w:tcBorders>
              <w:bottom w:val="single" w:sz="8" w:color="CFF0FC"/>
            </w:tcBorders>
          </w:tcPr>
          <w:p>
            <w:pPr>
              <w:ind w:left="240"/>
              <w:spacing w:after="0"/>
              <w:rPr>
                <w:sz w:val="20"/>
                <w:szCs w:val="20"/>
                <w:color w:val="auto"/>
              </w:rPr>
            </w:pPr>
            <w:r>
              <w:rPr>
                <w:rFonts w:ascii="Arial" w:cs="Arial" w:eastAsia="Arial" w:hAnsi="Arial"/>
                <w:sz w:val="16"/>
                <w:szCs w:val="16"/>
                <w:color w:val="auto"/>
              </w:rPr>
              <w:t>Consumer</w:t>
            </w:r>
          </w:p>
        </w:tc>
        <w:tc>
          <w:tcPr>
            <w:tcW w:w="10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15,451</w:t>
            </w:r>
          </w:p>
        </w:tc>
        <w:tc>
          <w:tcPr>
            <w:tcW w:w="22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203,546</w:t>
            </w:r>
          </w:p>
        </w:tc>
        <w:tc>
          <w:tcPr>
            <w:tcW w:w="220" w:type="dxa"/>
            <w:vAlign w:val="bottom"/>
            <w:tcBorders>
              <w:bottom w:val="single" w:sz="8" w:color="CFF0FC"/>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5.30</w:t>
            </w:r>
          </w:p>
        </w:tc>
        <w:tc>
          <w:tcPr>
            <w:tcW w:w="280" w:type="dxa"/>
            <w:vAlign w:val="bottom"/>
            <w:tcBorders>
              <w:bottom w:val="single" w:sz="8" w:color="CFF0FC"/>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15,327</w:t>
            </w:r>
          </w:p>
        </w:tc>
        <w:tc>
          <w:tcPr>
            <w:tcW w:w="220" w:type="dxa"/>
            <w:vAlign w:val="bottom"/>
            <w:tcBorders>
              <w:bottom w:val="single" w:sz="8" w:color="CFF0FC"/>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203,205</w:t>
            </w:r>
          </w:p>
        </w:tc>
        <w:tc>
          <w:tcPr>
            <w:tcW w:w="200" w:type="dxa"/>
            <w:vAlign w:val="bottom"/>
            <w:tcBorders>
              <w:bottom w:val="single" w:sz="8" w:color="CFF0FC"/>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5.26</w:t>
            </w:r>
          </w:p>
        </w:tc>
        <w:tc>
          <w:tcPr>
            <w:tcW w:w="280" w:type="dxa"/>
            <w:vAlign w:val="bottom"/>
            <w:tcBorders>
              <w:bottom w:val="single" w:sz="8" w:color="CFF0FC"/>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14,879</w:t>
            </w:r>
          </w:p>
        </w:tc>
        <w:tc>
          <w:tcPr>
            <w:tcW w:w="22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204,097</w:t>
            </w:r>
          </w:p>
        </w:tc>
        <w:tc>
          <w:tcPr>
            <w:tcW w:w="220" w:type="dxa"/>
            <w:vAlign w:val="bottom"/>
            <w:tcBorders>
              <w:bottom w:val="single" w:sz="8" w:color="CFF0FC"/>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5.44</w:t>
            </w:r>
          </w:p>
        </w:tc>
        <w:tc>
          <w:tcPr>
            <w:tcW w:w="2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860" w:type="dxa"/>
            <w:vAlign w:val="bottom"/>
            <w:shd w:val="clear" w:color="auto" w:fill="CFF0FC"/>
          </w:tcPr>
          <w:p>
            <w:pPr>
              <w:ind w:left="480"/>
              <w:spacing w:after="0"/>
              <w:rPr>
                <w:sz w:val="20"/>
                <w:szCs w:val="20"/>
                <w:color w:val="auto"/>
              </w:rPr>
            </w:pPr>
            <w:r>
              <w:rPr>
                <w:rFonts w:ascii="Arial" w:cs="Arial" w:eastAsia="Arial" w:hAnsi="Arial"/>
                <w:sz w:val="16"/>
                <w:szCs w:val="16"/>
                <w:color w:val="auto"/>
              </w:rPr>
              <w:t>Total loans and leases, net</w:t>
            </w:r>
          </w:p>
        </w:tc>
        <w:tc>
          <w:tcPr>
            <w:tcW w:w="10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91,706</w:t>
            </w:r>
          </w:p>
        </w:tc>
        <w:tc>
          <w:tcPr>
            <w:tcW w:w="220" w:type="dxa"/>
            <w:vAlign w:val="bottom"/>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1,051,831</w:t>
            </w:r>
          </w:p>
        </w:tc>
        <w:tc>
          <w:tcPr>
            <w:tcW w:w="220" w:type="dxa"/>
            <w:vAlign w:val="bottom"/>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4.61</w:t>
            </w:r>
          </w:p>
        </w:tc>
        <w:tc>
          <w:tcPr>
            <w:tcW w:w="280" w:type="dxa"/>
            <w:vAlign w:val="bottom"/>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90,244</w:t>
            </w:r>
          </w:p>
        </w:tc>
        <w:tc>
          <w:tcPr>
            <w:tcW w:w="220" w:type="dxa"/>
            <w:vAlign w:val="bottom"/>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1,084,297</w:t>
            </w:r>
          </w:p>
        </w:tc>
        <w:tc>
          <w:tcPr>
            <w:tcW w:w="200" w:type="dxa"/>
            <w:vAlign w:val="bottom"/>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4.77</w:t>
            </w:r>
          </w:p>
        </w:tc>
        <w:tc>
          <w:tcPr>
            <w:tcW w:w="280" w:type="dxa"/>
            <w:vAlign w:val="bottom"/>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90,078</w:t>
            </w:r>
          </w:p>
        </w:tc>
        <w:tc>
          <w:tcPr>
            <w:tcW w:w="22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1,125,245</w:t>
            </w:r>
          </w:p>
        </w:tc>
        <w:tc>
          <w:tcPr>
            <w:tcW w:w="220" w:type="dxa"/>
            <w:vAlign w:val="bottom"/>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4.96</w:t>
            </w: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880" w:type="dxa"/>
            <w:vAlign w:val="bottom"/>
            <w:gridSpan w:val="2"/>
          </w:tcPr>
          <w:p>
            <w:pPr>
              <w:spacing w:after="0"/>
              <w:rPr>
                <w:sz w:val="20"/>
                <w:szCs w:val="20"/>
                <w:color w:val="auto"/>
              </w:rPr>
            </w:pPr>
            <w:r>
              <w:rPr>
                <w:rFonts w:ascii="Arial" w:cs="Arial" w:eastAsia="Arial" w:hAnsi="Arial"/>
                <w:sz w:val="16"/>
                <w:szCs w:val="16"/>
                <w:color w:val="auto"/>
              </w:rPr>
              <w:t>Interest-bearing deposits at banks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6,130</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18,966</w:t>
            </w: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1.24</w:t>
            </w: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8,944</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37,277</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1.65</w:t>
            </w: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7,405</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40,388</w:t>
            </w: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2.16</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60" w:type="dxa"/>
            <w:vAlign w:val="bottom"/>
            <w:shd w:val="clear" w:color="auto" w:fill="CFF0FC"/>
          </w:tcPr>
          <w:p>
            <w:pPr>
              <w:spacing w:after="0"/>
              <w:rPr>
                <w:sz w:val="20"/>
                <w:szCs w:val="20"/>
                <w:color w:val="auto"/>
              </w:rPr>
            </w:pPr>
            <w:r>
              <w:rPr>
                <w:rFonts w:ascii="Arial" w:cs="Arial" w:eastAsia="Arial" w:hAnsi="Arial"/>
                <w:sz w:val="16"/>
                <w:szCs w:val="16"/>
                <w:color w:val="auto"/>
              </w:rPr>
              <w:t>Federal funds sold and agreements</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860" w:type="dxa"/>
            <w:vAlign w:val="bottom"/>
            <w:shd w:val="clear" w:color="auto" w:fill="CFF0FC"/>
          </w:tcPr>
          <w:p>
            <w:pPr>
              <w:ind w:left="100"/>
              <w:spacing w:after="0"/>
              <w:rPr>
                <w:sz w:val="20"/>
                <w:szCs w:val="20"/>
                <w:color w:val="auto"/>
              </w:rPr>
            </w:pPr>
            <w:r>
              <w:rPr>
                <w:rFonts w:ascii="Arial" w:cs="Arial" w:eastAsia="Arial" w:hAnsi="Arial"/>
                <w:sz w:val="16"/>
                <w:szCs w:val="16"/>
                <w:color w:val="auto"/>
              </w:rPr>
              <w:t>to resell securities</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1,224</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4,072</w:t>
            </w: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1.34</w:t>
            </w: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1,279</w:t>
            </w: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5,405</w:t>
            </w: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1.68</w:t>
            </w:r>
          </w:p>
        </w:tc>
        <w:tc>
          <w:tcPr>
            <w:tcW w:w="2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w:t>
            </w: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w:t>
            </w: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2.01</w:t>
            </w: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880" w:type="dxa"/>
            <w:vAlign w:val="bottom"/>
            <w:gridSpan w:val="2"/>
          </w:tcPr>
          <w:p>
            <w:pPr>
              <w:spacing w:after="0"/>
              <w:rPr>
                <w:sz w:val="20"/>
                <w:szCs w:val="20"/>
                <w:color w:val="auto"/>
              </w:rPr>
            </w:pPr>
            <w:r>
              <w:rPr>
                <w:rFonts w:ascii="Arial" w:cs="Arial" w:eastAsia="Arial" w:hAnsi="Arial"/>
                <w:sz w:val="16"/>
                <w:szCs w:val="16"/>
                <w:color w:val="auto"/>
              </w:rPr>
              <w:t>Trading account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419</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2.64</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70</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765</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4.36</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67</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149</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0.89</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860" w:type="dxa"/>
            <w:vAlign w:val="bottom"/>
            <w:shd w:val="clear" w:color="auto" w:fill="CFF0FC"/>
          </w:tcPr>
          <w:p>
            <w:pPr>
              <w:spacing w:after="0"/>
              <w:rPr>
                <w:sz w:val="20"/>
                <w:szCs w:val="20"/>
                <w:color w:val="auto"/>
              </w:rPr>
            </w:pPr>
            <w:r>
              <w:rPr>
                <w:rFonts w:ascii="Arial" w:cs="Arial" w:eastAsia="Arial" w:hAnsi="Arial"/>
                <w:sz w:val="16"/>
                <w:szCs w:val="16"/>
                <w:color w:val="auto"/>
              </w:rPr>
              <w:t>Investment securities (b)</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860" w:type="dxa"/>
            <w:vAlign w:val="bottom"/>
          </w:tcPr>
          <w:p>
            <w:pPr>
              <w:ind w:left="240"/>
              <w:spacing w:after="0"/>
              <w:rPr>
                <w:sz w:val="20"/>
                <w:szCs w:val="20"/>
                <w:color w:val="auto"/>
              </w:rPr>
            </w:pPr>
            <w:r>
              <w:rPr>
                <w:rFonts w:ascii="Arial" w:cs="Arial" w:eastAsia="Arial" w:hAnsi="Arial"/>
                <w:sz w:val="16"/>
                <w:szCs w:val="16"/>
                <w:color w:val="auto"/>
              </w:rPr>
              <w:t>U.S. Treasury and federal agencies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8,359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45,449</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2.19</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9,272</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57,123</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2.44</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10,271</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62,506</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2.41</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Obligations of states and political</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860" w:type="dxa"/>
            <w:vAlign w:val="bottom"/>
            <w:shd w:val="clear" w:color="auto" w:fill="CFF0FC"/>
          </w:tcPr>
          <w:p>
            <w:pPr>
              <w:ind w:left="360"/>
              <w:spacing w:after="0"/>
              <w:rPr>
                <w:sz w:val="20"/>
                <w:szCs w:val="20"/>
                <w:color w:val="auto"/>
              </w:rPr>
            </w:pPr>
            <w:r>
              <w:rPr>
                <w:rFonts w:ascii="Arial" w:cs="Arial" w:eastAsia="Arial" w:hAnsi="Arial"/>
                <w:sz w:val="16"/>
                <w:szCs w:val="16"/>
                <w:color w:val="auto"/>
              </w:rPr>
              <w:t>subdivisions</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w:t>
            </w: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5.01</w:t>
            </w: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w:t>
            </w: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4.96</w:t>
            </w:r>
          </w:p>
        </w:tc>
        <w:tc>
          <w:tcPr>
            <w:tcW w:w="2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w:t>
            </w: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4.99</w:t>
            </w: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860" w:type="dxa"/>
            <w:vAlign w:val="bottom"/>
            <w:tcBorders>
              <w:bottom w:val="single" w:sz="8" w:color="CFF0FC"/>
            </w:tcBorders>
          </w:tcPr>
          <w:p>
            <w:pPr>
              <w:ind w:left="240"/>
              <w:spacing w:after="0"/>
              <w:rPr>
                <w:sz w:val="20"/>
                <w:szCs w:val="20"/>
                <w:color w:val="auto"/>
              </w:rPr>
            </w:pPr>
            <w:r>
              <w:rPr>
                <w:rFonts w:ascii="Arial" w:cs="Arial" w:eastAsia="Arial" w:hAnsi="Arial"/>
                <w:sz w:val="16"/>
                <w:szCs w:val="16"/>
                <w:color w:val="auto"/>
              </w:rPr>
              <w:t>Other</w:t>
            </w:r>
          </w:p>
        </w:tc>
        <w:tc>
          <w:tcPr>
            <w:tcW w:w="10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740</w:t>
            </w:r>
          </w:p>
        </w:tc>
        <w:tc>
          <w:tcPr>
            <w:tcW w:w="22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4,704</w:t>
            </w:r>
          </w:p>
        </w:tc>
        <w:tc>
          <w:tcPr>
            <w:tcW w:w="220" w:type="dxa"/>
            <w:vAlign w:val="bottom"/>
            <w:tcBorders>
              <w:bottom w:val="single" w:sz="8" w:color="CFF0FC"/>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w:t>
            </w:r>
          </w:p>
        </w:tc>
        <w:tc>
          <w:tcPr>
            <w:tcW w:w="280" w:type="dxa"/>
            <w:vAlign w:val="bottom"/>
            <w:tcBorders>
              <w:bottom w:val="single" w:sz="8" w:color="CFF0FC"/>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767</w:t>
            </w:r>
          </w:p>
        </w:tc>
        <w:tc>
          <w:tcPr>
            <w:tcW w:w="220" w:type="dxa"/>
            <w:vAlign w:val="bottom"/>
            <w:tcBorders>
              <w:bottom w:val="single" w:sz="8" w:color="CFF0FC"/>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6,364</w:t>
            </w:r>
          </w:p>
        </w:tc>
        <w:tc>
          <w:tcPr>
            <w:tcW w:w="200" w:type="dxa"/>
            <w:vAlign w:val="bottom"/>
            <w:tcBorders>
              <w:bottom w:val="single" w:sz="8" w:color="CFF0FC"/>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w:t>
            </w:r>
          </w:p>
        </w:tc>
        <w:tc>
          <w:tcPr>
            <w:tcW w:w="280" w:type="dxa"/>
            <w:vAlign w:val="bottom"/>
            <w:tcBorders>
              <w:bottom w:val="single" w:sz="8" w:color="CFF0FC"/>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798</w:t>
            </w:r>
          </w:p>
        </w:tc>
        <w:tc>
          <w:tcPr>
            <w:tcW w:w="22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6,593</w:t>
            </w:r>
          </w:p>
        </w:tc>
        <w:tc>
          <w:tcPr>
            <w:tcW w:w="220" w:type="dxa"/>
            <w:vAlign w:val="bottom"/>
            <w:tcBorders>
              <w:bottom w:val="single" w:sz="8" w:color="CFF0FC"/>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w:t>
            </w:r>
          </w:p>
        </w:tc>
        <w:tc>
          <w:tcPr>
            <w:tcW w:w="2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860" w:type="dxa"/>
            <w:vAlign w:val="bottom"/>
            <w:shd w:val="clear" w:color="auto" w:fill="CFF0FC"/>
          </w:tcPr>
          <w:p>
            <w:pPr>
              <w:ind w:left="480"/>
              <w:spacing w:after="0"/>
              <w:rPr>
                <w:sz w:val="20"/>
                <w:szCs w:val="20"/>
                <w:color w:val="auto"/>
              </w:rPr>
            </w:pPr>
            <w:r>
              <w:rPr>
                <w:rFonts w:ascii="Arial" w:cs="Arial" w:eastAsia="Arial" w:hAnsi="Arial"/>
                <w:sz w:val="16"/>
                <w:szCs w:val="16"/>
                <w:color w:val="auto"/>
              </w:rPr>
              <w:t>Total investment securities</w:t>
            </w:r>
          </w:p>
        </w:tc>
        <w:tc>
          <w:tcPr>
            <w:tcW w:w="10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9,102</w:t>
            </w:r>
          </w:p>
        </w:tc>
        <w:tc>
          <w:tcPr>
            <w:tcW w:w="220" w:type="dxa"/>
            <w:vAlign w:val="bottom"/>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50,194</w:t>
            </w:r>
          </w:p>
        </w:tc>
        <w:tc>
          <w:tcPr>
            <w:tcW w:w="220" w:type="dxa"/>
            <w:vAlign w:val="bottom"/>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2.22</w:t>
            </w:r>
          </w:p>
        </w:tc>
        <w:tc>
          <w:tcPr>
            <w:tcW w:w="280" w:type="dxa"/>
            <w:vAlign w:val="bottom"/>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10,044</w:t>
            </w:r>
          </w:p>
        </w:tc>
        <w:tc>
          <w:tcPr>
            <w:tcW w:w="220" w:type="dxa"/>
            <w:vAlign w:val="bottom"/>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63,551</w:t>
            </w:r>
          </w:p>
        </w:tc>
        <w:tc>
          <w:tcPr>
            <w:tcW w:w="200" w:type="dxa"/>
            <w:vAlign w:val="bottom"/>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2.51</w:t>
            </w:r>
          </w:p>
        </w:tc>
        <w:tc>
          <w:tcPr>
            <w:tcW w:w="280" w:type="dxa"/>
            <w:vAlign w:val="bottom"/>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11,075</w:t>
            </w:r>
          </w:p>
        </w:tc>
        <w:tc>
          <w:tcPr>
            <w:tcW w:w="22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69,173</w:t>
            </w:r>
          </w:p>
        </w:tc>
        <w:tc>
          <w:tcPr>
            <w:tcW w:w="220" w:type="dxa"/>
            <w:vAlign w:val="bottom"/>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2.48</w:t>
            </w: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860" w:type="dxa"/>
            <w:vAlign w:val="bottom"/>
            <w:tcBorders>
              <w:bottom w:val="single" w:sz="8" w:color="CFF0FC"/>
            </w:tcBorders>
          </w:tcPr>
          <w:p>
            <w:pPr>
              <w:ind w:left="480"/>
              <w:spacing w:after="0"/>
              <w:rPr>
                <w:sz w:val="20"/>
                <w:szCs w:val="20"/>
                <w:color w:val="auto"/>
              </w:rPr>
            </w:pPr>
            <w:r>
              <w:rPr>
                <w:rFonts w:ascii="Arial" w:cs="Arial" w:eastAsia="Arial" w:hAnsi="Arial"/>
                <w:sz w:val="16"/>
                <w:szCs w:val="16"/>
                <w:b w:val="1"/>
                <w:bCs w:val="1"/>
                <w:color w:val="auto"/>
              </w:rPr>
              <w:t>Total earning assets</w:t>
            </w:r>
          </w:p>
        </w:tc>
        <w:tc>
          <w:tcPr>
            <w:tcW w:w="10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108,226</w:t>
            </w:r>
          </w:p>
        </w:tc>
        <w:tc>
          <w:tcPr>
            <w:tcW w:w="220" w:type="dxa"/>
            <w:vAlign w:val="bottom"/>
            <w:tcBorders>
              <w:bottom w:val="single" w:sz="8" w:color="CFF0FC"/>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1,125,482</w:t>
            </w:r>
          </w:p>
        </w:tc>
        <w:tc>
          <w:tcPr>
            <w:tcW w:w="220" w:type="dxa"/>
            <w:vAlign w:val="bottom"/>
            <w:tcBorders>
              <w:bottom w:val="single" w:sz="8" w:color="CFF0FC"/>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4.18</w:t>
            </w:r>
          </w:p>
        </w:tc>
        <w:tc>
          <w:tcPr>
            <w:tcW w:w="280" w:type="dxa"/>
            <w:vAlign w:val="bottom"/>
            <w:tcBorders>
              <w:bottom w:val="single" w:sz="8" w:color="CFF0FC"/>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110,581</w:t>
            </w:r>
          </w:p>
        </w:tc>
        <w:tc>
          <w:tcPr>
            <w:tcW w:w="220" w:type="dxa"/>
            <w:vAlign w:val="bottom"/>
            <w:tcBorders>
              <w:bottom w:val="single" w:sz="8" w:color="CFF0FC"/>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1,191,295</w:t>
            </w:r>
          </w:p>
        </w:tc>
        <w:tc>
          <w:tcPr>
            <w:tcW w:w="200" w:type="dxa"/>
            <w:vAlign w:val="bottom"/>
            <w:tcBorders>
              <w:bottom w:val="single" w:sz="8" w:color="CFF0FC"/>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4.27</w:t>
            </w:r>
          </w:p>
        </w:tc>
        <w:tc>
          <w:tcPr>
            <w:tcW w:w="280" w:type="dxa"/>
            <w:vAlign w:val="bottom"/>
            <w:tcBorders>
              <w:bottom w:val="single" w:sz="8" w:color="CFF0FC"/>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108,643</w:t>
            </w:r>
          </w:p>
        </w:tc>
        <w:tc>
          <w:tcPr>
            <w:tcW w:w="220" w:type="dxa"/>
            <w:vAlign w:val="bottom"/>
            <w:tcBorders>
              <w:bottom w:val="single" w:sz="8" w:color="CFF0FC"/>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1,235,048</w:t>
            </w:r>
          </w:p>
        </w:tc>
        <w:tc>
          <w:tcPr>
            <w:tcW w:w="220" w:type="dxa"/>
            <w:vAlign w:val="bottom"/>
            <w:tcBorders>
              <w:bottom w:val="single" w:sz="8" w:color="CFF0FC"/>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4.51</w:t>
            </w:r>
          </w:p>
        </w:tc>
        <w:tc>
          <w:tcPr>
            <w:tcW w:w="28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860" w:type="dxa"/>
            <w:vAlign w:val="bottom"/>
            <w:shd w:val="clear" w:color="auto" w:fill="CFF0FC"/>
          </w:tcPr>
          <w:p>
            <w:pPr>
              <w:spacing w:after="0"/>
              <w:rPr>
                <w:sz w:val="20"/>
                <w:szCs w:val="20"/>
                <w:color w:val="auto"/>
              </w:rPr>
            </w:pPr>
            <w:r>
              <w:rPr>
                <w:rFonts w:ascii="Arial" w:cs="Arial" w:eastAsia="Arial" w:hAnsi="Arial"/>
                <w:sz w:val="16"/>
                <w:szCs w:val="16"/>
                <w:color w:val="auto"/>
              </w:rPr>
              <w:t>Allowance for credit losses</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02"/>
              <w:spacing w:after="0"/>
              <w:rPr>
                <w:sz w:val="20"/>
                <w:szCs w:val="20"/>
                <w:color w:val="auto"/>
              </w:rPr>
            </w:pPr>
            <w:r>
              <w:rPr>
                <w:rFonts w:ascii="Arial" w:cs="Arial" w:eastAsia="Arial" w:hAnsi="Arial"/>
                <w:sz w:val="16"/>
                <w:szCs w:val="16"/>
                <w:color w:val="auto"/>
              </w:rPr>
              <w:t>(1,191)</w:t>
            </w: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(1,040)</w:t>
            </w: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(1,034)</w:t>
            </w: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880" w:type="dxa"/>
            <w:vAlign w:val="bottom"/>
            <w:gridSpan w:val="2"/>
          </w:tcPr>
          <w:p>
            <w:pPr>
              <w:spacing w:after="0"/>
              <w:rPr>
                <w:sz w:val="20"/>
                <w:szCs w:val="20"/>
                <w:color w:val="auto"/>
              </w:rPr>
            </w:pPr>
            <w:r>
              <w:rPr>
                <w:rFonts w:ascii="Arial" w:cs="Arial" w:eastAsia="Arial" w:hAnsi="Arial"/>
                <w:sz w:val="16"/>
                <w:szCs w:val="16"/>
                <w:color w:val="auto"/>
              </w:rPr>
              <w:t>Cash and due from banks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1,298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1,298</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1,303</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860" w:type="dxa"/>
            <w:vAlign w:val="bottom"/>
            <w:shd w:val="clear" w:color="auto" w:fill="CFF0FC"/>
          </w:tcPr>
          <w:p>
            <w:pPr>
              <w:spacing w:after="0"/>
              <w:rPr>
                <w:sz w:val="20"/>
                <w:szCs w:val="20"/>
                <w:color w:val="auto"/>
              </w:rPr>
            </w:pPr>
            <w:r>
              <w:rPr>
                <w:rFonts w:ascii="Arial" w:cs="Arial" w:eastAsia="Arial" w:hAnsi="Arial"/>
                <w:sz w:val="16"/>
                <w:szCs w:val="16"/>
                <w:color w:val="auto"/>
              </w:rPr>
              <w:t>Other assets</w:t>
            </w: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12,252</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11,715</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11,476</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860" w:type="dxa"/>
            <w:vAlign w:val="bottom"/>
          </w:tcPr>
          <w:p>
            <w:pPr>
              <w:ind w:left="480"/>
              <w:spacing w:after="0"/>
              <w:rPr>
                <w:sz w:val="20"/>
                <w:szCs w:val="20"/>
                <w:color w:val="auto"/>
              </w:rPr>
            </w:pPr>
            <w:r>
              <w:rPr>
                <w:rFonts w:ascii="Arial" w:cs="Arial" w:eastAsia="Arial" w:hAnsi="Arial"/>
                <w:sz w:val="16"/>
                <w:szCs w:val="16"/>
                <w:color w:val="auto"/>
              </w:rPr>
              <w:t>Total assets</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w w:val="89"/>
              </w:rPr>
              <w:t>120,585</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122,554</w:t>
            </w: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120,388</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Liabilities and shareholders’ equity</w:t>
            </w:r>
          </w:p>
        </w:tc>
        <w:tc>
          <w:tcPr>
            <w:tcW w:w="1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68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62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78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c>
          <w:tcPr>
            <w:tcW w:w="58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76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62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880" w:type="dxa"/>
            <w:vAlign w:val="bottom"/>
            <w:gridSpan w:val="2"/>
          </w:tcPr>
          <w:p>
            <w:pPr>
              <w:spacing w:after="0"/>
              <w:rPr>
                <w:sz w:val="20"/>
                <w:szCs w:val="20"/>
                <w:color w:val="auto"/>
              </w:rPr>
            </w:pPr>
            <w:r>
              <w:rPr>
                <w:rFonts w:ascii="Arial" w:cs="Arial" w:eastAsia="Arial" w:hAnsi="Arial"/>
                <w:sz w:val="16"/>
                <w:szCs w:val="16"/>
                <w:color w:val="auto"/>
              </w:rPr>
              <w:t>Interest-bearing liabilities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860" w:type="dxa"/>
            <w:vAlign w:val="bottom"/>
            <w:shd w:val="clear" w:color="auto" w:fill="CFF0FC"/>
          </w:tcPr>
          <w:p>
            <w:pPr>
              <w:spacing w:after="0"/>
              <w:rPr>
                <w:sz w:val="20"/>
                <w:szCs w:val="20"/>
                <w:color w:val="auto"/>
              </w:rPr>
            </w:pPr>
            <w:r>
              <w:rPr>
                <w:rFonts w:ascii="Arial" w:cs="Arial" w:eastAsia="Arial" w:hAnsi="Arial"/>
                <w:sz w:val="16"/>
                <w:szCs w:val="16"/>
                <w:color w:val="auto"/>
              </w:rPr>
              <w:t>Interest-bearing deposits</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860" w:type="dxa"/>
            <w:vAlign w:val="bottom"/>
          </w:tcPr>
          <w:p>
            <w:pPr>
              <w:ind w:left="240"/>
              <w:spacing w:after="0"/>
              <w:rPr>
                <w:sz w:val="20"/>
                <w:szCs w:val="20"/>
                <w:color w:val="auto"/>
              </w:rPr>
            </w:pPr>
            <w:r>
              <w:rPr>
                <w:rFonts w:ascii="Arial" w:cs="Arial" w:eastAsia="Arial" w:hAnsi="Arial"/>
                <w:sz w:val="16"/>
                <w:szCs w:val="16"/>
                <w:color w:val="auto"/>
              </w:rPr>
              <w:t>Savings and interest-checking</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60" w:type="dxa"/>
            <w:vAlign w:val="bottom"/>
          </w:tcPr>
          <w:p>
            <w:pPr>
              <w:ind w:left="360"/>
              <w:spacing w:after="0"/>
              <w:rPr>
                <w:sz w:val="20"/>
                <w:szCs w:val="20"/>
                <w:color w:val="auto"/>
              </w:rPr>
            </w:pPr>
            <w:r>
              <w:rPr>
                <w:rFonts w:ascii="Arial" w:cs="Arial" w:eastAsia="Arial" w:hAnsi="Arial"/>
                <w:sz w:val="16"/>
                <w:szCs w:val="16"/>
                <w:color w:val="auto"/>
              </w:rPr>
              <w:t>deposits</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56,366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78,002</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.56</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57,103</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95,585</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.66</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55,680</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104,724</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.75</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8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Time deposits</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5,672</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21,872</w:t>
            </w: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1.55</w:t>
            </w: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6,015</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23,958</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1.58</w:t>
            </w: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6,343</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25,456</w:t>
            </w: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1.59</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860" w:type="dxa"/>
            <w:vAlign w:val="bottom"/>
            <w:tcBorders>
              <w:bottom w:val="single" w:sz="8" w:color="CFF0FC"/>
            </w:tcBorders>
          </w:tcPr>
          <w:p>
            <w:pPr>
              <w:ind w:left="240"/>
              <w:spacing w:after="0"/>
              <w:rPr>
                <w:sz w:val="20"/>
                <w:szCs w:val="20"/>
                <w:color w:val="auto"/>
              </w:rPr>
            </w:pPr>
            <w:r>
              <w:rPr>
                <w:rFonts w:ascii="Arial" w:cs="Arial" w:eastAsia="Arial" w:hAnsi="Arial"/>
                <w:sz w:val="16"/>
                <w:szCs w:val="16"/>
                <w:color w:val="auto"/>
              </w:rPr>
              <w:t>Deposits at Cayman Islands office</w:t>
            </w:r>
          </w:p>
        </w:tc>
        <w:tc>
          <w:tcPr>
            <w:tcW w:w="10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1,672</w:t>
            </w:r>
          </w:p>
        </w:tc>
        <w:tc>
          <w:tcPr>
            <w:tcW w:w="22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3,419</w:t>
            </w:r>
          </w:p>
        </w:tc>
        <w:tc>
          <w:tcPr>
            <w:tcW w:w="220" w:type="dxa"/>
            <w:vAlign w:val="bottom"/>
            <w:tcBorders>
              <w:bottom w:val="single" w:sz="8" w:color="CFF0FC"/>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w:t>
            </w:r>
          </w:p>
        </w:tc>
        <w:tc>
          <w:tcPr>
            <w:tcW w:w="280" w:type="dxa"/>
            <w:vAlign w:val="bottom"/>
            <w:tcBorders>
              <w:bottom w:val="single" w:sz="8" w:color="CFF0FC"/>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1,716</w:t>
            </w:r>
          </w:p>
        </w:tc>
        <w:tc>
          <w:tcPr>
            <w:tcW w:w="220" w:type="dxa"/>
            <w:vAlign w:val="bottom"/>
            <w:tcBorders>
              <w:bottom w:val="single" w:sz="8" w:color="CFF0FC"/>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4,922</w:t>
            </w:r>
          </w:p>
        </w:tc>
        <w:tc>
          <w:tcPr>
            <w:tcW w:w="200" w:type="dxa"/>
            <w:vAlign w:val="bottom"/>
            <w:tcBorders>
              <w:bottom w:val="single" w:sz="8" w:color="CFF0FC"/>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w:t>
            </w:r>
          </w:p>
        </w:tc>
        <w:tc>
          <w:tcPr>
            <w:tcW w:w="280" w:type="dxa"/>
            <w:vAlign w:val="bottom"/>
            <w:tcBorders>
              <w:bottom w:val="single" w:sz="8" w:color="CFF0FC"/>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1,522</w:t>
            </w:r>
          </w:p>
        </w:tc>
        <w:tc>
          <w:tcPr>
            <w:tcW w:w="22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6,218</w:t>
            </w:r>
          </w:p>
        </w:tc>
        <w:tc>
          <w:tcPr>
            <w:tcW w:w="220" w:type="dxa"/>
            <w:vAlign w:val="bottom"/>
            <w:tcBorders>
              <w:bottom w:val="single" w:sz="8" w:color="CFF0FC"/>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w:t>
            </w:r>
          </w:p>
        </w:tc>
        <w:tc>
          <w:tcPr>
            <w:tcW w:w="2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860" w:type="dxa"/>
            <w:vAlign w:val="bottom"/>
            <w:shd w:val="clear" w:color="auto" w:fill="CFF0FC"/>
          </w:tcPr>
          <w:p>
            <w:pPr>
              <w:ind w:left="480"/>
              <w:spacing w:after="0"/>
              <w:rPr>
                <w:sz w:val="20"/>
                <w:szCs w:val="20"/>
                <w:color w:val="auto"/>
              </w:rPr>
            </w:pPr>
            <w:r>
              <w:rPr>
                <w:rFonts w:ascii="Arial" w:cs="Arial" w:eastAsia="Arial" w:hAnsi="Arial"/>
                <w:sz w:val="16"/>
                <w:szCs w:val="16"/>
                <w:color w:val="auto"/>
              </w:rPr>
              <w:t>Total interest-bearing deposits</w:t>
            </w:r>
          </w:p>
        </w:tc>
        <w:tc>
          <w:tcPr>
            <w:tcW w:w="10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63,710</w:t>
            </w:r>
          </w:p>
        </w:tc>
        <w:tc>
          <w:tcPr>
            <w:tcW w:w="220" w:type="dxa"/>
            <w:vAlign w:val="bottom"/>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103,293</w:t>
            </w:r>
          </w:p>
        </w:tc>
        <w:tc>
          <w:tcPr>
            <w:tcW w:w="220" w:type="dxa"/>
            <w:vAlign w:val="bottom"/>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.65</w:t>
            </w:r>
          </w:p>
        </w:tc>
        <w:tc>
          <w:tcPr>
            <w:tcW w:w="280" w:type="dxa"/>
            <w:vAlign w:val="bottom"/>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64,834</w:t>
            </w:r>
          </w:p>
        </w:tc>
        <w:tc>
          <w:tcPr>
            <w:tcW w:w="220" w:type="dxa"/>
            <w:vAlign w:val="bottom"/>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124,465</w:t>
            </w:r>
          </w:p>
        </w:tc>
        <w:tc>
          <w:tcPr>
            <w:tcW w:w="200" w:type="dxa"/>
            <w:vAlign w:val="bottom"/>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.76</w:t>
            </w:r>
          </w:p>
        </w:tc>
        <w:tc>
          <w:tcPr>
            <w:tcW w:w="280" w:type="dxa"/>
            <w:vAlign w:val="bottom"/>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63,545</w:t>
            </w:r>
          </w:p>
        </w:tc>
        <w:tc>
          <w:tcPr>
            <w:tcW w:w="22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136,398</w:t>
            </w:r>
          </w:p>
        </w:tc>
        <w:tc>
          <w:tcPr>
            <w:tcW w:w="220" w:type="dxa"/>
            <w:vAlign w:val="bottom"/>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.85</w:t>
            </w: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880" w:type="dxa"/>
            <w:vAlign w:val="bottom"/>
            <w:gridSpan w:val="2"/>
          </w:tcPr>
          <w:p>
            <w:pPr>
              <w:spacing w:after="0"/>
              <w:rPr>
                <w:sz w:val="20"/>
                <w:szCs w:val="20"/>
                <w:color w:val="auto"/>
              </w:rPr>
            </w:pPr>
            <w:r>
              <w:rPr>
                <w:rFonts w:ascii="Arial" w:cs="Arial" w:eastAsia="Arial" w:hAnsi="Arial"/>
                <w:sz w:val="16"/>
                <w:szCs w:val="16"/>
                <w:color w:val="auto"/>
              </w:rPr>
              <w:t>Short-term borrowings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58</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23</w:t>
            </w: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.16</w:t>
            </w: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675</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3,168</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1.86</w:t>
            </w: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1,212</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6,967</w:t>
            </w: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2.28</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860" w:type="dxa"/>
            <w:vAlign w:val="bottom"/>
            <w:shd w:val="clear" w:color="auto" w:fill="CFF0FC"/>
          </w:tcPr>
          <w:p>
            <w:pPr>
              <w:spacing w:after="0"/>
              <w:rPr>
                <w:sz w:val="20"/>
                <w:szCs w:val="20"/>
                <w:color w:val="auto"/>
              </w:rPr>
            </w:pPr>
            <w:r>
              <w:rPr>
                <w:rFonts w:ascii="Arial" w:cs="Arial" w:eastAsia="Arial" w:hAnsi="Arial"/>
                <w:sz w:val="16"/>
                <w:szCs w:val="16"/>
                <w:color w:val="auto"/>
              </w:rPr>
              <w:t>Long-term borrowings</w:t>
            </w: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6,240</w:t>
            </w:r>
          </w:p>
        </w:tc>
        <w:tc>
          <w:tcPr>
            <w:tcW w:w="2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40,298</w:t>
            </w:r>
          </w:p>
        </w:tc>
        <w:tc>
          <w:tcPr>
            <w:tcW w:w="22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2.60</w:t>
            </w:r>
          </w:p>
        </w:tc>
        <w:tc>
          <w:tcPr>
            <w:tcW w:w="28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6,941</w:t>
            </w:r>
          </w:p>
        </w:tc>
        <w:tc>
          <w:tcPr>
            <w:tcW w:w="22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49,437</w:t>
            </w:r>
          </w:p>
        </w:tc>
        <w:tc>
          <w:tcPr>
            <w:tcW w:w="20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2.83</w:t>
            </w:r>
          </w:p>
        </w:tc>
        <w:tc>
          <w:tcPr>
            <w:tcW w:w="28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7,121</w:t>
            </w:r>
          </w:p>
        </w:tc>
        <w:tc>
          <w:tcPr>
            <w:tcW w:w="22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56,214</w:t>
            </w:r>
          </w:p>
        </w:tc>
        <w:tc>
          <w:tcPr>
            <w:tcW w:w="22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3.13</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860" w:type="dxa"/>
            <w:vAlign w:val="bottom"/>
            <w:tcBorders>
              <w:bottom w:val="single" w:sz="8" w:color="CFF0FC"/>
            </w:tcBorders>
          </w:tcPr>
          <w:p>
            <w:pPr>
              <w:ind w:left="480"/>
              <w:spacing w:after="0"/>
              <w:rPr>
                <w:sz w:val="20"/>
                <w:szCs w:val="20"/>
                <w:color w:val="auto"/>
              </w:rPr>
            </w:pPr>
            <w:r>
              <w:rPr>
                <w:rFonts w:ascii="Arial" w:cs="Arial" w:eastAsia="Arial" w:hAnsi="Arial"/>
                <w:sz w:val="16"/>
                <w:szCs w:val="16"/>
                <w:b w:val="1"/>
                <w:bCs w:val="1"/>
                <w:color w:val="auto"/>
                <w:w w:val="99"/>
              </w:rPr>
              <w:t>Total interest-bearing liabilities</w:t>
            </w:r>
          </w:p>
        </w:tc>
        <w:tc>
          <w:tcPr>
            <w:tcW w:w="10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70,008</w:t>
            </w:r>
          </w:p>
        </w:tc>
        <w:tc>
          <w:tcPr>
            <w:tcW w:w="220" w:type="dxa"/>
            <w:vAlign w:val="bottom"/>
            <w:tcBorders>
              <w:bottom w:val="single" w:sz="8" w:color="CFF0FC"/>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143,614</w:t>
            </w:r>
          </w:p>
        </w:tc>
        <w:tc>
          <w:tcPr>
            <w:tcW w:w="220" w:type="dxa"/>
            <w:vAlign w:val="bottom"/>
            <w:tcBorders>
              <w:bottom w:val="single" w:sz="8" w:color="CFF0FC"/>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0.83</w:t>
            </w:r>
          </w:p>
        </w:tc>
        <w:tc>
          <w:tcPr>
            <w:tcW w:w="280" w:type="dxa"/>
            <w:vAlign w:val="bottom"/>
            <w:tcBorders>
              <w:bottom w:val="single" w:sz="8" w:color="CFF0FC"/>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72,450</w:t>
            </w:r>
          </w:p>
        </w:tc>
        <w:tc>
          <w:tcPr>
            <w:tcW w:w="220" w:type="dxa"/>
            <w:vAlign w:val="bottom"/>
            <w:tcBorders>
              <w:bottom w:val="single" w:sz="8" w:color="CFF0FC"/>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177,070</w:t>
            </w:r>
          </w:p>
        </w:tc>
        <w:tc>
          <w:tcPr>
            <w:tcW w:w="200" w:type="dxa"/>
            <w:vAlign w:val="bottom"/>
            <w:tcBorders>
              <w:bottom w:val="single" w:sz="8" w:color="CFF0FC"/>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w:t>
            </w:r>
          </w:p>
        </w:tc>
        <w:tc>
          <w:tcPr>
            <w:tcW w:w="280" w:type="dxa"/>
            <w:vAlign w:val="bottom"/>
            <w:tcBorders>
              <w:bottom w:val="single" w:sz="8" w:color="CFF0FC"/>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71,878</w:t>
            </w:r>
          </w:p>
        </w:tc>
        <w:tc>
          <w:tcPr>
            <w:tcW w:w="220" w:type="dxa"/>
            <w:vAlign w:val="bottom"/>
            <w:tcBorders>
              <w:bottom w:val="single" w:sz="8" w:color="CFF0FC"/>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199,579</w:t>
            </w:r>
          </w:p>
        </w:tc>
        <w:tc>
          <w:tcPr>
            <w:tcW w:w="220" w:type="dxa"/>
            <w:vAlign w:val="bottom"/>
            <w:tcBorders>
              <w:bottom w:val="single" w:sz="8" w:color="CFF0FC"/>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w:t>
            </w:r>
          </w:p>
        </w:tc>
        <w:tc>
          <w:tcPr>
            <w:tcW w:w="28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860" w:type="dxa"/>
            <w:vAlign w:val="bottom"/>
            <w:shd w:val="clear" w:color="auto" w:fill="CFF0FC"/>
          </w:tcPr>
          <w:p>
            <w:pPr>
              <w:spacing w:after="0"/>
              <w:rPr>
                <w:sz w:val="20"/>
                <w:szCs w:val="20"/>
                <w:color w:val="auto"/>
              </w:rPr>
            </w:pPr>
            <w:r>
              <w:rPr>
                <w:rFonts w:ascii="Arial" w:cs="Arial" w:eastAsia="Arial" w:hAnsi="Arial"/>
                <w:sz w:val="16"/>
                <w:szCs w:val="16"/>
                <w:color w:val="auto"/>
              </w:rPr>
              <w:t>Noninterest-bearing deposits</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32,456</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32,069</w:t>
            </w: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30,550</w:t>
            </w: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880" w:type="dxa"/>
            <w:vAlign w:val="bottom"/>
            <w:gridSpan w:val="2"/>
          </w:tcPr>
          <w:p>
            <w:pPr>
              <w:spacing w:after="0"/>
              <w:rPr>
                <w:sz w:val="20"/>
                <w:szCs w:val="20"/>
                <w:color w:val="auto"/>
              </w:rPr>
            </w:pPr>
            <w:r>
              <w:rPr>
                <w:rFonts w:ascii="Arial" w:cs="Arial" w:eastAsia="Arial" w:hAnsi="Arial"/>
                <w:sz w:val="16"/>
                <w:szCs w:val="16"/>
                <w:color w:val="auto"/>
              </w:rPr>
              <w:t>Other liabilities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2,401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2,203</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2,123</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86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6"/>
                <w:szCs w:val="16"/>
                <w:color w:val="auto"/>
              </w:rPr>
              <w:t>Total liabilities</w:t>
            </w: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104,865</w:t>
            </w: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6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62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106,722</w:t>
            </w:r>
          </w:p>
        </w:tc>
        <w:tc>
          <w:tcPr>
            <w:tcW w:w="22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58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104,551</w:t>
            </w:r>
          </w:p>
        </w:tc>
        <w:tc>
          <w:tcPr>
            <w:tcW w:w="22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62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880" w:type="dxa"/>
            <w:vAlign w:val="bottom"/>
            <w:gridSpan w:val="2"/>
          </w:tcPr>
          <w:p>
            <w:pPr>
              <w:spacing w:after="0"/>
              <w:rPr>
                <w:sz w:val="20"/>
                <w:szCs w:val="20"/>
                <w:color w:val="auto"/>
              </w:rPr>
            </w:pPr>
            <w:r>
              <w:rPr>
                <w:rFonts w:ascii="Arial" w:cs="Arial" w:eastAsia="Arial" w:hAnsi="Arial"/>
                <w:sz w:val="16"/>
                <w:szCs w:val="16"/>
                <w:color w:val="auto"/>
              </w:rPr>
              <w:t>Shareholders’ equity</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15,720</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15,832</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15,837</w:t>
            </w: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6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6"/>
                <w:szCs w:val="16"/>
                <w:color w:val="auto"/>
              </w:rPr>
              <w:t>Total liabilities and</w:t>
            </w:r>
          </w:p>
        </w:tc>
        <w:tc>
          <w:tcPr>
            <w:tcW w:w="1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68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62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78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c>
          <w:tcPr>
            <w:tcW w:w="58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76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62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60" w:type="dxa"/>
            <w:vAlign w:val="bottom"/>
            <w:tcBorders>
              <w:bottom w:val="single" w:sz="8" w:color="CFF0FC"/>
            </w:tcBorders>
            <w:shd w:val="clear" w:color="auto" w:fill="CFF0FC"/>
          </w:tcPr>
          <w:p>
            <w:pPr>
              <w:ind w:left="640"/>
              <w:spacing w:after="0"/>
              <w:rPr>
                <w:sz w:val="20"/>
                <w:szCs w:val="20"/>
                <w:color w:val="auto"/>
              </w:rPr>
            </w:pPr>
            <w:r>
              <w:rPr>
                <w:rFonts w:ascii="Arial" w:cs="Arial" w:eastAsia="Arial" w:hAnsi="Arial"/>
                <w:sz w:val="16"/>
                <w:szCs w:val="16"/>
                <w:color w:val="auto"/>
              </w:rPr>
              <w:t>shareholders’ equity</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120,585</w:t>
            </w:r>
          </w:p>
        </w:tc>
        <w:tc>
          <w:tcPr>
            <w:tcW w:w="2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122,554</w:t>
            </w:r>
          </w:p>
        </w:tc>
        <w:tc>
          <w:tcPr>
            <w:tcW w:w="22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120,388</w:t>
            </w:r>
          </w:p>
        </w:tc>
        <w:tc>
          <w:tcPr>
            <w:tcW w:w="22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80" w:type="dxa"/>
            <w:vAlign w:val="bottom"/>
            <w:gridSpan w:val="2"/>
            <w:vMerge w:val="restart"/>
          </w:tcPr>
          <w:p>
            <w:pPr>
              <w:spacing w:after="0"/>
              <w:rPr>
                <w:sz w:val="20"/>
                <w:szCs w:val="20"/>
                <w:color w:val="auto"/>
              </w:rPr>
            </w:pPr>
            <w:r>
              <w:rPr>
                <w:rFonts w:ascii="Arial" w:cs="Arial" w:eastAsia="Arial" w:hAnsi="Arial"/>
                <w:sz w:val="16"/>
                <w:szCs w:val="16"/>
                <w:color w:val="auto"/>
              </w:rPr>
              <w:t>Net interest spread</w:t>
            </w: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3.35</w:t>
            </w:r>
          </w:p>
        </w:tc>
        <w:tc>
          <w:tcPr>
            <w:tcW w:w="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3.30</w:t>
            </w:r>
          </w:p>
        </w:tc>
        <w:tc>
          <w:tcPr>
            <w:tcW w:w="2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3.41</w:t>
            </w: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860" w:type="dxa"/>
            <w:vAlign w:val="bottom"/>
            <w:shd w:val="clear" w:color="auto" w:fill="CFF0FC"/>
          </w:tcPr>
          <w:p>
            <w:pPr>
              <w:spacing w:after="0"/>
              <w:rPr>
                <w:sz w:val="20"/>
                <w:szCs w:val="20"/>
                <w:color w:val="auto"/>
              </w:rPr>
            </w:pPr>
            <w:r>
              <w:rPr>
                <w:rFonts w:ascii="Arial" w:cs="Arial" w:eastAsia="Arial" w:hAnsi="Arial"/>
                <w:sz w:val="16"/>
                <w:szCs w:val="16"/>
                <w:color w:val="auto"/>
              </w:rPr>
              <w:t>Contribution of interest-free funds</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w:t>
            </w: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w:t>
            </w: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880" w:type="dxa"/>
            <w:vAlign w:val="bottom"/>
            <w:gridSpan w:val="2"/>
          </w:tcPr>
          <w:p>
            <w:pPr>
              <w:spacing w:after="0"/>
              <w:rPr>
                <w:sz w:val="20"/>
                <w:szCs w:val="20"/>
                <w:color w:val="auto"/>
              </w:rPr>
            </w:pPr>
            <w:r>
              <w:rPr>
                <w:rFonts w:ascii="Arial" w:cs="Arial" w:eastAsia="Arial" w:hAnsi="Arial"/>
                <w:sz w:val="16"/>
                <w:szCs w:val="16"/>
                <w:color w:val="auto"/>
              </w:rPr>
              <w:t>Net interest income/margin on</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60" w:type="dxa"/>
            <w:vAlign w:val="bottom"/>
          </w:tcPr>
          <w:p>
            <w:pPr>
              <w:ind w:left="140"/>
              <w:spacing w:after="0"/>
              <w:rPr>
                <w:sz w:val="20"/>
                <w:szCs w:val="20"/>
                <w:color w:val="auto"/>
              </w:rPr>
            </w:pPr>
            <w:r>
              <w:rPr>
                <w:rFonts w:ascii="Arial" w:cs="Arial" w:eastAsia="Arial" w:hAnsi="Arial"/>
                <w:sz w:val="16"/>
                <w:szCs w:val="16"/>
                <w:color w:val="auto"/>
              </w:rPr>
              <w:t>earning assets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981,868</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3.65</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1,014,225</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3.64</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1,035,469</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3.78</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7" w:lineRule="exact"/>
        <w:rPr>
          <w:sz w:val="20"/>
          <w:szCs w:val="20"/>
          <w:color w:val="auto"/>
        </w:rPr>
      </w:pPr>
    </w:p>
    <w:p>
      <w:pPr>
        <w:ind w:left="500" w:hanging="492"/>
        <w:spacing w:after="0"/>
        <w:tabs>
          <w:tab w:leader="none" w:pos="500"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Includes nonaccrual loans.</w:t>
      </w:r>
    </w:p>
    <w:p>
      <w:pPr>
        <w:spacing w:after="0" w:line="23" w:lineRule="exact"/>
        <w:rPr>
          <w:rFonts w:ascii="Arial" w:cs="Arial" w:eastAsia="Arial" w:hAnsi="Arial"/>
          <w:sz w:val="18"/>
          <w:szCs w:val="18"/>
          <w:i w:val="1"/>
          <w:iCs w:val="1"/>
          <w:color w:val="auto"/>
        </w:rPr>
      </w:pPr>
    </w:p>
    <w:p>
      <w:pPr>
        <w:ind w:left="500" w:hanging="492"/>
        <w:spacing w:after="0"/>
        <w:tabs>
          <w:tab w:leader="none" w:pos="500"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Includes available-for-sale securities at amortized cost.</w:t>
      </w:r>
    </w:p>
    <w:p>
      <w:pPr>
        <w:spacing w:after="0" w:line="1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79" w:name="page80"/>
    <w:bookmarkEnd w:id="79"/>
    <w:p>
      <w:pPr>
        <w:jc w:val="center"/>
        <w:spacing w:after="0"/>
        <w:rPr>
          <w:sz w:val="20"/>
          <w:szCs w:val="20"/>
          <w:color w:val="auto"/>
        </w:rPr>
      </w:pPr>
      <w:r>
        <w:rPr>
          <w:rFonts w:ascii="Arial" w:cs="Arial" w:eastAsia="Arial" w:hAnsi="Arial"/>
          <w:sz w:val="20"/>
          <w:szCs w:val="20"/>
          <w:color w:val="auto"/>
        </w:rPr>
        <w:t>M&amp;T BANK CORPORATION AND SUBSIDIARIES</w:t>
      </w:r>
    </w:p>
    <w:p>
      <w:pPr>
        <w:spacing w:after="0" w:line="10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Table 3 (continued)</w:t>
      </w:r>
    </w:p>
    <w:p>
      <w:pPr>
        <w:spacing w:after="0" w:line="107" w:lineRule="exact"/>
        <w:rPr>
          <w:sz w:val="20"/>
          <w:szCs w:val="20"/>
          <w:color w:val="auto"/>
        </w:rPr>
      </w:pPr>
    </w:p>
    <w:p>
      <w:pPr>
        <w:spacing w:after="0"/>
        <w:rPr>
          <w:sz w:val="20"/>
          <w:szCs w:val="20"/>
          <w:color w:val="auto"/>
        </w:rPr>
      </w:pPr>
      <w:r>
        <w:rPr>
          <w:rFonts w:ascii="Arial" w:cs="Arial" w:eastAsia="Arial" w:hAnsi="Arial"/>
          <w:sz w:val="20"/>
          <w:szCs w:val="20"/>
          <w:color w:val="auto"/>
        </w:rPr>
        <w:t>AVERAGE BALANCE SHEETS AND ANNUALIZED TAXABLE-EQUIVALENT RATES (continued)</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restart"/>
          </w:tcPr>
          <w:p>
            <w:pPr>
              <w:jc w:val="right"/>
              <w:ind w:right="40"/>
              <w:spacing w:after="0"/>
              <w:rPr>
                <w:sz w:val="20"/>
                <w:szCs w:val="20"/>
                <w:color w:val="auto"/>
              </w:rPr>
            </w:pPr>
            <w:r>
              <w:rPr>
                <w:rFonts w:ascii="Arial" w:cs="Arial" w:eastAsia="Arial" w:hAnsi="Arial"/>
                <w:sz w:val="14"/>
                <w:szCs w:val="14"/>
                <w:b w:val="1"/>
                <w:bCs w:val="1"/>
                <w:color w:val="auto"/>
                <w:w w:val="86"/>
              </w:rPr>
              <w:t>Average</w:t>
            </w:r>
          </w:p>
        </w:tc>
        <w:tc>
          <w:tcPr>
            <w:tcW w:w="13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2019 Second Quarter</w:t>
            </w:r>
          </w:p>
        </w:tc>
        <w:tc>
          <w:tcPr>
            <w:tcW w:w="720" w:type="dxa"/>
            <w:vAlign w:val="bottom"/>
            <w:vMerge w:val="restart"/>
          </w:tcPr>
          <w:p>
            <w:pPr>
              <w:jc w:val="right"/>
              <w:ind w:right="40"/>
              <w:spacing w:after="0"/>
              <w:rPr>
                <w:sz w:val="20"/>
                <w:szCs w:val="20"/>
                <w:color w:val="auto"/>
              </w:rPr>
            </w:pPr>
            <w:r>
              <w:rPr>
                <w:rFonts w:ascii="Arial" w:cs="Arial" w:eastAsia="Arial" w:hAnsi="Arial"/>
                <w:sz w:val="14"/>
                <w:szCs w:val="14"/>
                <w:b w:val="1"/>
                <w:bCs w:val="1"/>
                <w:color w:val="auto"/>
              </w:rPr>
              <w:t>Average</w:t>
            </w:r>
          </w:p>
        </w:tc>
        <w:tc>
          <w:tcPr>
            <w:tcW w:w="320" w:type="dxa"/>
            <w:vAlign w:val="bottom"/>
          </w:tcPr>
          <w:p>
            <w:pPr>
              <w:spacing w:after="0"/>
              <w:rPr>
                <w:sz w:val="16"/>
                <w:szCs w:val="16"/>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Average</w:t>
            </w:r>
          </w:p>
        </w:tc>
        <w:tc>
          <w:tcPr>
            <w:tcW w:w="13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6"/>
              </w:rPr>
              <w:t>2019 First Quarter</w:t>
            </w:r>
          </w:p>
        </w:tc>
        <w:tc>
          <w:tcPr>
            <w:tcW w:w="720" w:type="dxa"/>
            <w:vAlign w:val="bottom"/>
            <w:vMerge w:val="restart"/>
          </w:tcPr>
          <w:p>
            <w:pPr>
              <w:jc w:val="right"/>
              <w:ind w:right="40"/>
              <w:spacing w:after="0"/>
              <w:rPr>
                <w:sz w:val="20"/>
                <w:szCs w:val="20"/>
                <w:color w:val="auto"/>
              </w:rPr>
            </w:pPr>
            <w:r>
              <w:rPr>
                <w:rFonts w:ascii="Arial" w:cs="Arial" w:eastAsia="Arial" w:hAnsi="Arial"/>
                <w:sz w:val="14"/>
                <w:szCs w:val="14"/>
                <w:b w:val="1"/>
                <w:bCs w:val="1"/>
                <w:color w:val="auto"/>
              </w:rPr>
              <w:t>Average</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4"/>
              </w:rPr>
              <w:t>Interest</w:t>
            </w:r>
          </w:p>
        </w:tc>
        <w:tc>
          <w:tcPr>
            <w:tcW w:w="7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Interest</w:t>
            </w:r>
          </w:p>
        </w:tc>
        <w:tc>
          <w:tcPr>
            <w:tcW w:w="72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40"/>
              <w:spacing w:after="0"/>
              <w:rPr>
                <w:sz w:val="20"/>
                <w:szCs w:val="20"/>
                <w:color w:val="auto"/>
              </w:rPr>
            </w:pPr>
            <w:r>
              <w:rPr>
                <w:rFonts w:ascii="Arial" w:cs="Arial" w:eastAsia="Arial" w:hAnsi="Arial"/>
                <w:sz w:val="14"/>
                <w:szCs w:val="14"/>
                <w:b w:val="1"/>
                <w:bCs w:val="1"/>
                <w:color w:val="auto"/>
                <w:w w:val="89"/>
              </w:rPr>
              <w:t>Balance</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720" w:type="dxa"/>
            <w:vAlign w:val="bottom"/>
          </w:tcPr>
          <w:p>
            <w:pPr>
              <w:jc w:val="right"/>
              <w:ind w:right="140"/>
              <w:spacing w:after="0"/>
              <w:rPr>
                <w:sz w:val="20"/>
                <w:szCs w:val="20"/>
                <w:color w:val="auto"/>
              </w:rPr>
            </w:pPr>
            <w:r>
              <w:rPr>
                <w:rFonts w:ascii="Arial" w:cs="Arial" w:eastAsia="Arial" w:hAnsi="Arial"/>
                <w:sz w:val="14"/>
                <w:szCs w:val="14"/>
                <w:b w:val="1"/>
                <w:bCs w:val="1"/>
                <w:color w:val="auto"/>
              </w:rPr>
              <w:t>Rate</w:t>
            </w:r>
          </w:p>
        </w:tc>
        <w:tc>
          <w:tcPr>
            <w:tcW w:w="32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Balance</w:t>
            </w:r>
          </w:p>
        </w:tc>
        <w:tc>
          <w:tcPr>
            <w:tcW w:w="2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720" w:type="dxa"/>
            <w:vAlign w:val="bottom"/>
          </w:tcPr>
          <w:p>
            <w:pPr>
              <w:jc w:val="right"/>
              <w:ind w:right="140"/>
              <w:spacing w:after="0"/>
              <w:rPr>
                <w:sz w:val="20"/>
                <w:szCs w:val="20"/>
                <w:color w:val="auto"/>
              </w:rPr>
            </w:pPr>
            <w:r>
              <w:rPr>
                <w:rFonts w:ascii="Arial" w:cs="Arial" w:eastAsia="Arial" w:hAnsi="Arial"/>
                <w:sz w:val="14"/>
                <w:szCs w:val="14"/>
                <w:b w:val="1"/>
                <w:bCs w:val="1"/>
                <w:color w:val="auto"/>
              </w:rPr>
              <w:t>Rate</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72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b w:val="1"/>
                <w:bCs w:val="1"/>
                <w:i w:val="1"/>
                <w:iCs w:val="1"/>
                <w:color w:val="auto"/>
              </w:rPr>
              <w:t>Average balance in millions; interest in thousands</w:t>
            </w:r>
          </w:p>
        </w:tc>
        <w:tc>
          <w:tcPr>
            <w:tcW w:w="2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4740" w:type="dxa"/>
            <w:vAlign w:val="bottom"/>
            <w:gridSpan w:val="2"/>
          </w:tcPr>
          <w:p>
            <w:pPr>
              <w:spacing w:after="0"/>
              <w:rPr>
                <w:sz w:val="20"/>
                <w:szCs w:val="20"/>
                <w:color w:val="auto"/>
              </w:rPr>
            </w:pPr>
            <w:r>
              <w:rPr>
                <w:rFonts w:ascii="Arial" w:cs="Arial" w:eastAsia="Arial" w:hAnsi="Arial"/>
                <w:sz w:val="16"/>
                <w:szCs w:val="16"/>
                <w:b w:val="1"/>
                <w:bCs w:val="1"/>
                <w:color w:val="auto"/>
              </w:rPr>
              <w:t>Assets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720" w:type="dxa"/>
            <w:vAlign w:val="bottom"/>
            <w:shd w:val="clear" w:color="auto" w:fill="CFF0FC"/>
          </w:tcPr>
          <w:p>
            <w:pPr>
              <w:spacing w:after="0"/>
              <w:rPr>
                <w:sz w:val="20"/>
                <w:szCs w:val="20"/>
                <w:color w:val="auto"/>
              </w:rPr>
            </w:pPr>
            <w:r>
              <w:rPr>
                <w:rFonts w:ascii="Arial" w:cs="Arial" w:eastAsia="Arial" w:hAnsi="Arial"/>
                <w:sz w:val="16"/>
                <w:szCs w:val="16"/>
                <w:color w:val="auto"/>
              </w:rPr>
              <w:t>Earning assets</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740" w:type="dxa"/>
            <w:vAlign w:val="bottom"/>
            <w:gridSpan w:val="2"/>
          </w:tcPr>
          <w:p>
            <w:pPr>
              <w:spacing w:after="0"/>
              <w:rPr>
                <w:sz w:val="20"/>
                <w:szCs w:val="20"/>
                <w:color w:val="auto"/>
              </w:rPr>
            </w:pPr>
            <w:r>
              <w:rPr>
                <w:rFonts w:ascii="Arial" w:cs="Arial" w:eastAsia="Arial" w:hAnsi="Arial"/>
                <w:sz w:val="16"/>
                <w:szCs w:val="16"/>
                <w:color w:val="auto"/>
              </w:rPr>
              <w:t>Loans and leases, net of unearned</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20" w:type="dxa"/>
            <w:vAlign w:val="bottom"/>
          </w:tcPr>
          <w:p>
            <w:pPr>
              <w:ind w:left="140"/>
              <w:spacing w:after="0"/>
              <w:rPr>
                <w:sz w:val="20"/>
                <w:szCs w:val="20"/>
                <w:color w:val="auto"/>
              </w:rPr>
            </w:pPr>
            <w:r>
              <w:rPr>
                <w:rFonts w:ascii="Arial" w:cs="Arial" w:eastAsia="Arial" w:hAnsi="Arial"/>
                <w:sz w:val="16"/>
                <w:szCs w:val="16"/>
                <w:color w:val="auto"/>
              </w:rPr>
              <w:t>discount (a)</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7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Commercial, financial, etc.</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23,335</w:t>
            </w:r>
          </w:p>
        </w:tc>
        <w:tc>
          <w:tcPr>
            <w:tcW w:w="4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288,914</w:t>
            </w: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4.97</w:t>
            </w: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23,010</w:t>
            </w: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287,676</w:t>
            </w: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5.07</w:t>
            </w:r>
          </w:p>
        </w:tc>
        <w:tc>
          <w:tcPr>
            <w:tcW w:w="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20" w:type="dxa"/>
            <w:vAlign w:val="bottom"/>
          </w:tcPr>
          <w:p>
            <w:pPr>
              <w:ind w:left="240"/>
              <w:spacing w:after="0"/>
              <w:rPr>
                <w:sz w:val="20"/>
                <w:szCs w:val="20"/>
                <w:color w:val="auto"/>
              </w:rPr>
            </w:pPr>
            <w:r>
              <w:rPr>
                <w:rFonts w:ascii="Arial" w:cs="Arial" w:eastAsia="Arial" w:hAnsi="Arial"/>
                <w:sz w:val="16"/>
                <w:szCs w:val="16"/>
                <w:color w:val="auto"/>
              </w:rPr>
              <w:t>Real estate – commercial</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34,768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465,911</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5.30</w:t>
            </w: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34,524</w:t>
            </w:r>
          </w:p>
        </w:tc>
        <w:tc>
          <w:tcPr>
            <w:tcW w:w="1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461,050</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5.34</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7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Real estate – consumer</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16,723</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179,218</w:t>
            </w: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4.29</w:t>
            </w: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16,939</w:t>
            </w: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184,868</w:t>
            </w: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4.37</w:t>
            </w: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20" w:type="dxa"/>
            <w:vAlign w:val="bottom"/>
            <w:tcBorders>
              <w:bottom w:val="single" w:sz="8" w:color="CFF0FC"/>
            </w:tcBorders>
          </w:tcPr>
          <w:p>
            <w:pPr>
              <w:ind w:left="240"/>
              <w:spacing w:after="0"/>
              <w:rPr>
                <w:sz w:val="20"/>
                <w:szCs w:val="20"/>
                <w:color w:val="auto"/>
              </w:rPr>
            </w:pPr>
            <w:r>
              <w:rPr>
                <w:rFonts w:ascii="Arial" w:cs="Arial" w:eastAsia="Arial" w:hAnsi="Arial"/>
                <w:sz w:val="16"/>
                <w:szCs w:val="16"/>
                <w:color w:val="auto"/>
              </w:rPr>
              <w:t>Consumer</w:t>
            </w:r>
          </w:p>
        </w:tc>
        <w:tc>
          <w:tcPr>
            <w:tcW w:w="20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14,324</w:t>
            </w:r>
          </w:p>
        </w:tc>
        <w:tc>
          <w:tcPr>
            <w:tcW w:w="30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197,418</w:t>
            </w:r>
          </w:p>
        </w:tc>
        <w:tc>
          <w:tcPr>
            <w:tcW w:w="30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5.53</w:t>
            </w:r>
          </w:p>
        </w:tc>
        <w:tc>
          <w:tcPr>
            <w:tcW w:w="320" w:type="dxa"/>
            <w:vAlign w:val="bottom"/>
            <w:tcBorders>
              <w:bottom w:val="single" w:sz="8" w:color="CFF0FC"/>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14,004</w:t>
            </w:r>
          </w:p>
        </w:tc>
        <w:tc>
          <w:tcPr>
            <w:tcW w:w="10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190,193</w:t>
            </w:r>
          </w:p>
        </w:tc>
        <w:tc>
          <w:tcPr>
            <w:tcW w:w="32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5.51</w:t>
            </w:r>
          </w:p>
        </w:tc>
        <w:tc>
          <w:tcPr>
            <w:tcW w:w="3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720" w:type="dxa"/>
            <w:vAlign w:val="bottom"/>
            <w:shd w:val="clear" w:color="auto" w:fill="CFF0FC"/>
          </w:tcPr>
          <w:p>
            <w:pPr>
              <w:ind w:left="480"/>
              <w:spacing w:after="0"/>
              <w:rPr>
                <w:sz w:val="20"/>
                <w:szCs w:val="20"/>
                <w:color w:val="auto"/>
              </w:rPr>
            </w:pPr>
            <w:r>
              <w:rPr>
                <w:rFonts w:ascii="Arial" w:cs="Arial" w:eastAsia="Arial" w:hAnsi="Arial"/>
                <w:sz w:val="16"/>
                <w:szCs w:val="16"/>
                <w:color w:val="auto"/>
              </w:rPr>
              <w:t>Total loans and leases, net</w:t>
            </w:r>
          </w:p>
        </w:tc>
        <w:tc>
          <w:tcPr>
            <w:tcW w:w="20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89,150</w:t>
            </w:r>
          </w:p>
        </w:tc>
        <w:tc>
          <w:tcPr>
            <w:tcW w:w="30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1,131,461</w:t>
            </w:r>
          </w:p>
        </w:tc>
        <w:tc>
          <w:tcPr>
            <w:tcW w:w="30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5.09</w:t>
            </w:r>
          </w:p>
        </w:tc>
        <w:tc>
          <w:tcPr>
            <w:tcW w:w="320" w:type="dxa"/>
            <w:vAlign w:val="bottom"/>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88,477</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1,123,787</w:t>
            </w:r>
          </w:p>
        </w:tc>
        <w:tc>
          <w:tcPr>
            <w:tcW w:w="32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5.15</w:t>
            </w:r>
          </w:p>
        </w:tc>
        <w:tc>
          <w:tcPr>
            <w:tcW w:w="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740" w:type="dxa"/>
            <w:vAlign w:val="bottom"/>
            <w:gridSpan w:val="2"/>
          </w:tcPr>
          <w:p>
            <w:pPr>
              <w:spacing w:after="0"/>
              <w:rPr>
                <w:sz w:val="20"/>
                <w:szCs w:val="20"/>
                <w:color w:val="auto"/>
              </w:rPr>
            </w:pPr>
            <w:r>
              <w:rPr>
                <w:rFonts w:ascii="Arial" w:cs="Arial" w:eastAsia="Arial" w:hAnsi="Arial"/>
                <w:sz w:val="16"/>
                <w:szCs w:val="16"/>
                <w:color w:val="auto"/>
              </w:rPr>
              <w:t>Interest-bearing deposits at banks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6,122</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36,325</w:t>
            </w:r>
          </w:p>
        </w:tc>
        <w:tc>
          <w:tcPr>
            <w:tcW w:w="3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2.38</w:t>
            </w:r>
          </w:p>
        </w:tc>
        <w:tc>
          <w:tcPr>
            <w:tcW w:w="3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4,605</w:t>
            </w:r>
          </w:p>
        </w:tc>
        <w:tc>
          <w:tcPr>
            <w:tcW w:w="10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27,407</w:t>
            </w:r>
          </w:p>
        </w:tc>
        <w:tc>
          <w:tcPr>
            <w:tcW w:w="3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2.41</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20" w:type="dxa"/>
            <w:vAlign w:val="bottom"/>
            <w:shd w:val="clear" w:color="auto" w:fill="CFF0FC"/>
          </w:tcPr>
          <w:p>
            <w:pPr>
              <w:spacing w:after="0"/>
              <w:rPr>
                <w:sz w:val="20"/>
                <w:szCs w:val="20"/>
                <w:color w:val="auto"/>
              </w:rPr>
            </w:pPr>
            <w:r>
              <w:rPr>
                <w:rFonts w:ascii="Arial" w:cs="Arial" w:eastAsia="Arial" w:hAnsi="Arial"/>
                <w:sz w:val="16"/>
                <w:szCs w:val="16"/>
                <w:color w:val="auto"/>
              </w:rPr>
              <w:t>Federal funds sold and agreements</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720" w:type="dxa"/>
            <w:vAlign w:val="bottom"/>
            <w:shd w:val="clear" w:color="auto" w:fill="CFF0FC"/>
          </w:tcPr>
          <w:p>
            <w:pPr>
              <w:ind w:left="100"/>
              <w:spacing w:after="0"/>
              <w:rPr>
                <w:sz w:val="20"/>
                <w:szCs w:val="20"/>
                <w:color w:val="auto"/>
              </w:rPr>
            </w:pPr>
            <w:r>
              <w:rPr>
                <w:rFonts w:ascii="Arial" w:cs="Arial" w:eastAsia="Arial" w:hAnsi="Arial"/>
                <w:sz w:val="16"/>
                <w:szCs w:val="16"/>
                <w:color w:val="auto"/>
              </w:rPr>
              <w:t>to resell securities</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3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2.83</w:t>
            </w:r>
          </w:p>
        </w:tc>
        <w:tc>
          <w:tcPr>
            <w:tcW w:w="32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3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2.84</w:t>
            </w:r>
          </w:p>
        </w:tc>
        <w:tc>
          <w:tcPr>
            <w:tcW w:w="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40" w:type="dxa"/>
            <w:vAlign w:val="bottom"/>
            <w:gridSpan w:val="2"/>
          </w:tcPr>
          <w:p>
            <w:pPr>
              <w:spacing w:after="0"/>
              <w:rPr>
                <w:sz w:val="20"/>
                <w:szCs w:val="20"/>
                <w:color w:val="auto"/>
              </w:rPr>
            </w:pPr>
            <w:r>
              <w:rPr>
                <w:rFonts w:ascii="Arial" w:cs="Arial" w:eastAsia="Arial" w:hAnsi="Arial"/>
                <w:sz w:val="16"/>
                <w:szCs w:val="16"/>
                <w:color w:val="auto"/>
              </w:rPr>
              <w:t>Trading account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372</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2.20</w:t>
            </w: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556</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3.40</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720" w:type="dxa"/>
            <w:vAlign w:val="bottom"/>
            <w:shd w:val="clear" w:color="auto" w:fill="CFF0FC"/>
          </w:tcPr>
          <w:p>
            <w:pPr>
              <w:spacing w:after="0"/>
              <w:rPr>
                <w:sz w:val="20"/>
                <w:szCs w:val="20"/>
                <w:color w:val="auto"/>
              </w:rPr>
            </w:pPr>
            <w:r>
              <w:rPr>
                <w:rFonts w:ascii="Arial" w:cs="Arial" w:eastAsia="Arial" w:hAnsi="Arial"/>
                <w:sz w:val="16"/>
                <w:szCs w:val="16"/>
                <w:color w:val="auto"/>
              </w:rPr>
              <w:t>Investment securities (b)</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20" w:type="dxa"/>
            <w:vAlign w:val="bottom"/>
          </w:tcPr>
          <w:p>
            <w:pPr>
              <w:ind w:left="240"/>
              <w:spacing w:after="0"/>
              <w:rPr>
                <w:sz w:val="20"/>
                <w:szCs w:val="20"/>
                <w:color w:val="auto"/>
              </w:rPr>
            </w:pPr>
            <w:r>
              <w:rPr>
                <w:rFonts w:ascii="Arial" w:cs="Arial" w:eastAsia="Arial" w:hAnsi="Arial"/>
                <w:sz w:val="16"/>
                <w:szCs w:val="16"/>
                <w:color w:val="auto"/>
              </w:rPr>
              <w:t>U.S. Treasury and federal agencies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11,364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68,755</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2.43</w:t>
            </w: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12,151</w:t>
            </w:r>
          </w:p>
        </w:tc>
        <w:tc>
          <w:tcPr>
            <w:tcW w:w="1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72,967</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2.44</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7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Obligations of states and political subdivisions</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w:t>
            </w: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5.11</w:t>
            </w: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67</w:t>
            </w: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3.25</w:t>
            </w: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20" w:type="dxa"/>
            <w:vAlign w:val="bottom"/>
            <w:tcBorders>
              <w:bottom w:val="single" w:sz="8" w:color="CFF0FC"/>
            </w:tcBorders>
          </w:tcPr>
          <w:p>
            <w:pPr>
              <w:ind w:left="24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799</w:t>
            </w:r>
          </w:p>
        </w:tc>
        <w:tc>
          <w:tcPr>
            <w:tcW w:w="30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6,827</w:t>
            </w:r>
          </w:p>
        </w:tc>
        <w:tc>
          <w:tcPr>
            <w:tcW w:w="30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w:t>
            </w:r>
          </w:p>
        </w:tc>
        <w:tc>
          <w:tcPr>
            <w:tcW w:w="320" w:type="dxa"/>
            <w:vAlign w:val="bottom"/>
            <w:tcBorders>
              <w:bottom w:val="single" w:sz="8" w:color="CFF0FC"/>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790</w:t>
            </w:r>
          </w:p>
        </w:tc>
        <w:tc>
          <w:tcPr>
            <w:tcW w:w="10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7,488</w:t>
            </w:r>
          </w:p>
        </w:tc>
        <w:tc>
          <w:tcPr>
            <w:tcW w:w="32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3.84</w:t>
            </w:r>
          </w:p>
        </w:tc>
        <w:tc>
          <w:tcPr>
            <w:tcW w:w="3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720" w:type="dxa"/>
            <w:vAlign w:val="bottom"/>
            <w:shd w:val="clear" w:color="auto" w:fill="CFF0FC"/>
          </w:tcPr>
          <w:p>
            <w:pPr>
              <w:ind w:left="480"/>
              <w:spacing w:after="0"/>
              <w:rPr>
                <w:sz w:val="20"/>
                <w:szCs w:val="20"/>
                <w:color w:val="auto"/>
              </w:rPr>
            </w:pPr>
            <w:r>
              <w:rPr>
                <w:rFonts w:ascii="Arial" w:cs="Arial" w:eastAsia="Arial" w:hAnsi="Arial"/>
                <w:sz w:val="16"/>
                <w:szCs w:val="16"/>
                <w:color w:val="auto"/>
              </w:rPr>
              <w:t>Total investment securities</w:t>
            </w:r>
          </w:p>
        </w:tc>
        <w:tc>
          <w:tcPr>
            <w:tcW w:w="20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12,170</w:t>
            </w:r>
          </w:p>
        </w:tc>
        <w:tc>
          <w:tcPr>
            <w:tcW w:w="30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75,675</w:t>
            </w:r>
          </w:p>
        </w:tc>
        <w:tc>
          <w:tcPr>
            <w:tcW w:w="30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2.49</w:t>
            </w:r>
          </w:p>
        </w:tc>
        <w:tc>
          <w:tcPr>
            <w:tcW w:w="320" w:type="dxa"/>
            <w:vAlign w:val="bottom"/>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12,949</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80,522</w:t>
            </w:r>
          </w:p>
        </w:tc>
        <w:tc>
          <w:tcPr>
            <w:tcW w:w="32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2.52</w:t>
            </w:r>
          </w:p>
        </w:tc>
        <w:tc>
          <w:tcPr>
            <w:tcW w:w="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720" w:type="dxa"/>
            <w:vAlign w:val="bottom"/>
            <w:tcBorders>
              <w:bottom w:val="single" w:sz="8" w:color="CFF0FC"/>
            </w:tcBorders>
          </w:tcPr>
          <w:p>
            <w:pPr>
              <w:ind w:left="480"/>
              <w:spacing w:after="0"/>
              <w:rPr>
                <w:sz w:val="20"/>
                <w:szCs w:val="20"/>
                <w:color w:val="auto"/>
              </w:rPr>
            </w:pPr>
            <w:r>
              <w:rPr>
                <w:rFonts w:ascii="Arial" w:cs="Arial" w:eastAsia="Arial" w:hAnsi="Arial"/>
                <w:sz w:val="16"/>
                <w:szCs w:val="16"/>
                <w:b w:val="1"/>
                <w:bCs w:val="1"/>
                <w:color w:val="auto"/>
              </w:rPr>
              <w:t>Total earning assets</w:t>
            </w:r>
          </w:p>
        </w:tc>
        <w:tc>
          <w:tcPr>
            <w:tcW w:w="20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107,511</w:t>
            </w:r>
          </w:p>
        </w:tc>
        <w:tc>
          <w:tcPr>
            <w:tcW w:w="30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1,243,838</w:t>
            </w:r>
          </w:p>
        </w:tc>
        <w:tc>
          <w:tcPr>
            <w:tcW w:w="300" w:type="dxa"/>
            <w:vAlign w:val="bottom"/>
            <w:tcBorders>
              <w:bottom w:val="single" w:sz="8" w:color="CFF0FC"/>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4.64</w:t>
            </w:r>
          </w:p>
        </w:tc>
        <w:tc>
          <w:tcPr>
            <w:tcW w:w="320" w:type="dxa"/>
            <w:vAlign w:val="bottom"/>
            <w:tcBorders>
              <w:bottom w:val="single" w:sz="8" w:color="CFF0FC"/>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106,096</w:t>
            </w:r>
          </w:p>
        </w:tc>
        <w:tc>
          <w:tcPr>
            <w:tcW w:w="100" w:type="dxa"/>
            <w:vAlign w:val="bottom"/>
            <w:tcBorders>
              <w:bottom w:val="single" w:sz="8" w:color="CFF0FC"/>
            </w:tcBorders>
          </w:tcPr>
          <w:p>
            <w:pPr>
              <w:spacing w:after="0"/>
              <w:rPr>
                <w:sz w:val="17"/>
                <w:szCs w:val="17"/>
                <w:color w:val="auto"/>
              </w:rPr>
            </w:pPr>
          </w:p>
        </w:tc>
        <w:tc>
          <w:tcPr>
            <w:tcW w:w="220" w:type="dxa"/>
            <w:vAlign w:val="bottom"/>
            <w:tcBorders>
              <w:bottom w:val="single" w:sz="8" w:color="CFF0FC"/>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1,232,276</w:t>
            </w:r>
          </w:p>
        </w:tc>
        <w:tc>
          <w:tcPr>
            <w:tcW w:w="320" w:type="dxa"/>
            <w:vAlign w:val="bottom"/>
            <w:tcBorders>
              <w:bottom w:val="single" w:sz="8" w:color="CFF0FC"/>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4.71</w:t>
            </w:r>
          </w:p>
        </w:tc>
        <w:tc>
          <w:tcPr>
            <w:tcW w:w="34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720" w:type="dxa"/>
            <w:vAlign w:val="bottom"/>
            <w:shd w:val="clear" w:color="auto" w:fill="CFF0FC"/>
          </w:tcPr>
          <w:p>
            <w:pPr>
              <w:spacing w:after="0"/>
              <w:rPr>
                <w:sz w:val="20"/>
                <w:szCs w:val="20"/>
                <w:color w:val="auto"/>
              </w:rPr>
            </w:pPr>
            <w:r>
              <w:rPr>
                <w:rFonts w:ascii="Arial" w:cs="Arial" w:eastAsia="Arial" w:hAnsi="Arial"/>
                <w:sz w:val="16"/>
                <w:szCs w:val="16"/>
                <w:color w:val="auto"/>
              </w:rPr>
              <w:t>Allowance for credit losses</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62"/>
              <w:spacing w:after="0"/>
              <w:rPr>
                <w:sz w:val="20"/>
                <w:szCs w:val="20"/>
                <w:color w:val="auto"/>
              </w:rPr>
            </w:pPr>
            <w:r>
              <w:rPr>
                <w:rFonts w:ascii="Arial" w:cs="Arial" w:eastAsia="Arial" w:hAnsi="Arial"/>
                <w:sz w:val="16"/>
                <w:szCs w:val="16"/>
                <w:color w:val="auto"/>
              </w:rPr>
              <w:t>(1,024)</w:t>
            </w: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(1,021)</w:t>
            </w: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40" w:type="dxa"/>
            <w:vAlign w:val="bottom"/>
            <w:gridSpan w:val="2"/>
          </w:tcPr>
          <w:p>
            <w:pPr>
              <w:spacing w:after="0"/>
              <w:rPr>
                <w:sz w:val="20"/>
                <w:szCs w:val="20"/>
                <w:color w:val="auto"/>
              </w:rPr>
            </w:pPr>
            <w:r>
              <w:rPr>
                <w:rFonts w:ascii="Arial" w:cs="Arial" w:eastAsia="Arial" w:hAnsi="Arial"/>
                <w:sz w:val="16"/>
                <w:szCs w:val="16"/>
                <w:color w:val="auto"/>
              </w:rPr>
              <w:t>Cash and due from banks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1,260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1,317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720" w:type="dxa"/>
            <w:vAlign w:val="bottom"/>
            <w:shd w:val="clear" w:color="auto" w:fill="CFF0FC"/>
          </w:tcPr>
          <w:p>
            <w:pPr>
              <w:spacing w:after="0"/>
              <w:rPr>
                <w:sz w:val="20"/>
                <w:szCs w:val="20"/>
                <w:color w:val="auto"/>
              </w:rPr>
            </w:pPr>
            <w:r>
              <w:rPr>
                <w:rFonts w:ascii="Arial" w:cs="Arial" w:eastAsia="Arial" w:hAnsi="Arial"/>
                <w:sz w:val="16"/>
                <w:szCs w:val="16"/>
                <w:color w:val="auto"/>
              </w:rPr>
              <w:t>Other assets</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10,740</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10,447</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4720" w:type="dxa"/>
            <w:vAlign w:val="bottom"/>
          </w:tcPr>
          <w:p>
            <w:pPr>
              <w:ind w:left="480"/>
              <w:spacing w:after="0"/>
              <w:rPr>
                <w:sz w:val="20"/>
                <w:szCs w:val="20"/>
                <w:color w:val="auto"/>
              </w:rPr>
            </w:pPr>
            <w:r>
              <w:rPr>
                <w:rFonts w:ascii="Arial" w:cs="Arial" w:eastAsia="Arial" w:hAnsi="Arial"/>
                <w:sz w:val="16"/>
                <w:szCs w:val="16"/>
                <w:color w:val="auto"/>
              </w:rPr>
              <w:t>Total assets</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118,487</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116,839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Liabilities and shareholders’ equity</w:t>
            </w:r>
          </w:p>
        </w:tc>
        <w:tc>
          <w:tcPr>
            <w:tcW w:w="2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68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72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CFF0FC"/>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76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CFF0FC"/>
            </w:tcBorders>
            <w:shd w:val="clear" w:color="auto" w:fill="CFF0FC"/>
          </w:tcPr>
          <w:p>
            <w:pPr>
              <w:spacing w:after="0"/>
              <w:rPr>
                <w:sz w:val="17"/>
                <w:szCs w:val="17"/>
                <w:color w:val="auto"/>
              </w:rPr>
            </w:pPr>
          </w:p>
        </w:tc>
        <w:tc>
          <w:tcPr>
            <w:tcW w:w="72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740" w:type="dxa"/>
            <w:vAlign w:val="bottom"/>
            <w:gridSpan w:val="2"/>
          </w:tcPr>
          <w:p>
            <w:pPr>
              <w:spacing w:after="0"/>
              <w:rPr>
                <w:sz w:val="20"/>
                <w:szCs w:val="20"/>
                <w:color w:val="auto"/>
              </w:rPr>
            </w:pPr>
            <w:r>
              <w:rPr>
                <w:rFonts w:ascii="Arial" w:cs="Arial" w:eastAsia="Arial" w:hAnsi="Arial"/>
                <w:sz w:val="16"/>
                <w:szCs w:val="16"/>
                <w:color w:val="auto"/>
              </w:rPr>
              <w:t>Interest-bearing liabilities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720" w:type="dxa"/>
            <w:vAlign w:val="bottom"/>
            <w:shd w:val="clear" w:color="auto" w:fill="CFF0FC"/>
          </w:tcPr>
          <w:p>
            <w:pPr>
              <w:spacing w:after="0"/>
              <w:rPr>
                <w:sz w:val="20"/>
                <w:szCs w:val="20"/>
                <w:color w:val="auto"/>
              </w:rPr>
            </w:pPr>
            <w:r>
              <w:rPr>
                <w:rFonts w:ascii="Arial" w:cs="Arial" w:eastAsia="Arial" w:hAnsi="Arial"/>
                <w:sz w:val="16"/>
                <w:szCs w:val="16"/>
                <w:color w:val="auto"/>
              </w:rPr>
              <w:t>Interest-bearing deposits</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20" w:type="dxa"/>
            <w:vAlign w:val="bottom"/>
          </w:tcPr>
          <w:p>
            <w:pPr>
              <w:ind w:left="240"/>
              <w:spacing w:after="0"/>
              <w:rPr>
                <w:sz w:val="20"/>
                <w:szCs w:val="20"/>
                <w:color w:val="auto"/>
              </w:rPr>
            </w:pPr>
            <w:r>
              <w:rPr>
                <w:rFonts w:ascii="Arial" w:cs="Arial" w:eastAsia="Arial" w:hAnsi="Arial"/>
                <w:sz w:val="16"/>
                <w:szCs w:val="16"/>
                <w:color w:val="auto"/>
              </w:rPr>
              <w:t>Savings and interest-checking deposits</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53,495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91,556</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.69</w:t>
            </w: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52,095</w:t>
            </w:r>
          </w:p>
        </w:tc>
        <w:tc>
          <w:tcPr>
            <w:tcW w:w="1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76,139</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.59</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7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Time deposits</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6,530</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24,931</w:t>
            </w: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1.53</w:t>
            </w: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6,351</w:t>
            </w: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21,081</w:t>
            </w: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1.35</w:t>
            </w: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20" w:type="dxa"/>
            <w:vAlign w:val="bottom"/>
            <w:tcBorders>
              <w:bottom w:val="single" w:sz="8" w:color="CFF0FC"/>
            </w:tcBorders>
          </w:tcPr>
          <w:p>
            <w:pPr>
              <w:ind w:left="240"/>
              <w:spacing w:after="0"/>
              <w:rPr>
                <w:sz w:val="20"/>
                <w:szCs w:val="20"/>
                <w:color w:val="auto"/>
              </w:rPr>
            </w:pPr>
            <w:r>
              <w:rPr>
                <w:rFonts w:ascii="Arial" w:cs="Arial" w:eastAsia="Arial" w:hAnsi="Arial"/>
                <w:sz w:val="16"/>
                <w:szCs w:val="16"/>
                <w:color w:val="auto"/>
              </w:rPr>
              <w:t>Deposits at Cayman Islands office</w:t>
            </w:r>
          </w:p>
        </w:tc>
        <w:tc>
          <w:tcPr>
            <w:tcW w:w="20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1,247</w:t>
            </w:r>
          </w:p>
        </w:tc>
        <w:tc>
          <w:tcPr>
            <w:tcW w:w="30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6,040</w:t>
            </w:r>
          </w:p>
        </w:tc>
        <w:tc>
          <w:tcPr>
            <w:tcW w:w="30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w:t>
            </w:r>
          </w:p>
        </w:tc>
        <w:tc>
          <w:tcPr>
            <w:tcW w:w="320" w:type="dxa"/>
            <w:vAlign w:val="bottom"/>
            <w:tcBorders>
              <w:bottom w:val="single" w:sz="8" w:color="CFF0FC"/>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972</w:t>
            </w:r>
          </w:p>
        </w:tc>
        <w:tc>
          <w:tcPr>
            <w:tcW w:w="10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4,737</w:t>
            </w:r>
          </w:p>
        </w:tc>
        <w:tc>
          <w:tcPr>
            <w:tcW w:w="32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w:t>
            </w:r>
          </w:p>
        </w:tc>
        <w:tc>
          <w:tcPr>
            <w:tcW w:w="3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720" w:type="dxa"/>
            <w:vAlign w:val="bottom"/>
            <w:shd w:val="clear" w:color="auto" w:fill="CFF0FC"/>
          </w:tcPr>
          <w:p>
            <w:pPr>
              <w:ind w:left="480"/>
              <w:spacing w:after="0"/>
              <w:rPr>
                <w:sz w:val="20"/>
                <w:szCs w:val="20"/>
                <w:color w:val="auto"/>
              </w:rPr>
            </w:pPr>
            <w:r>
              <w:rPr>
                <w:rFonts w:ascii="Arial" w:cs="Arial" w:eastAsia="Arial" w:hAnsi="Arial"/>
                <w:sz w:val="16"/>
                <w:szCs w:val="16"/>
                <w:color w:val="auto"/>
              </w:rPr>
              <w:t>Total interest-bearing deposits</w:t>
            </w:r>
          </w:p>
        </w:tc>
        <w:tc>
          <w:tcPr>
            <w:tcW w:w="20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61,272</w:t>
            </w:r>
          </w:p>
        </w:tc>
        <w:tc>
          <w:tcPr>
            <w:tcW w:w="30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122,527</w:t>
            </w:r>
          </w:p>
        </w:tc>
        <w:tc>
          <w:tcPr>
            <w:tcW w:w="30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.80</w:t>
            </w:r>
          </w:p>
        </w:tc>
        <w:tc>
          <w:tcPr>
            <w:tcW w:w="320" w:type="dxa"/>
            <w:vAlign w:val="bottom"/>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59,418</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101,957</w:t>
            </w:r>
          </w:p>
        </w:tc>
        <w:tc>
          <w:tcPr>
            <w:tcW w:w="32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.70</w:t>
            </w:r>
          </w:p>
        </w:tc>
        <w:tc>
          <w:tcPr>
            <w:tcW w:w="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740" w:type="dxa"/>
            <w:vAlign w:val="bottom"/>
            <w:gridSpan w:val="2"/>
          </w:tcPr>
          <w:p>
            <w:pPr>
              <w:spacing w:after="0"/>
              <w:rPr>
                <w:sz w:val="20"/>
                <w:szCs w:val="20"/>
                <w:color w:val="auto"/>
              </w:rPr>
            </w:pPr>
            <w:r>
              <w:rPr>
                <w:rFonts w:ascii="Arial" w:cs="Arial" w:eastAsia="Arial" w:hAnsi="Arial"/>
                <w:sz w:val="16"/>
                <w:szCs w:val="16"/>
                <w:color w:val="auto"/>
              </w:rPr>
              <w:t>Short-term borrowings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1,263</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7,893</w:t>
            </w:r>
          </w:p>
        </w:tc>
        <w:tc>
          <w:tcPr>
            <w:tcW w:w="3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2.51</w:t>
            </w:r>
          </w:p>
        </w:tc>
        <w:tc>
          <w:tcPr>
            <w:tcW w:w="3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1,091</w:t>
            </w:r>
          </w:p>
        </w:tc>
        <w:tc>
          <w:tcPr>
            <w:tcW w:w="10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6,713</w:t>
            </w:r>
          </w:p>
        </w:tc>
        <w:tc>
          <w:tcPr>
            <w:tcW w:w="3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2.49</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720" w:type="dxa"/>
            <w:vAlign w:val="bottom"/>
            <w:shd w:val="clear" w:color="auto" w:fill="CFF0FC"/>
          </w:tcPr>
          <w:p>
            <w:pPr>
              <w:spacing w:after="0"/>
              <w:rPr>
                <w:sz w:val="20"/>
                <w:szCs w:val="20"/>
                <w:color w:val="auto"/>
              </w:rPr>
            </w:pPr>
            <w:r>
              <w:rPr>
                <w:rFonts w:ascii="Arial" w:cs="Arial" w:eastAsia="Arial" w:hAnsi="Arial"/>
                <w:sz w:val="16"/>
                <w:szCs w:val="16"/>
                <w:color w:val="auto"/>
              </w:rPr>
              <w:t>Long-term borrowings</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8,278</w:t>
            </w:r>
          </w:p>
        </w:tc>
        <w:tc>
          <w:tcPr>
            <w:tcW w:w="3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66,012</w:t>
            </w:r>
          </w:p>
        </w:tc>
        <w:tc>
          <w:tcPr>
            <w:tcW w:w="30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3.20</w:t>
            </w:r>
          </w:p>
        </w:tc>
        <w:tc>
          <w:tcPr>
            <w:tcW w:w="320" w:type="dxa"/>
            <w:vAlign w:val="bottom"/>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8,494</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67,579</w:t>
            </w:r>
          </w:p>
        </w:tc>
        <w:tc>
          <w:tcPr>
            <w:tcW w:w="32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3.23</w:t>
            </w: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720" w:type="dxa"/>
            <w:vAlign w:val="bottom"/>
          </w:tcPr>
          <w:p>
            <w:pPr>
              <w:ind w:left="480"/>
              <w:spacing w:after="0"/>
              <w:rPr>
                <w:sz w:val="20"/>
                <w:szCs w:val="20"/>
                <w:color w:val="auto"/>
              </w:rPr>
            </w:pPr>
            <w:r>
              <w:rPr>
                <w:rFonts w:ascii="Arial" w:cs="Arial" w:eastAsia="Arial" w:hAnsi="Arial"/>
                <w:sz w:val="16"/>
                <w:szCs w:val="16"/>
                <w:b w:val="1"/>
                <w:bCs w:val="1"/>
                <w:color w:val="auto"/>
              </w:rPr>
              <w:t>Total interest-bearing liabilities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70,813</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196,432</w:t>
            </w:r>
          </w:p>
        </w:tc>
        <w:tc>
          <w:tcPr>
            <w:tcW w:w="3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1.11</w:t>
            </w:r>
          </w:p>
        </w:tc>
        <w:tc>
          <w:tcPr>
            <w:tcW w:w="3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69,003</w:t>
            </w:r>
          </w:p>
        </w:tc>
        <w:tc>
          <w:tcPr>
            <w:tcW w:w="10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176,249</w:t>
            </w:r>
          </w:p>
        </w:tc>
        <w:tc>
          <w:tcPr>
            <w:tcW w:w="3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1.04</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Noninterest-bearing deposits</w:t>
            </w: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30,099</w:t>
            </w:r>
          </w:p>
        </w:tc>
        <w:tc>
          <w:tcPr>
            <w:tcW w:w="3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30,315</w:t>
            </w:r>
          </w:p>
        </w:tc>
        <w:tc>
          <w:tcPr>
            <w:tcW w:w="1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40" w:type="dxa"/>
            <w:vAlign w:val="bottom"/>
            <w:gridSpan w:val="2"/>
          </w:tcPr>
          <w:p>
            <w:pPr>
              <w:spacing w:after="0"/>
              <w:rPr>
                <w:sz w:val="20"/>
                <w:szCs w:val="20"/>
                <w:color w:val="auto"/>
              </w:rPr>
            </w:pPr>
            <w:r>
              <w:rPr>
                <w:rFonts w:ascii="Arial" w:cs="Arial" w:eastAsia="Arial" w:hAnsi="Arial"/>
                <w:sz w:val="16"/>
                <w:szCs w:val="16"/>
                <w:color w:val="auto"/>
              </w:rPr>
              <w:t>Other liabilities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1,945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1,952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72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6"/>
                <w:szCs w:val="16"/>
                <w:color w:val="auto"/>
              </w:rPr>
              <w:t>Total liabilities</w:t>
            </w: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102,857</w:t>
            </w:r>
          </w:p>
        </w:tc>
        <w:tc>
          <w:tcPr>
            <w:tcW w:w="3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68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101,270</w:t>
            </w:r>
          </w:p>
        </w:tc>
        <w:tc>
          <w:tcPr>
            <w:tcW w:w="1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740" w:type="dxa"/>
            <w:vAlign w:val="bottom"/>
            <w:gridSpan w:val="2"/>
          </w:tcPr>
          <w:p>
            <w:pPr>
              <w:spacing w:after="0"/>
              <w:rPr>
                <w:sz w:val="20"/>
                <w:szCs w:val="20"/>
                <w:color w:val="auto"/>
              </w:rPr>
            </w:pPr>
            <w:r>
              <w:rPr>
                <w:rFonts w:ascii="Arial" w:cs="Arial" w:eastAsia="Arial" w:hAnsi="Arial"/>
                <w:sz w:val="16"/>
                <w:szCs w:val="16"/>
                <w:color w:val="auto"/>
              </w:rPr>
              <w:t>Shareholders’ equity</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15,630</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15,569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20" w:type="dxa"/>
            <w:vAlign w:val="bottom"/>
            <w:tcBorders>
              <w:top w:val="single" w:sz="8" w:color="CFF0FC"/>
              <w:bottom w:val="single" w:sz="8" w:color="CFF0FC"/>
            </w:tcBorders>
            <w:shd w:val="clear" w:color="auto" w:fill="CFF0FC"/>
          </w:tcPr>
          <w:p>
            <w:pPr>
              <w:ind w:left="480"/>
              <w:spacing w:after="0"/>
              <w:rPr>
                <w:sz w:val="20"/>
                <w:szCs w:val="20"/>
                <w:color w:val="auto"/>
              </w:rPr>
            </w:pPr>
            <w:r>
              <w:rPr>
                <w:rFonts w:ascii="Arial" w:cs="Arial" w:eastAsia="Arial" w:hAnsi="Arial"/>
                <w:sz w:val="16"/>
                <w:szCs w:val="16"/>
                <w:color w:val="auto"/>
              </w:rPr>
              <w:t>Total liabilities and shareholders’ equity</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118,487</w:t>
            </w:r>
          </w:p>
        </w:tc>
        <w:tc>
          <w:tcPr>
            <w:tcW w:w="30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680" w:type="dxa"/>
            <w:vAlign w:val="bottom"/>
            <w:tcBorders>
              <w:top w:val="single" w:sz="8" w:color="CFF0FC"/>
              <w:bottom w:val="single" w:sz="8" w:color="CFF0FC"/>
            </w:tcBorders>
            <w:shd w:val="clear" w:color="auto" w:fill="CFF0FC"/>
          </w:tcPr>
          <w:p>
            <w:pPr>
              <w:spacing w:after="0"/>
              <w:rPr>
                <w:sz w:val="18"/>
                <w:szCs w:val="18"/>
                <w:color w:val="auto"/>
              </w:rPr>
            </w:pPr>
          </w:p>
        </w:tc>
        <w:tc>
          <w:tcPr>
            <w:tcW w:w="300" w:type="dxa"/>
            <w:vAlign w:val="bottom"/>
            <w:tcBorders>
              <w:top w:val="single" w:sz="8" w:color="CFF0FC"/>
              <w:bottom w:val="single" w:sz="8" w:color="CFF0FC"/>
            </w:tcBorders>
            <w:shd w:val="clear" w:color="auto" w:fill="CFF0FC"/>
          </w:tcPr>
          <w:p>
            <w:pPr>
              <w:spacing w:after="0"/>
              <w:rPr>
                <w:sz w:val="18"/>
                <w:szCs w:val="18"/>
                <w:color w:val="auto"/>
              </w:rPr>
            </w:pPr>
          </w:p>
        </w:tc>
        <w:tc>
          <w:tcPr>
            <w:tcW w:w="720" w:type="dxa"/>
            <w:vAlign w:val="bottom"/>
            <w:tcBorders>
              <w:top w:val="single" w:sz="8" w:color="CFF0FC"/>
              <w:bottom w:val="single" w:sz="8" w:color="CFF0FC"/>
            </w:tcBorders>
            <w:shd w:val="clear" w:color="auto" w:fill="CFF0FC"/>
          </w:tcPr>
          <w:p>
            <w:pPr>
              <w:spacing w:after="0"/>
              <w:rPr>
                <w:sz w:val="18"/>
                <w:szCs w:val="18"/>
                <w:color w:val="auto"/>
              </w:rPr>
            </w:pPr>
          </w:p>
        </w:tc>
        <w:tc>
          <w:tcPr>
            <w:tcW w:w="320" w:type="dxa"/>
            <w:vAlign w:val="bottom"/>
            <w:tcBorders>
              <w:top w:val="single" w:sz="8" w:color="CFF0FC"/>
              <w:bottom w:val="single" w:sz="8" w:color="CFF0FC"/>
            </w:tcBorders>
            <w:shd w:val="clear" w:color="auto" w:fill="CFF0FC"/>
          </w:tcPr>
          <w:p>
            <w:pPr>
              <w:spacing w:after="0"/>
              <w:rPr>
                <w:sz w:val="18"/>
                <w:szCs w:val="18"/>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116,839</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760" w:type="dxa"/>
            <w:vAlign w:val="bottom"/>
            <w:tcBorders>
              <w:top w:val="single" w:sz="8" w:color="CFF0FC"/>
              <w:bottom w:val="single" w:sz="8" w:color="CFF0FC"/>
            </w:tcBorders>
            <w:shd w:val="clear" w:color="auto" w:fill="CFF0FC"/>
          </w:tcPr>
          <w:p>
            <w:pPr>
              <w:spacing w:after="0"/>
              <w:rPr>
                <w:sz w:val="18"/>
                <w:szCs w:val="18"/>
                <w:color w:val="auto"/>
              </w:rPr>
            </w:pPr>
          </w:p>
        </w:tc>
        <w:tc>
          <w:tcPr>
            <w:tcW w:w="320" w:type="dxa"/>
            <w:vAlign w:val="bottom"/>
            <w:tcBorders>
              <w:top w:val="single" w:sz="8" w:color="CFF0FC"/>
              <w:bottom w:val="single" w:sz="8" w:color="CFF0FC"/>
            </w:tcBorders>
            <w:shd w:val="clear" w:color="auto" w:fill="CFF0FC"/>
          </w:tcPr>
          <w:p>
            <w:pPr>
              <w:spacing w:after="0"/>
              <w:rPr>
                <w:sz w:val="18"/>
                <w:szCs w:val="18"/>
                <w:color w:val="auto"/>
              </w:rPr>
            </w:pPr>
          </w:p>
        </w:tc>
        <w:tc>
          <w:tcPr>
            <w:tcW w:w="720" w:type="dxa"/>
            <w:vAlign w:val="bottom"/>
            <w:tcBorders>
              <w:top w:val="single" w:sz="8" w:color="CFF0FC"/>
              <w:bottom w:val="single" w:sz="8" w:color="CFF0FC"/>
            </w:tcBorders>
            <w:shd w:val="clear" w:color="auto" w:fill="CFF0FC"/>
          </w:tcPr>
          <w:p>
            <w:pPr>
              <w:spacing w:after="0"/>
              <w:rPr>
                <w:sz w:val="18"/>
                <w:szCs w:val="18"/>
                <w:color w:val="auto"/>
              </w:rPr>
            </w:pPr>
          </w:p>
        </w:tc>
        <w:tc>
          <w:tcPr>
            <w:tcW w:w="34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gridSpan w:val="2"/>
            <w:vMerge w:val="restart"/>
          </w:tcPr>
          <w:p>
            <w:pPr>
              <w:spacing w:after="0"/>
              <w:rPr>
                <w:sz w:val="20"/>
                <w:szCs w:val="20"/>
                <w:color w:val="auto"/>
              </w:rPr>
            </w:pPr>
            <w:r>
              <w:rPr>
                <w:rFonts w:ascii="Arial" w:cs="Arial" w:eastAsia="Arial" w:hAnsi="Arial"/>
                <w:sz w:val="16"/>
                <w:szCs w:val="16"/>
                <w:color w:val="auto"/>
              </w:rPr>
              <w:t>Net interest spread</w:t>
            </w: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3.53</w:t>
            </w:r>
          </w:p>
        </w:tc>
        <w:tc>
          <w:tcPr>
            <w:tcW w:w="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3.67</w:t>
            </w: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720" w:type="dxa"/>
            <w:vAlign w:val="bottom"/>
            <w:shd w:val="clear" w:color="auto" w:fill="CFF0FC"/>
          </w:tcPr>
          <w:p>
            <w:pPr>
              <w:spacing w:after="0"/>
              <w:rPr>
                <w:sz w:val="20"/>
                <w:szCs w:val="20"/>
                <w:color w:val="auto"/>
              </w:rPr>
            </w:pPr>
            <w:r>
              <w:rPr>
                <w:rFonts w:ascii="Arial" w:cs="Arial" w:eastAsia="Arial" w:hAnsi="Arial"/>
                <w:sz w:val="16"/>
                <w:szCs w:val="16"/>
                <w:color w:val="auto"/>
              </w:rPr>
              <w:t>Contribution of interest-free funds</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w:t>
            </w: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w:t>
            </w: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740" w:type="dxa"/>
            <w:vAlign w:val="bottom"/>
            <w:gridSpan w:val="2"/>
          </w:tcPr>
          <w:p>
            <w:pPr>
              <w:spacing w:after="0"/>
              <w:rPr>
                <w:sz w:val="20"/>
                <w:szCs w:val="20"/>
                <w:color w:val="auto"/>
              </w:rPr>
            </w:pPr>
            <w:r>
              <w:rPr>
                <w:rFonts w:ascii="Arial" w:cs="Arial" w:eastAsia="Arial" w:hAnsi="Arial"/>
                <w:sz w:val="16"/>
                <w:szCs w:val="16"/>
                <w:color w:val="auto"/>
              </w:rPr>
              <w:t>Net interest income/margin on earning assets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w w:val="89"/>
              </w:rPr>
              <w:t>1,047,406</w:t>
            </w:r>
          </w:p>
        </w:tc>
        <w:tc>
          <w:tcPr>
            <w:tcW w:w="3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3.91</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1,056,027</w:t>
            </w:r>
          </w:p>
        </w:tc>
        <w:tc>
          <w:tcPr>
            <w:tcW w:w="3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4.04</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00" w:hanging="492"/>
        <w:spacing w:after="0"/>
        <w:tabs>
          <w:tab w:leader="none" w:pos="500" w:val="left"/>
        </w:tabs>
        <w:numPr>
          <w:ilvl w:val="0"/>
          <w:numId w:val="27"/>
        </w:numPr>
        <w:rPr>
          <w:rFonts w:ascii="Arial" w:cs="Arial" w:eastAsia="Arial" w:hAnsi="Arial"/>
          <w:sz w:val="18"/>
          <w:szCs w:val="18"/>
          <w:i w:val="1"/>
          <w:iCs w:val="1"/>
          <w:color w:val="auto"/>
        </w:rPr>
      </w:pPr>
      <w:r>
        <w:rPr>
          <w:rFonts w:ascii="Arial" w:cs="Arial" w:eastAsia="Arial" w:hAnsi="Arial"/>
          <w:sz w:val="18"/>
          <w:szCs w:val="18"/>
          <w:i w:val="1"/>
          <w:iCs w:val="1"/>
          <w:color w:val="auto"/>
        </w:rPr>
        <w:t>Includes nonaccrual loans.</w:t>
      </w:r>
    </w:p>
    <w:p>
      <w:pPr>
        <w:spacing w:after="0" w:line="23" w:lineRule="exact"/>
        <w:rPr>
          <w:rFonts w:ascii="Arial" w:cs="Arial" w:eastAsia="Arial" w:hAnsi="Arial"/>
          <w:sz w:val="18"/>
          <w:szCs w:val="18"/>
          <w:i w:val="1"/>
          <w:iCs w:val="1"/>
          <w:color w:val="auto"/>
        </w:rPr>
      </w:pPr>
    </w:p>
    <w:p>
      <w:pPr>
        <w:ind w:left="500" w:hanging="492"/>
        <w:spacing w:after="0"/>
        <w:tabs>
          <w:tab w:leader="none" w:pos="500" w:val="left"/>
        </w:tabs>
        <w:numPr>
          <w:ilvl w:val="0"/>
          <w:numId w:val="27"/>
        </w:numPr>
        <w:rPr>
          <w:rFonts w:ascii="Arial" w:cs="Arial" w:eastAsia="Arial" w:hAnsi="Arial"/>
          <w:sz w:val="18"/>
          <w:szCs w:val="18"/>
          <w:i w:val="1"/>
          <w:iCs w:val="1"/>
          <w:color w:val="auto"/>
        </w:rPr>
      </w:pPr>
      <w:r>
        <w:rPr>
          <w:rFonts w:ascii="Arial" w:cs="Arial" w:eastAsia="Arial" w:hAnsi="Arial"/>
          <w:sz w:val="18"/>
          <w:szCs w:val="18"/>
          <w:i w:val="1"/>
          <w:iCs w:val="1"/>
          <w:color w:val="auto"/>
        </w:rPr>
        <w:t>Includes available-for-sale securities at amortized cost.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80" w:name="page81"/>
    <w:bookmarkEnd w:id="80"/>
    <w:p>
      <w:pPr>
        <w:spacing w:after="0"/>
        <w:tabs>
          <w:tab w:leader="none" w:pos="1000" w:val="left"/>
        </w:tabs>
        <w:rPr>
          <w:sz w:val="20"/>
          <w:szCs w:val="20"/>
          <w:color w:val="auto"/>
        </w:rPr>
      </w:pPr>
      <w:r>
        <w:rPr>
          <w:rFonts w:ascii="Arial" w:cs="Arial" w:eastAsia="Arial" w:hAnsi="Arial"/>
          <w:sz w:val="21"/>
          <w:szCs w:val="21"/>
          <w:color w:val="auto"/>
        </w:rPr>
        <w:t>Item 3.</w:t>
      </w:r>
      <w:r>
        <w:rPr>
          <w:sz w:val="20"/>
          <w:szCs w:val="20"/>
          <w:color w:val="auto"/>
        </w:rPr>
        <w:tab/>
      </w:r>
      <w:r>
        <w:rPr>
          <w:rFonts w:ascii="Arial" w:cs="Arial" w:eastAsia="Arial" w:hAnsi="Arial"/>
          <w:sz w:val="19"/>
          <w:szCs w:val="19"/>
          <w:color w:val="auto"/>
        </w:rPr>
        <w:t>Quantitative and Qualitative Disclosures About Market Risk.</w:t>
      </w:r>
    </w:p>
    <w:p>
      <w:pPr>
        <w:spacing w:after="0" w:line="109" w:lineRule="exact"/>
        <w:rPr>
          <w:sz w:val="20"/>
          <w:szCs w:val="20"/>
          <w:color w:val="auto"/>
        </w:rPr>
      </w:pPr>
    </w:p>
    <w:p>
      <w:pPr>
        <w:ind w:firstLine="510"/>
        <w:spacing w:after="0" w:line="263" w:lineRule="auto"/>
        <w:rPr>
          <w:sz w:val="20"/>
          <w:szCs w:val="20"/>
          <w:color w:val="auto"/>
        </w:rPr>
      </w:pPr>
      <w:r>
        <w:rPr>
          <w:rFonts w:ascii="Arial" w:cs="Arial" w:eastAsia="Arial" w:hAnsi="Arial"/>
          <w:sz w:val="21"/>
          <w:szCs w:val="21"/>
          <w:color w:val="auto"/>
        </w:rPr>
        <w:t>Incorporated by reference to the discussion contained under the caption “Taxable-equivalent Net Interest Income” in Part I, Item 2, “Management’s Discussion and Analysis of Financial Condition and Results of Operations.”</w:t>
      </w:r>
    </w:p>
    <w:p>
      <w:pPr>
        <w:spacing w:after="0" w:line="199" w:lineRule="exact"/>
        <w:rPr>
          <w:sz w:val="20"/>
          <w:szCs w:val="20"/>
          <w:color w:val="auto"/>
        </w:rPr>
      </w:pPr>
    </w:p>
    <w:p>
      <w:pPr>
        <w:spacing w:after="0"/>
        <w:tabs>
          <w:tab w:leader="none" w:pos="1020" w:val="left"/>
        </w:tabs>
        <w:rPr>
          <w:sz w:val="20"/>
          <w:szCs w:val="20"/>
          <w:color w:val="auto"/>
        </w:rPr>
      </w:pPr>
      <w:r>
        <w:rPr>
          <w:rFonts w:ascii="Arial" w:cs="Arial" w:eastAsia="Arial" w:hAnsi="Arial"/>
          <w:sz w:val="21"/>
          <w:szCs w:val="21"/>
          <w:color w:val="auto"/>
        </w:rPr>
        <w:t>Item 4.</w:t>
      </w:r>
      <w:r>
        <w:rPr>
          <w:sz w:val="20"/>
          <w:szCs w:val="20"/>
          <w:color w:val="auto"/>
        </w:rPr>
        <w:tab/>
      </w:r>
      <w:r>
        <w:rPr>
          <w:rFonts w:ascii="Arial" w:cs="Arial" w:eastAsia="Arial" w:hAnsi="Arial"/>
          <w:sz w:val="18"/>
          <w:szCs w:val="18"/>
          <w:color w:val="auto"/>
        </w:rPr>
        <w:t>Controls and Procedures.</w:t>
      </w:r>
    </w:p>
    <w:p>
      <w:pPr>
        <w:spacing w:after="0" w:line="109" w:lineRule="exact"/>
        <w:rPr>
          <w:sz w:val="20"/>
          <w:szCs w:val="20"/>
          <w:color w:val="auto"/>
        </w:rPr>
      </w:pPr>
    </w:p>
    <w:p>
      <w:pPr>
        <w:jc w:val="both"/>
        <w:ind w:firstLine="518"/>
        <w:spacing w:after="0" w:line="248" w:lineRule="auto"/>
        <w:tabs>
          <w:tab w:leader="none" w:pos="826" w:val="left"/>
        </w:tabs>
        <w:numPr>
          <w:ilvl w:val="0"/>
          <w:numId w:val="28"/>
        </w:numPr>
        <w:rPr>
          <w:rFonts w:ascii="Arial" w:cs="Arial" w:eastAsia="Arial" w:hAnsi="Arial"/>
          <w:sz w:val="21"/>
          <w:szCs w:val="21"/>
          <w:color w:val="auto"/>
        </w:rPr>
      </w:pPr>
      <w:r>
        <w:rPr>
          <w:rFonts w:ascii="Arial" w:cs="Arial" w:eastAsia="Arial" w:hAnsi="Arial"/>
          <w:sz w:val="21"/>
          <w:szCs w:val="21"/>
          <w:color w:val="auto"/>
        </w:rPr>
        <w:t>Evaluation of disclosure controls and procedures. Based upon their evaluation of the effectiveness of M&amp;T’s disclosure controls and procedures (as defined in Exchange Act rules 13a-15(e) and 15d-15(e)), René F. Jones, Chairman of the Board and Chief Executive Officer, and Darren J. King, Executive Vice President and Chief Financial Officer, concluded that M&amp;T’s disclosure controls and procedures were effective as of March 31, 2020.</w:t>
      </w:r>
    </w:p>
    <w:p>
      <w:pPr>
        <w:spacing w:after="0" w:line="215" w:lineRule="exact"/>
        <w:rPr>
          <w:rFonts w:ascii="Arial" w:cs="Arial" w:eastAsia="Arial" w:hAnsi="Arial"/>
          <w:sz w:val="21"/>
          <w:szCs w:val="21"/>
          <w:color w:val="auto"/>
        </w:rPr>
      </w:pPr>
    </w:p>
    <w:p>
      <w:pPr>
        <w:jc w:val="both"/>
        <w:ind w:firstLine="518"/>
        <w:spacing w:after="0" w:line="257" w:lineRule="auto"/>
        <w:tabs>
          <w:tab w:leader="none" w:pos="845" w:val="left"/>
        </w:tabs>
        <w:numPr>
          <w:ilvl w:val="0"/>
          <w:numId w:val="28"/>
        </w:numPr>
        <w:rPr>
          <w:rFonts w:ascii="Arial" w:cs="Arial" w:eastAsia="Arial" w:hAnsi="Arial"/>
          <w:sz w:val="20"/>
          <w:szCs w:val="20"/>
          <w:color w:val="auto"/>
        </w:rPr>
      </w:pPr>
      <w:r>
        <w:rPr>
          <w:rFonts w:ascii="Arial" w:cs="Arial" w:eastAsia="Arial" w:hAnsi="Arial"/>
          <w:sz w:val="20"/>
          <w:szCs w:val="20"/>
          <w:color w:val="auto"/>
        </w:rPr>
        <w:t>Changes in internal control over financial reporting. M&amp;T regularly assesses the adequacy of its internal control over financial reporting and enhances its controls in response to internal control assessments and internal and external audit and regulatory recommendations. Effective January 1, 2020, M&amp;T adopted a new accounting standard that significantly changed its process for calculating the allowance for credit losses and, as a result, modified many of its control activities associated with the determination of this critical accounting estimate. The revised processes and controls reflect the incorporation of macro-economic forecasts into credit-loss forecasting models for purposes of estimating expected loss amounts over a reasonable and supportable forecast period. No other changes in internal control over financial reporting have been identified in connection with the evaluation of disclosure controls and procedures during the quarter ended March 31, 2020 that have materially affected, or are reasonably likely to materially affect, M&amp;T’s internal control over financial reporting.</w:t>
      </w:r>
    </w:p>
    <w:p>
      <w:pPr>
        <w:spacing w:after="0" w:line="211" w:lineRule="exact"/>
        <w:rPr>
          <w:sz w:val="20"/>
          <w:szCs w:val="20"/>
          <w:color w:val="auto"/>
        </w:rPr>
      </w:pPr>
    </w:p>
    <w:p>
      <w:pPr>
        <w:jc w:val="both"/>
        <w:ind w:firstLine="510"/>
        <w:spacing w:after="0" w:line="252" w:lineRule="auto"/>
        <w:rPr>
          <w:sz w:val="20"/>
          <w:szCs w:val="20"/>
          <w:color w:val="auto"/>
        </w:rPr>
      </w:pPr>
      <w:r>
        <w:rPr>
          <w:rFonts w:ascii="Arial" w:cs="Arial" w:eastAsia="Arial" w:hAnsi="Arial"/>
          <w:sz w:val="21"/>
          <w:szCs w:val="21"/>
          <w:color w:val="auto"/>
        </w:rPr>
        <w:t>The emergence of the COVID-19 pandemic during the first quarter of 2020 necessitated the execution of several M&amp;T contingency plans. Beginning in March 2020 and continuing through this filing date, the Company had a substantial number of its employees working remotely under such contingency plans.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PART II. OTHER INFORMATION</w:t>
      </w:r>
    </w:p>
    <w:p>
      <w:pPr>
        <w:spacing w:after="0" w:line="244" w:lineRule="exact"/>
        <w:rPr>
          <w:sz w:val="20"/>
          <w:szCs w:val="20"/>
          <w:color w:val="auto"/>
        </w:rPr>
      </w:pPr>
    </w:p>
    <w:p>
      <w:pPr>
        <w:spacing w:after="0"/>
        <w:tabs>
          <w:tab w:leader="none" w:pos="1000" w:val="left"/>
        </w:tabs>
        <w:rPr>
          <w:sz w:val="20"/>
          <w:szCs w:val="20"/>
          <w:color w:val="auto"/>
        </w:rPr>
      </w:pPr>
      <w:r>
        <w:rPr>
          <w:rFonts w:ascii="Arial" w:cs="Arial" w:eastAsia="Arial" w:hAnsi="Arial"/>
          <w:sz w:val="21"/>
          <w:szCs w:val="21"/>
          <w:color w:val="auto"/>
        </w:rPr>
        <w:t>Item 1.</w:t>
      </w:r>
      <w:r>
        <w:rPr>
          <w:sz w:val="20"/>
          <w:szCs w:val="20"/>
          <w:color w:val="auto"/>
        </w:rPr>
        <w:tab/>
      </w:r>
      <w:r>
        <w:rPr>
          <w:rFonts w:ascii="Arial" w:cs="Arial" w:eastAsia="Arial" w:hAnsi="Arial"/>
          <w:sz w:val="18"/>
          <w:szCs w:val="18"/>
          <w:color w:val="auto"/>
        </w:rPr>
        <w:t>Legal Proceedings.</w:t>
      </w:r>
    </w:p>
    <w:p>
      <w:pPr>
        <w:spacing w:after="0" w:line="244" w:lineRule="exact"/>
        <w:rPr>
          <w:sz w:val="20"/>
          <w:szCs w:val="20"/>
          <w:color w:val="auto"/>
        </w:rPr>
      </w:pPr>
    </w:p>
    <w:p>
      <w:pPr>
        <w:jc w:val="both"/>
        <w:ind w:firstLine="562"/>
        <w:spacing w:after="0" w:line="272" w:lineRule="auto"/>
        <w:rPr>
          <w:sz w:val="20"/>
          <w:szCs w:val="20"/>
          <w:color w:val="auto"/>
        </w:rPr>
      </w:pPr>
      <w:r>
        <w:rPr>
          <w:rFonts w:ascii="Arial" w:cs="Arial" w:eastAsia="Arial" w:hAnsi="Arial"/>
          <w:sz w:val="19"/>
          <w:szCs w:val="19"/>
          <w:color w:val="auto"/>
        </w:rPr>
        <w:t>M&amp;T and its subsidiaries are subject in the normal course of business to various pending and threatened legal proceedings and other matters in which claims for monetary damages are asserted. On an on-going basis management, after consultation with legal counsel, assesses the Company’s liabilities and contingencies in connection with such proceedings. For those matters where it is probable that the Company will incur losses and the amounts of the losses can be reasonably estimated, the Company records an expense and corresponding liability in its consolidated financial statements. To the extent the pending or threatened litigation could result in exposure in excess of that liability, the amount of such excess is not currently estimable. Although not considered probable, the range of reasonably possible losses for such matters in the aggregate, beyond the existing recorded liability, was between $0 and $50 million. Although the Company does not believe that the outcome of pending legal matters will be material to the Company’s consolidated financial position, it cannot rule out the possibility that such outcomes will be material to the consolidated results of operations for a particular reporting period in the future.</w:t>
      </w:r>
    </w:p>
    <w:p>
      <w:pPr>
        <w:spacing w:after="0" w:line="194" w:lineRule="exact"/>
        <w:rPr>
          <w:sz w:val="20"/>
          <w:szCs w:val="20"/>
          <w:color w:val="auto"/>
        </w:rPr>
      </w:pPr>
    </w:p>
    <w:p>
      <w:pPr>
        <w:jc w:val="both"/>
        <w:spacing w:after="0" w:line="274" w:lineRule="auto"/>
        <w:rPr>
          <w:sz w:val="20"/>
          <w:szCs w:val="20"/>
          <w:color w:val="auto"/>
        </w:rPr>
      </w:pPr>
      <w:r>
        <w:rPr>
          <w:rFonts w:ascii="Arial" w:cs="Arial" w:eastAsia="Arial" w:hAnsi="Arial"/>
          <w:sz w:val="19"/>
          <w:szCs w:val="19"/>
          <w:i w:val="1"/>
          <w:iCs w:val="1"/>
          <w:color w:val="auto"/>
        </w:rPr>
        <w:t>ESOP Matters</w:t>
      </w:r>
      <w:r>
        <w:rPr>
          <w:rFonts w:ascii="Arial" w:cs="Arial" w:eastAsia="Arial" w:hAnsi="Arial"/>
          <w:sz w:val="19"/>
          <w:szCs w:val="19"/>
          <w:color w:val="auto"/>
        </w:rPr>
        <w:t>: Wilmington Trust, N.A. provides retirement services, including serving in certain trustee roles relating to Employee</w:t>
      </w:r>
      <w:r>
        <w:rPr>
          <w:rFonts w:ascii="Arial" w:cs="Arial" w:eastAsia="Arial" w:hAnsi="Arial"/>
          <w:sz w:val="19"/>
          <w:szCs w:val="19"/>
          <w:i w:val="1"/>
          <w:iCs w:val="1"/>
          <w:color w:val="auto"/>
        </w:rPr>
        <w:t xml:space="preserve"> </w:t>
      </w:r>
      <w:r>
        <w:rPr>
          <w:rFonts w:ascii="Arial" w:cs="Arial" w:eastAsia="Arial" w:hAnsi="Arial"/>
          <w:sz w:val="19"/>
          <w:szCs w:val="19"/>
          <w:color w:val="auto"/>
        </w:rPr>
        <w:t>Stock Ownership Plans (“ESOPs”). Beginning in 2010, the U.S. Department of Labor (“DOL”) announced that it would increase its focus on ESOP transactions, particularly with regard to valuation issues relating to ESOP transactions. Beginning in late 2013, Wilmington Trust, N.A. began receiving requests for information and subpoenas relating to certain ESOP transactions for which it acted as trustee. In June 2016, Wilmington Trust, N.A. received a DOL subpoena seeking information on its global ESOP trustee business. In addition to these investigations, the DOL has commenced three lawsuits against Wilmington Trust, N.A. relating to its role as trustee of three ESOP transactions. In July 2019, Wilmington Trust, N.A. reached a settlement in principle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81" w:name="page82"/>
    <w:bookmarkEnd w:id="81"/>
    <w:p>
      <w:pPr>
        <w:jc w:val="both"/>
        <w:spacing w:after="0" w:line="273" w:lineRule="auto"/>
        <w:rPr>
          <w:sz w:val="20"/>
          <w:szCs w:val="20"/>
          <w:color w:val="auto"/>
        </w:rPr>
      </w:pPr>
      <w:r>
        <w:rPr>
          <w:rFonts w:ascii="Arial" w:cs="Arial" w:eastAsia="Arial" w:hAnsi="Arial"/>
          <w:sz w:val="19"/>
          <w:szCs w:val="19"/>
          <w:color w:val="auto"/>
        </w:rPr>
        <w:t>with the DOL to resolve certain pending DOL ESOP matters. On April 28, 2020, Wilmington Trust N.A. and the DOL executed a formal settlement agreement. The total amount of the settlement was $88 million, which included $80 million in payments to 21 ESOPs. The settlement amount is within the Company’s reserve for litigation matters as of March 31, 2020. Wilmington Trust, N.A. has also been named as a defendant in five private party lawsuits relating to its role as trustee for five ESOP transactions. Two of the five private party lawsuits relating to ESOP transactions have been resolved through settlements, which have been preliminarily approved by Courts, and are in the process of administration. Neither of the two settlements is material. Under applicable transaction documents, Wilmington Trust, N.A. may be entitled to indemnification by the ESOP plan sponsors. These matters could result in damages, settlements, penalties, restitution, reputational damage or additional costs and expenses.</w:t>
      </w:r>
    </w:p>
    <w:p>
      <w:pPr>
        <w:spacing w:after="0" w:line="196" w:lineRule="exact"/>
        <w:rPr>
          <w:sz w:val="20"/>
          <w:szCs w:val="20"/>
          <w:color w:val="auto"/>
        </w:rPr>
      </w:pPr>
    </w:p>
    <w:p>
      <w:pPr>
        <w:jc w:val="both"/>
        <w:ind w:firstLine="510"/>
        <w:spacing w:after="0" w:line="303" w:lineRule="auto"/>
        <w:rPr>
          <w:sz w:val="20"/>
          <w:szCs w:val="20"/>
          <w:color w:val="auto"/>
        </w:rPr>
      </w:pPr>
      <w:r>
        <w:rPr>
          <w:rFonts w:ascii="Arial" w:cs="Arial" w:eastAsia="Arial" w:hAnsi="Arial"/>
          <w:sz w:val="18"/>
          <w:szCs w:val="18"/>
          <w:color w:val="auto"/>
        </w:rPr>
        <w:t>Due to their complex nature, it is difficult to estimate when litigation and investigatory matters such as these may be resolved. As set forth in the introductory paragraph to this Item 3 — Legal Proceedings, losses from current litigation and regulatory matters which the Company is subject to that are not currently considered probable are within a range of reasonably possible losses for such matters in the aggregate, beyond the existing recorded liability, and are included in the range of reasonably possible losses set forth above.</w:t>
      </w:r>
    </w:p>
    <w:p>
      <w:pPr>
        <w:spacing w:after="0" w:line="168" w:lineRule="exact"/>
        <w:rPr>
          <w:sz w:val="20"/>
          <w:szCs w:val="20"/>
          <w:color w:val="auto"/>
        </w:rPr>
      </w:pPr>
    </w:p>
    <w:p>
      <w:pPr>
        <w:spacing w:after="0"/>
        <w:tabs>
          <w:tab w:leader="none" w:pos="1000" w:val="left"/>
        </w:tabs>
        <w:rPr>
          <w:sz w:val="20"/>
          <w:szCs w:val="20"/>
          <w:color w:val="auto"/>
        </w:rPr>
      </w:pPr>
      <w:r>
        <w:rPr>
          <w:rFonts w:ascii="Arial" w:cs="Arial" w:eastAsia="Arial" w:hAnsi="Arial"/>
          <w:sz w:val="21"/>
          <w:szCs w:val="21"/>
          <w:color w:val="auto"/>
        </w:rPr>
        <w:t>Item 1A.</w:t>
      </w:r>
      <w:r>
        <w:rPr>
          <w:sz w:val="20"/>
          <w:szCs w:val="20"/>
          <w:color w:val="auto"/>
        </w:rPr>
        <w:tab/>
      </w:r>
      <w:r>
        <w:rPr>
          <w:rFonts w:ascii="Arial" w:cs="Arial" w:eastAsia="Arial" w:hAnsi="Arial"/>
          <w:sz w:val="18"/>
          <w:szCs w:val="18"/>
          <w:color w:val="auto"/>
        </w:rPr>
        <w:t>Risk Factors.</w:t>
      </w:r>
    </w:p>
    <w:p>
      <w:pPr>
        <w:spacing w:after="0" w:line="109" w:lineRule="exact"/>
        <w:rPr>
          <w:sz w:val="20"/>
          <w:szCs w:val="20"/>
          <w:color w:val="auto"/>
        </w:rPr>
      </w:pPr>
    </w:p>
    <w:p>
      <w:pPr>
        <w:jc w:val="both"/>
        <w:ind w:firstLine="468"/>
        <w:spacing w:after="0" w:line="263" w:lineRule="auto"/>
        <w:rPr>
          <w:sz w:val="20"/>
          <w:szCs w:val="20"/>
          <w:color w:val="auto"/>
        </w:rPr>
      </w:pPr>
      <w:r>
        <w:rPr>
          <w:rFonts w:ascii="Arial" w:cs="Arial" w:eastAsia="Arial" w:hAnsi="Arial"/>
          <w:sz w:val="21"/>
          <w:szCs w:val="21"/>
          <w:color w:val="auto"/>
        </w:rPr>
        <w:t>In addition to the risk factors relating to M&amp;T as disclosed in response to Item 1A. to Part I of Form 10-K for the year ended December 31, 2019, a supplemental risk factor is presented below.</w:t>
      </w:r>
    </w:p>
    <w:p>
      <w:pPr>
        <w:spacing w:after="0" w:line="199" w:lineRule="exact"/>
        <w:rPr>
          <w:sz w:val="20"/>
          <w:szCs w:val="20"/>
          <w:color w:val="auto"/>
        </w:rPr>
      </w:pPr>
    </w:p>
    <w:p>
      <w:pPr>
        <w:jc w:val="both"/>
        <w:spacing w:after="0" w:line="263" w:lineRule="auto"/>
        <w:rPr>
          <w:sz w:val="20"/>
          <w:szCs w:val="20"/>
          <w:color w:val="auto"/>
        </w:rPr>
      </w:pPr>
      <w:r>
        <w:rPr>
          <w:rFonts w:ascii="Arial" w:cs="Arial" w:eastAsia="Arial" w:hAnsi="Arial"/>
          <w:sz w:val="21"/>
          <w:szCs w:val="21"/>
          <w:i w:val="1"/>
          <w:iCs w:val="1"/>
          <w:color w:val="auto"/>
        </w:rPr>
        <w:t>M&amp;T’s business, financial condition, liquidity, capital and results of operations have been, and will likely continue to be, adversely affected by the COVID-19 pandemic.</w:t>
      </w:r>
    </w:p>
    <w:p>
      <w:pPr>
        <w:spacing w:after="0" w:line="172"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The Coronavirus Disease 2019 (“COVID-19”) pandemic has created economic and financial disruptions that have adversely affected, and are likely to continue to adversely affect, the Company’s business, financial condition, liquidity, capital and results of operations. The extent to which the COVID-19 pandemic will continue to negatively affect the Company’s business, financial condition, liquidity, capital and results of operations will depend on future developments, which are highly uncertain and cannot be predicted, including the scope and duration of the pandemic, the continued effectiveness of M&amp;T’s business continuity plans, the direct and indirect impact of the pandemic on the Company’s employees, customers, clients, counterparties and service providers, as well as other market participants, and actions taken by governmental authorities and other third parties in response to the pandemic.</w:t>
      </w:r>
    </w:p>
    <w:p>
      <w:pPr>
        <w:spacing w:after="0" w:line="169" w:lineRule="exact"/>
        <w:rPr>
          <w:sz w:val="20"/>
          <w:szCs w:val="20"/>
          <w:color w:val="auto"/>
        </w:rPr>
      </w:pPr>
    </w:p>
    <w:p>
      <w:pPr>
        <w:ind w:left="480"/>
        <w:spacing w:after="0"/>
        <w:rPr>
          <w:sz w:val="20"/>
          <w:szCs w:val="20"/>
          <w:color w:val="auto"/>
        </w:rPr>
      </w:pPr>
      <w:r>
        <w:rPr>
          <w:rFonts w:ascii="Arial" w:cs="Arial" w:eastAsia="Arial" w:hAnsi="Arial"/>
          <w:sz w:val="21"/>
          <w:szCs w:val="21"/>
          <w:color w:val="auto"/>
        </w:rPr>
        <w:t>The COVID-19 pandemic has contributed to:</w:t>
      </w:r>
    </w:p>
    <w:p>
      <w:pPr>
        <w:spacing w:after="0" w:line="217" w:lineRule="exact"/>
        <w:rPr>
          <w:sz w:val="20"/>
          <w:szCs w:val="20"/>
          <w:color w:val="auto"/>
        </w:rPr>
      </w:pPr>
    </w:p>
    <w:p>
      <w:pPr>
        <w:ind w:left="2240" w:hanging="735"/>
        <w:spacing w:after="0" w:line="250" w:lineRule="auto"/>
        <w:tabs>
          <w:tab w:leader="none" w:pos="2240" w:val="left"/>
        </w:tabs>
        <w:numPr>
          <w:ilvl w:val="0"/>
          <w:numId w:val="29"/>
        </w:numPr>
        <w:rPr>
          <w:rFonts w:ascii="Arial" w:cs="Arial" w:eastAsia="Arial" w:hAnsi="Arial"/>
          <w:sz w:val="21"/>
          <w:szCs w:val="21"/>
          <w:color w:val="auto"/>
        </w:rPr>
      </w:pPr>
      <w:r>
        <w:rPr>
          <w:rFonts w:ascii="Arial" w:cs="Arial" w:eastAsia="Arial" w:hAnsi="Arial"/>
          <w:sz w:val="21"/>
          <w:szCs w:val="21"/>
          <w:color w:val="auto"/>
        </w:rPr>
        <w:t>Increased unemployment and decreased consumer confidence and business generally, leading to an increased risk of delinquencies, defaults and foreclosures;</w:t>
      </w:r>
    </w:p>
    <w:p>
      <w:pPr>
        <w:ind w:left="2240" w:hanging="735"/>
        <w:spacing w:after="0" w:line="241" w:lineRule="auto"/>
        <w:tabs>
          <w:tab w:leader="none" w:pos="2240" w:val="left"/>
        </w:tabs>
        <w:numPr>
          <w:ilvl w:val="0"/>
          <w:numId w:val="29"/>
        </w:numPr>
        <w:rPr>
          <w:rFonts w:ascii="Arial" w:cs="Arial" w:eastAsia="Arial" w:hAnsi="Arial"/>
          <w:sz w:val="21"/>
          <w:szCs w:val="21"/>
          <w:color w:val="auto"/>
        </w:rPr>
      </w:pPr>
      <w:r>
        <w:rPr>
          <w:rFonts w:ascii="Arial" w:cs="Arial" w:eastAsia="Arial" w:hAnsi="Arial"/>
          <w:sz w:val="21"/>
          <w:szCs w:val="21"/>
          <w:color w:val="auto"/>
        </w:rPr>
        <w:t>A sudden and significant reduction in the valuation of the equity, fixed-income and commodity markets and the significant increase in the volatility of those markets;</w:t>
      </w:r>
    </w:p>
    <w:p>
      <w:pPr>
        <w:ind w:left="2240" w:hanging="735"/>
        <w:spacing w:after="0" w:line="241" w:lineRule="auto"/>
        <w:tabs>
          <w:tab w:leader="none" w:pos="2240" w:val="left"/>
        </w:tabs>
        <w:numPr>
          <w:ilvl w:val="0"/>
          <w:numId w:val="29"/>
        </w:numPr>
        <w:rPr>
          <w:rFonts w:ascii="Arial" w:cs="Arial" w:eastAsia="Arial" w:hAnsi="Arial"/>
          <w:sz w:val="21"/>
          <w:szCs w:val="21"/>
          <w:color w:val="auto"/>
        </w:rPr>
      </w:pPr>
      <w:r>
        <w:rPr>
          <w:rFonts w:ascii="Arial" w:cs="Arial" w:eastAsia="Arial" w:hAnsi="Arial"/>
          <w:sz w:val="21"/>
          <w:szCs w:val="21"/>
          <w:color w:val="auto"/>
        </w:rPr>
        <w:t>A decrease in the rates and yields on U.S. Treasury securities, which may negatively impact net interest income and margin;</w:t>
      </w:r>
    </w:p>
    <w:p>
      <w:pPr>
        <w:ind w:left="2240" w:hanging="735"/>
        <w:spacing w:after="0"/>
        <w:tabs>
          <w:tab w:leader="none" w:pos="2240" w:val="left"/>
        </w:tabs>
        <w:numPr>
          <w:ilvl w:val="0"/>
          <w:numId w:val="29"/>
        </w:numPr>
        <w:rPr>
          <w:rFonts w:ascii="Arial" w:cs="Arial" w:eastAsia="Arial" w:hAnsi="Arial"/>
          <w:sz w:val="21"/>
          <w:szCs w:val="21"/>
          <w:color w:val="auto"/>
        </w:rPr>
      </w:pPr>
      <w:r>
        <w:rPr>
          <w:rFonts w:ascii="Arial" w:cs="Arial" w:eastAsia="Arial" w:hAnsi="Arial"/>
          <w:sz w:val="21"/>
          <w:szCs w:val="21"/>
          <w:color w:val="auto"/>
        </w:rPr>
        <w:t>Declines in collateral values;</w:t>
      </w:r>
    </w:p>
    <w:p>
      <w:pPr>
        <w:spacing w:after="0" w:line="1" w:lineRule="exact"/>
        <w:rPr>
          <w:rFonts w:ascii="Arial" w:cs="Arial" w:eastAsia="Arial" w:hAnsi="Arial"/>
          <w:sz w:val="21"/>
          <w:szCs w:val="21"/>
          <w:color w:val="auto"/>
        </w:rPr>
      </w:pPr>
    </w:p>
    <w:p>
      <w:pPr>
        <w:ind w:left="2240" w:hanging="735"/>
        <w:spacing w:after="0" w:line="241" w:lineRule="auto"/>
        <w:tabs>
          <w:tab w:leader="none" w:pos="2240" w:val="left"/>
        </w:tabs>
        <w:numPr>
          <w:ilvl w:val="0"/>
          <w:numId w:val="29"/>
        </w:numPr>
        <w:rPr>
          <w:rFonts w:ascii="Arial" w:cs="Arial" w:eastAsia="Arial" w:hAnsi="Arial"/>
          <w:sz w:val="21"/>
          <w:szCs w:val="21"/>
          <w:color w:val="auto"/>
        </w:rPr>
      </w:pPr>
      <w:r>
        <w:rPr>
          <w:rFonts w:ascii="Arial" w:cs="Arial" w:eastAsia="Arial" w:hAnsi="Arial"/>
          <w:sz w:val="21"/>
          <w:szCs w:val="21"/>
          <w:color w:val="auto"/>
        </w:rPr>
        <w:t>Increased demands on capital and liquidity, leading M&amp;T to cease repurchases of its common stock for the time being;</w:t>
      </w:r>
    </w:p>
    <w:p>
      <w:pPr>
        <w:ind w:left="2240" w:right="20" w:hanging="735"/>
        <w:spacing w:after="0" w:line="241" w:lineRule="auto"/>
        <w:tabs>
          <w:tab w:leader="none" w:pos="2240" w:val="left"/>
        </w:tabs>
        <w:numPr>
          <w:ilvl w:val="0"/>
          <w:numId w:val="29"/>
        </w:numPr>
        <w:rPr>
          <w:rFonts w:ascii="Arial" w:cs="Arial" w:eastAsia="Arial" w:hAnsi="Arial"/>
          <w:sz w:val="21"/>
          <w:szCs w:val="21"/>
          <w:color w:val="auto"/>
        </w:rPr>
      </w:pPr>
      <w:r>
        <w:rPr>
          <w:rFonts w:ascii="Arial" w:cs="Arial" w:eastAsia="Arial" w:hAnsi="Arial"/>
          <w:sz w:val="21"/>
          <w:szCs w:val="21"/>
          <w:color w:val="auto"/>
        </w:rPr>
        <w:t>A reduction in the value of the assets that the Company manages or otherwise administers or services for others, affecting related fee income and demand for the Company’s services;</w:t>
      </w:r>
    </w:p>
    <w:p>
      <w:pPr>
        <w:ind w:left="2240" w:right="20" w:hanging="735"/>
        <w:spacing w:after="0" w:line="241" w:lineRule="auto"/>
        <w:tabs>
          <w:tab w:leader="none" w:pos="2240" w:val="left"/>
        </w:tabs>
        <w:numPr>
          <w:ilvl w:val="0"/>
          <w:numId w:val="29"/>
        </w:numPr>
        <w:rPr>
          <w:rFonts w:ascii="Arial" w:cs="Arial" w:eastAsia="Arial" w:hAnsi="Arial"/>
          <w:sz w:val="21"/>
          <w:szCs w:val="21"/>
          <w:color w:val="auto"/>
        </w:rPr>
      </w:pPr>
      <w:r>
        <w:rPr>
          <w:rFonts w:ascii="Arial" w:cs="Arial" w:eastAsia="Arial" w:hAnsi="Arial"/>
          <w:sz w:val="21"/>
          <w:szCs w:val="21"/>
          <w:color w:val="auto"/>
        </w:rPr>
        <w:t>Heightened cybersecurity, information security and operational risks as a result of work-from-home arrangements; and</w:t>
      </w:r>
    </w:p>
    <w:p>
      <w:pPr>
        <w:ind w:left="2240" w:hanging="735"/>
        <w:spacing w:after="0"/>
        <w:tabs>
          <w:tab w:leader="none" w:pos="2240" w:val="left"/>
        </w:tabs>
        <w:numPr>
          <w:ilvl w:val="0"/>
          <w:numId w:val="29"/>
        </w:numPr>
        <w:rPr>
          <w:rFonts w:ascii="Arial" w:cs="Arial" w:eastAsia="Arial" w:hAnsi="Arial"/>
          <w:sz w:val="21"/>
          <w:szCs w:val="21"/>
          <w:color w:val="auto"/>
        </w:rPr>
      </w:pPr>
      <w:r>
        <w:rPr>
          <w:rFonts w:ascii="Arial" w:cs="Arial" w:eastAsia="Arial" w:hAnsi="Arial"/>
          <w:sz w:val="21"/>
          <w:szCs w:val="21"/>
          <w:color w:val="auto"/>
        </w:rPr>
        <w:t>Disruptions to business operations at counterparties and service providers.</w:t>
      </w:r>
    </w:p>
    <w:p>
      <w:pPr>
        <w:spacing w:after="0" w:line="200" w:lineRule="exact"/>
        <w:rPr>
          <w:rFonts w:ascii="Arial" w:cs="Arial" w:eastAsia="Arial" w:hAnsi="Arial"/>
          <w:sz w:val="21"/>
          <w:szCs w:val="21"/>
          <w:color w:val="auto"/>
        </w:rPr>
      </w:pPr>
    </w:p>
    <w:p>
      <w:pPr>
        <w:spacing w:after="0" w:line="240" w:lineRule="exact"/>
        <w:rPr>
          <w:rFonts w:ascii="Arial" w:cs="Arial" w:eastAsia="Arial" w:hAnsi="Arial"/>
          <w:sz w:val="21"/>
          <w:szCs w:val="21"/>
          <w:color w:val="auto"/>
        </w:rPr>
      </w:pPr>
    </w:p>
    <w:p>
      <w:pPr>
        <w:ind w:left="5540" w:hanging="111"/>
        <w:spacing w:after="0"/>
        <w:tabs>
          <w:tab w:leader="none" w:pos="55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82 -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82" w:name="page83"/>
    <w:bookmarkEnd w:id="82"/>
    <w:p>
      <w:pPr>
        <w:ind w:left="560"/>
        <w:spacing w:after="0"/>
        <w:rPr>
          <w:sz w:val="20"/>
          <w:szCs w:val="20"/>
          <w:color w:val="auto"/>
        </w:rPr>
      </w:pPr>
      <w:r>
        <w:rPr>
          <w:rFonts w:ascii="Arial" w:cs="Arial" w:eastAsia="Arial" w:hAnsi="Arial"/>
          <w:sz w:val="19"/>
          <w:szCs w:val="19"/>
          <w:color w:val="auto"/>
        </w:rPr>
        <w:t>As a result, the Company’s credit, operational and other risks are generally expected to increase until the pandemic subsides.</w:t>
      </w:r>
    </w:p>
    <w:p>
      <w:pPr>
        <w:spacing w:after="0" w:line="240" w:lineRule="exact"/>
        <w:rPr>
          <w:sz w:val="20"/>
          <w:szCs w:val="20"/>
          <w:color w:val="auto"/>
        </w:rPr>
      </w:pPr>
    </w:p>
    <w:p>
      <w:pPr>
        <w:jc w:val="both"/>
        <w:ind w:firstLine="562"/>
        <w:spacing w:after="0" w:line="246" w:lineRule="auto"/>
        <w:rPr>
          <w:sz w:val="20"/>
          <w:szCs w:val="20"/>
          <w:color w:val="auto"/>
        </w:rPr>
      </w:pPr>
      <w:r>
        <w:rPr>
          <w:rFonts w:ascii="Arial" w:cs="Arial" w:eastAsia="Arial" w:hAnsi="Arial"/>
          <w:sz w:val="21"/>
          <w:szCs w:val="21"/>
          <w:color w:val="auto"/>
        </w:rPr>
        <w:t>In addition, the Company’s business operations are at risk of disruption if significant portions of its workforce are unable to work effectively, including because of illness, quarantines, government actions, failures in systems or technology that disrupt work-from-home arrangements or other effects of the pandemic, or if the Company is unable to keep branches open, including because of risk of infection. The Company has already taken action to implement a limited branch service model, with in-person visits by appointment only.</w:t>
      </w:r>
    </w:p>
    <w:p>
      <w:pPr>
        <w:spacing w:after="0" w:line="192" w:lineRule="exact"/>
        <w:rPr>
          <w:sz w:val="20"/>
          <w:szCs w:val="20"/>
          <w:color w:val="auto"/>
        </w:rPr>
      </w:pPr>
    </w:p>
    <w:p>
      <w:pPr>
        <w:jc w:val="both"/>
        <w:ind w:firstLine="562"/>
        <w:spacing w:after="0" w:line="272" w:lineRule="auto"/>
        <w:rPr>
          <w:sz w:val="20"/>
          <w:szCs w:val="20"/>
          <w:color w:val="auto"/>
        </w:rPr>
      </w:pPr>
      <w:r>
        <w:rPr>
          <w:rFonts w:ascii="Arial" w:cs="Arial" w:eastAsia="Arial" w:hAnsi="Arial"/>
          <w:sz w:val="19"/>
          <w:szCs w:val="19"/>
          <w:color w:val="auto"/>
        </w:rPr>
        <w:t>Governmental authorities have taken unprecedented measures to provide economic assistance to individual households and businesses, stabilize the markets and support economic growth. The success of these measures is unknown and they may not be sufficient to fully mitigate the negative impact of the COVID-19 pandemic. Additionally, some measures, such as a suspension of mortgage and other loan payments and foreclosures, may have a negative impact on the Company’s business, financial condition, liquidity, capital and results of operations. If such measures are not effective in mitigating the effects of COVID-19 on the Company’s borrowers, it may also experience higher rates of default and increased credit losses in future periods. The Company also faces an increased risk of litigation and governmental and regulatory scrutiny as a result of the effects of COVID-19 on market and economic conditions and actions governmental authorities take in response to those conditions. Furthermore, various government programs such as the Paycheck Protection Program are complex and the Company’s participation may lead to litigation and governmental, regulatory and third party scrutiny, negative publicity and damage to its reputation.</w:t>
      </w:r>
    </w:p>
    <w:p>
      <w:pPr>
        <w:spacing w:after="0" w:line="167" w:lineRule="exact"/>
        <w:rPr>
          <w:sz w:val="20"/>
          <w:szCs w:val="20"/>
          <w:color w:val="auto"/>
        </w:rPr>
      </w:pPr>
    </w:p>
    <w:p>
      <w:pPr>
        <w:jc w:val="both"/>
        <w:ind w:firstLine="562"/>
        <w:spacing w:after="0" w:line="258" w:lineRule="auto"/>
        <w:rPr>
          <w:sz w:val="20"/>
          <w:szCs w:val="20"/>
          <w:color w:val="auto"/>
        </w:rPr>
      </w:pPr>
      <w:r>
        <w:rPr>
          <w:rFonts w:ascii="Arial" w:cs="Arial" w:eastAsia="Arial" w:hAnsi="Arial"/>
          <w:sz w:val="20"/>
          <w:szCs w:val="20"/>
          <w:color w:val="auto"/>
        </w:rPr>
        <w:t>The length of the pandemic and the efficacy of the extraordinary measures being put in place to address it are unknown. Until the pandemic subsides, the Company expects continued draws on lines of credit, reduced revenues in Trust and other businesses and increased customer and client defaults, including defaults in unsecured loans. Even after the pandemic subsides, the U.S. economy may experience a recession, and M&amp;T anticipates the Company’s businesses would be materially and adversely affected by a prolonged recession. To the extent the pandemic adversely affects the Company’s business, financial condition, liquidity, capital or results of operations, it may also have the effect of heightening many of the other risks described in the section entitled “Risk Factors” in M&amp;T’s 2019 Annual Report on Form 10-K for the year ended December 31, 2019 and M&amp;T’s other filings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83" w:name="page84"/>
    <w:bookmarkEnd w:id="83"/>
    <w:p>
      <w:pPr>
        <w:spacing w:after="0"/>
        <w:tabs>
          <w:tab w:leader="none" w:pos="1000" w:val="left"/>
        </w:tabs>
        <w:rPr>
          <w:sz w:val="20"/>
          <w:szCs w:val="20"/>
          <w:color w:val="auto"/>
        </w:rPr>
      </w:pPr>
      <w:r>
        <w:rPr>
          <w:rFonts w:ascii="Arial" w:cs="Arial" w:eastAsia="Arial" w:hAnsi="Arial"/>
          <w:sz w:val="21"/>
          <w:szCs w:val="21"/>
          <w:color w:val="auto"/>
        </w:rPr>
        <w:t>Item 2.</w:t>
      </w:r>
      <w:r>
        <w:rPr>
          <w:sz w:val="20"/>
          <w:szCs w:val="20"/>
          <w:color w:val="auto"/>
        </w:rPr>
        <w:tab/>
      </w:r>
      <w:r>
        <w:rPr>
          <w:rFonts w:ascii="Arial" w:cs="Arial" w:eastAsia="Arial" w:hAnsi="Arial"/>
          <w:sz w:val="18"/>
          <w:szCs w:val="18"/>
          <w:color w:val="auto"/>
        </w:rPr>
        <w:t>Unregistered Sales of Equity Securities and Use of Proceeds.</w:t>
      </w:r>
    </w:p>
    <w:p>
      <w:pPr>
        <w:spacing w:after="0" w:line="109" w:lineRule="exact"/>
        <w:rPr>
          <w:sz w:val="20"/>
          <w:szCs w:val="20"/>
          <w:color w:val="auto"/>
        </w:rPr>
      </w:pPr>
    </w:p>
    <w:p>
      <w:pPr>
        <w:ind w:left="800" w:hanging="282"/>
        <w:spacing w:after="0"/>
        <w:tabs>
          <w:tab w:leader="none" w:pos="800" w:val="left"/>
        </w:tabs>
        <w:numPr>
          <w:ilvl w:val="0"/>
          <w:numId w:val="30"/>
        </w:numPr>
        <w:rPr>
          <w:rFonts w:ascii="Arial" w:cs="Arial" w:eastAsia="Arial" w:hAnsi="Arial"/>
          <w:sz w:val="21"/>
          <w:szCs w:val="21"/>
          <w:color w:val="auto"/>
        </w:rPr>
      </w:pPr>
      <w:r>
        <w:rPr>
          <w:rFonts w:ascii="Arial" w:cs="Arial" w:eastAsia="Arial" w:hAnsi="Arial"/>
          <w:sz w:val="21"/>
          <w:szCs w:val="21"/>
          <w:color w:val="auto"/>
        </w:rPr>
        <w:t>– (b) Not applicable.</w:t>
      </w:r>
    </w:p>
    <w:p>
      <w:pPr>
        <w:spacing w:after="0" w:line="109" w:lineRule="exact"/>
        <w:rPr>
          <w:rFonts w:ascii="Arial" w:cs="Arial" w:eastAsia="Arial" w:hAnsi="Arial"/>
          <w:sz w:val="21"/>
          <w:szCs w:val="21"/>
          <w:color w:val="auto"/>
        </w:rPr>
      </w:pPr>
    </w:p>
    <w:p>
      <w:pPr>
        <w:spacing w:after="0"/>
        <w:tabs>
          <w:tab w:leader="none" w:pos="0" w:val="left"/>
        </w:tabs>
        <w:numPr>
          <w:ilvl w:val="0"/>
          <w:numId w:val="31"/>
        </w:numPr>
        <w:rPr>
          <w:rFonts w:ascii="Arial" w:cs="Arial" w:eastAsia="Arial" w:hAnsi="Arial"/>
          <w:sz w:val="21"/>
          <w:szCs w:val="21"/>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6"/>
          </w:tcPr>
          <w:p>
            <w:pPr>
              <w:ind w:left="140"/>
              <w:spacing w:after="0"/>
              <w:rPr>
                <w:sz w:val="20"/>
                <w:szCs w:val="20"/>
                <w:color w:val="auto"/>
              </w:rPr>
            </w:pPr>
            <w:r>
              <w:rPr>
                <w:rFonts w:ascii="Arial" w:cs="Arial" w:eastAsia="Arial" w:hAnsi="Arial"/>
                <w:sz w:val="14"/>
                <w:szCs w:val="14"/>
                <w:b w:val="1"/>
                <w:bCs w:val="1"/>
                <w:color w:val="auto"/>
                <w:w w:val="90"/>
              </w:rPr>
              <w:t>Issuer Purchases of Equity Securities</w:t>
            </w:r>
          </w:p>
        </w:tc>
        <w:tc>
          <w:tcPr>
            <w:tcW w:w="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(c)Total</w:t>
            </w:r>
          </w:p>
        </w:tc>
        <w:tc>
          <w:tcPr>
            <w:tcW w:w="60" w:type="dxa"/>
            <w:vAlign w:val="bottom"/>
          </w:tcPr>
          <w:p>
            <w:pPr>
              <w:spacing w:after="0"/>
              <w:rPr>
                <w:sz w:val="11"/>
                <w:szCs w:val="11"/>
                <w:color w:val="auto"/>
              </w:rPr>
            </w:pPr>
          </w:p>
        </w:tc>
        <w:tc>
          <w:tcPr>
            <w:tcW w:w="11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9"/>
              </w:rPr>
              <w:t>(d)Maximum</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Number (or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Number of</w:t>
            </w:r>
          </w:p>
        </w:tc>
        <w:tc>
          <w:tcPr>
            <w:tcW w:w="6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Approximate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Shares</w:t>
            </w:r>
          </w:p>
        </w:tc>
        <w:tc>
          <w:tcPr>
            <w:tcW w:w="6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Dollar Value)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(or Units)</w:t>
            </w:r>
          </w:p>
        </w:tc>
        <w:tc>
          <w:tcPr>
            <w:tcW w:w="6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of Shares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(a)Total</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Purchased</w:t>
            </w:r>
          </w:p>
        </w:tc>
        <w:tc>
          <w:tcPr>
            <w:tcW w:w="6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(or Units)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2"/>
              </w:rPr>
              <w:t>(b)Average</w:t>
            </w: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as Part of</w:t>
            </w:r>
          </w:p>
        </w:tc>
        <w:tc>
          <w:tcPr>
            <w:tcW w:w="6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that may yet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Number</w:t>
            </w:r>
          </w:p>
        </w:tc>
        <w:tc>
          <w:tcPr>
            <w:tcW w:w="28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Publicly</w:t>
            </w:r>
          </w:p>
        </w:tc>
        <w:tc>
          <w:tcPr>
            <w:tcW w:w="6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be Purchased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 Shares</w:t>
            </w:r>
          </w:p>
        </w:tc>
        <w:tc>
          <w:tcPr>
            <w:tcW w:w="280" w:type="dxa"/>
            <w:vAlign w:val="bottom"/>
          </w:tcPr>
          <w:p>
            <w:pPr>
              <w:spacing w:after="0"/>
              <w:rPr>
                <w:sz w:val="12"/>
                <w:szCs w:val="12"/>
                <w:color w:val="auto"/>
              </w:rPr>
            </w:pPr>
          </w:p>
        </w:tc>
        <w:tc>
          <w:tcPr>
            <w:tcW w:w="110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Price Paid</w:t>
            </w: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Announced</w:t>
            </w:r>
          </w:p>
        </w:tc>
        <w:tc>
          <w:tcPr>
            <w:tcW w:w="6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Under the</w:t>
            </w:r>
          </w:p>
        </w:tc>
        <w:tc>
          <w:tcPr>
            <w:tcW w:w="0" w:type="dxa"/>
            <w:vAlign w:val="bottom"/>
          </w:tcPr>
          <w:p>
            <w:pPr>
              <w:spacing w:after="0"/>
              <w:rPr>
                <w:sz w:val="1"/>
                <w:szCs w:val="1"/>
                <w:color w:val="auto"/>
              </w:rPr>
            </w:pPr>
          </w:p>
        </w:tc>
      </w:tr>
      <w:tr>
        <w:trPr>
          <w:trHeight w:val="148"/>
        </w:trPr>
        <w:tc>
          <w:tcPr>
            <w:tcW w:w="41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Period</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(or Units)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per Share</w:t>
            </w: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Plans or</w:t>
            </w:r>
          </w:p>
        </w:tc>
        <w:tc>
          <w:tcPr>
            <w:tcW w:w="6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Plans or</w:t>
            </w:r>
          </w:p>
        </w:tc>
        <w:tc>
          <w:tcPr>
            <w:tcW w:w="0" w:type="dxa"/>
            <w:vAlign w:val="bottom"/>
          </w:tcPr>
          <w:p>
            <w:pPr>
              <w:spacing w:after="0"/>
              <w:rPr>
                <w:sz w:val="1"/>
                <w:szCs w:val="1"/>
                <w:color w:val="auto"/>
              </w:rPr>
            </w:pPr>
          </w:p>
        </w:tc>
      </w:tr>
      <w:tr>
        <w:trPr>
          <w:trHeight w:val="165"/>
        </w:trPr>
        <w:tc>
          <w:tcPr>
            <w:tcW w:w="4140" w:type="dxa"/>
            <w:vAlign w:val="bottom"/>
            <w:gridSpan w:val="4"/>
            <w:vMerge w:val="continue"/>
          </w:tcPr>
          <w:p>
            <w:pPr>
              <w:spacing w:after="0"/>
              <w:rPr>
                <w:sz w:val="14"/>
                <w:szCs w:val="14"/>
                <w:color w:val="auto"/>
              </w:rPr>
            </w:pPr>
          </w:p>
        </w:tc>
        <w:tc>
          <w:tcPr>
            <w:tcW w:w="110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0"/>
              </w:rPr>
              <w:t>Purchased (1)</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380"/>
              <w:spacing w:after="0" w:line="157" w:lineRule="exact"/>
              <w:rPr>
                <w:sz w:val="20"/>
                <w:szCs w:val="20"/>
                <w:color w:val="auto"/>
              </w:rPr>
            </w:pPr>
            <w:r>
              <w:rPr>
                <w:rFonts w:ascii="Arial" w:cs="Arial" w:eastAsia="Arial" w:hAnsi="Arial"/>
                <w:sz w:val="14"/>
                <w:szCs w:val="14"/>
                <w:b w:val="1"/>
                <w:bCs w:val="1"/>
                <w:color w:val="auto"/>
                <w:w w:val="99"/>
              </w:rPr>
              <w:t>(or Unit)</w:t>
            </w:r>
          </w:p>
        </w:tc>
        <w:tc>
          <w:tcPr>
            <w:tcW w:w="1060" w:type="dxa"/>
            <w:vAlign w:val="bottom"/>
            <w:gridSpan w:val="2"/>
          </w:tcPr>
          <w:p>
            <w:pPr>
              <w:jc w:val="center"/>
              <w:ind w:right="220"/>
              <w:spacing w:after="0" w:line="157" w:lineRule="exact"/>
              <w:rPr>
                <w:sz w:val="20"/>
                <w:szCs w:val="20"/>
                <w:color w:val="auto"/>
              </w:rPr>
            </w:pPr>
            <w:r>
              <w:rPr>
                <w:rFonts w:ascii="Arial" w:cs="Arial" w:eastAsia="Arial" w:hAnsi="Arial"/>
                <w:sz w:val="14"/>
                <w:szCs w:val="14"/>
                <w:b w:val="1"/>
                <w:bCs w:val="1"/>
                <w:color w:val="auto"/>
                <w:w w:val="91"/>
              </w:rPr>
              <w:t>Programs</w:t>
            </w:r>
          </w:p>
        </w:tc>
        <w:tc>
          <w:tcPr>
            <w:tcW w:w="60" w:type="dxa"/>
            <w:vAlign w:val="bottom"/>
          </w:tcPr>
          <w:p>
            <w:pPr>
              <w:spacing w:after="0"/>
              <w:rPr>
                <w:sz w:val="14"/>
                <w:szCs w:val="14"/>
                <w:color w:val="auto"/>
              </w:rPr>
            </w:pPr>
          </w:p>
        </w:tc>
        <w:tc>
          <w:tcPr>
            <w:tcW w:w="1240" w:type="dxa"/>
            <w:vAlign w:val="bottom"/>
            <w:gridSpan w:val="2"/>
          </w:tcPr>
          <w:p>
            <w:pPr>
              <w:jc w:val="center"/>
              <w:ind w:right="100"/>
              <w:spacing w:after="0" w:line="157" w:lineRule="exact"/>
              <w:rPr>
                <w:sz w:val="20"/>
                <w:szCs w:val="20"/>
                <w:color w:val="auto"/>
              </w:rPr>
            </w:pPr>
            <w:r>
              <w:rPr>
                <w:rFonts w:ascii="Arial" w:cs="Arial" w:eastAsia="Arial" w:hAnsi="Arial"/>
                <w:sz w:val="14"/>
                <w:szCs w:val="14"/>
                <w:b w:val="1"/>
                <w:bCs w:val="1"/>
                <w:color w:val="auto"/>
                <w:w w:val="94"/>
              </w:rPr>
              <w:t>Programs (2)</w:t>
            </w: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3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41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January 1 - January 31, 2020</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327,603</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168.84</w:t>
            </w: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310,000</w:t>
            </w: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4"/>
              </w:rPr>
              <w:t>$1,000,481,698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20" w:type="dxa"/>
            <w:vAlign w:val="bottom"/>
            <w:gridSpan w:val="3"/>
          </w:tcPr>
          <w:p>
            <w:pPr>
              <w:spacing w:after="0"/>
              <w:rPr>
                <w:sz w:val="20"/>
                <w:szCs w:val="20"/>
                <w:color w:val="auto"/>
              </w:rPr>
            </w:pPr>
            <w:r>
              <w:rPr>
                <w:rFonts w:ascii="Arial" w:cs="Arial" w:eastAsia="Arial" w:hAnsi="Arial"/>
                <w:sz w:val="18"/>
                <w:szCs w:val="18"/>
                <w:color w:val="auto"/>
              </w:rPr>
              <w:t>February 1 - February 29, 2020</w:t>
            </w:r>
          </w:p>
        </w:tc>
        <w:tc>
          <w:tcPr>
            <w:tcW w:w="1100" w:type="dxa"/>
            <w:vAlign w:val="bottom"/>
          </w:tcPr>
          <w:p>
            <w:pPr>
              <w:jc w:val="right"/>
              <w:spacing w:after="0"/>
              <w:rPr>
                <w:sz w:val="20"/>
                <w:szCs w:val="20"/>
                <w:color w:val="auto"/>
              </w:rPr>
            </w:pPr>
            <w:r>
              <w:rPr>
                <w:rFonts w:ascii="Arial" w:cs="Arial" w:eastAsia="Arial" w:hAnsi="Arial"/>
                <w:sz w:val="18"/>
                <w:szCs w:val="18"/>
                <w:color w:val="auto"/>
              </w:rPr>
              <w:t>1,217,000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161.91</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9"/>
              </w:rPr>
              <w:t>1,217,000</w:t>
            </w:r>
          </w:p>
        </w:tc>
        <w:tc>
          <w:tcPr>
            <w:tcW w:w="22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803,431,182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March 1 - March 31, 2020</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1,050,000</w:t>
            </w:r>
          </w:p>
        </w:tc>
        <w:tc>
          <w:tcPr>
            <w:tcW w:w="2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118.43</w:t>
            </w:r>
          </w:p>
        </w:tc>
        <w:tc>
          <w:tcPr>
            <w:tcW w:w="28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1,050,000</w:t>
            </w: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679,076,785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40" w:type="dxa"/>
            <w:vAlign w:val="bottom"/>
            <w:gridSpan w:val="4"/>
          </w:tcPr>
          <w:p>
            <w:pPr>
              <w:spacing w:after="0"/>
              <w:rPr>
                <w:sz w:val="20"/>
                <w:szCs w:val="20"/>
                <w:color w:val="auto"/>
              </w:rPr>
            </w:pPr>
            <w:r>
              <w:rPr>
                <w:rFonts w:ascii="Arial" w:cs="Arial" w:eastAsia="Arial" w:hAnsi="Arial"/>
                <w:sz w:val="18"/>
                <w:szCs w:val="18"/>
                <w:color w:val="auto"/>
              </w:rPr>
              <w:t>Total</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2,594,603</w:t>
            </w:r>
          </w:p>
        </w:tc>
        <w:tc>
          <w:tcPr>
            <w:tcW w:w="2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145.19</w:t>
            </w:r>
          </w:p>
        </w:tc>
        <w:tc>
          <w:tcPr>
            <w:tcW w:w="28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2,577,000</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p>
      <w:pPr>
        <w:jc w:val="both"/>
        <w:ind w:left="500" w:hanging="492"/>
        <w:spacing w:after="0" w:line="254" w:lineRule="auto"/>
        <w:tabs>
          <w:tab w:leader="none" w:pos="500" w:val="left"/>
        </w:tabs>
        <w:numPr>
          <w:ilvl w:val="0"/>
          <w:numId w:val="32"/>
        </w:numPr>
        <w:rPr>
          <w:rFonts w:ascii="Arial" w:cs="Arial" w:eastAsia="Arial" w:hAnsi="Arial"/>
          <w:sz w:val="18"/>
          <w:szCs w:val="18"/>
          <w:i w:val="1"/>
          <w:iCs w:val="1"/>
          <w:color w:val="auto"/>
        </w:rPr>
      </w:pPr>
      <w:r>
        <w:rPr>
          <w:rFonts w:ascii="Arial" w:cs="Arial" w:eastAsia="Arial" w:hAnsi="Arial"/>
          <w:sz w:val="18"/>
          <w:szCs w:val="18"/>
          <w:i w:val="1"/>
          <w:iCs w:val="1"/>
          <w:color w:val="auto"/>
        </w:rPr>
        <w:t>The total number of shares purchased during the periods indicated includes shares purchased as part of publicly announced programs and shares deemed to have been received from employees who exercised stock options by attesting to previously acquired common shares in satisfaction of the exercise price or shares received from employees upon the vesting of restricted stock awards in satisfaction of applicable tax withholding obligations, as is permitted under M&amp;T’s stock-based compensation plans.</w:t>
      </w:r>
    </w:p>
    <w:p>
      <w:pPr>
        <w:spacing w:after="0" w:line="1" w:lineRule="exact"/>
        <w:rPr>
          <w:rFonts w:ascii="Arial" w:cs="Arial" w:eastAsia="Arial" w:hAnsi="Arial"/>
          <w:sz w:val="18"/>
          <w:szCs w:val="18"/>
          <w:i w:val="1"/>
          <w:iCs w:val="1"/>
          <w:color w:val="auto"/>
        </w:rPr>
      </w:pPr>
    </w:p>
    <w:p>
      <w:pPr>
        <w:ind w:left="500" w:hanging="492"/>
        <w:spacing w:after="0" w:line="260" w:lineRule="auto"/>
        <w:tabs>
          <w:tab w:leader="none" w:pos="500" w:val="left"/>
        </w:tabs>
        <w:numPr>
          <w:ilvl w:val="0"/>
          <w:numId w:val="32"/>
        </w:numPr>
        <w:rPr>
          <w:rFonts w:ascii="Arial" w:cs="Arial" w:eastAsia="Arial" w:hAnsi="Arial"/>
          <w:sz w:val="18"/>
          <w:szCs w:val="18"/>
          <w:i w:val="1"/>
          <w:iCs w:val="1"/>
          <w:color w:val="auto"/>
        </w:rPr>
      </w:pPr>
      <w:r>
        <w:rPr>
          <w:rFonts w:ascii="Arial" w:cs="Arial" w:eastAsia="Arial" w:hAnsi="Arial"/>
          <w:sz w:val="18"/>
          <w:szCs w:val="18"/>
          <w:i w:val="1"/>
          <w:iCs w:val="1"/>
          <w:color w:val="auto"/>
        </w:rPr>
        <w:t>On July 17, 2019, M&amp;T’s Board of Directors authorized a new stock repurchase program to repurchase up to $1.635 billion of common shares, including the remaining shares not purchased related to M&amp;T’s 2018 revised capital plan.</w:t>
      </w:r>
    </w:p>
    <w:p>
      <w:pPr>
        <w:spacing w:after="0" w:line="212" w:lineRule="exact"/>
        <w:rPr>
          <w:sz w:val="20"/>
          <w:szCs w:val="20"/>
          <w:color w:val="auto"/>
        </w:rPr>
      </w:pPr>
    </w:p>
    <w:p>
      <w:pPr>
        <w:spacing w:after="0"/>
        <w:tabs>
          <w:tab w:leader="none" w:pos="1000" w:val="left"/>
        </w:tabs>
        <w:rPr>
          <w:sz w:val="20"/>
          <w:szCs w:val="20"/>
          <w:color w:val="auto"/>
        </w:rPr>
      </w:pPr>
      <w:r>
        <w:rPr>
          <w:rFonts w:ascii="Arial" w:cs="Arial" w:eastAsia="Arial" w:hAnsi="Arial"/>
          <w:sz w:val="21"/>
          <w:szCs w:val="21"/>
          <w:color w:val="auto"/>
        </w:rPr>
        <w:t>Item 3.</w:t>
      </w:r>
      <w:r>
        <w:rPr>
          <w:sz w:val="20"/>
          <w:szCs w:val="20"/>
          <w:color w:val="auto"/>
        </w:rPr>
        <w:tab/>
      </w:r>
      <w:r>
        <w:rPr>
          <w:rFonts w:ascii="Arial" w:cs="Arial" w:eastAsia="Arial" w:hAnsi="Arial"/>
          <w:sz w:val="18"/>
          <w:szCs w:val="18"/>
          <w:color w:val="auto"/>
        </w:rPr>
        <w:t>Defaults Upon Senior Securities.</w:t>
      </w:r>
    </w:p>
    <w:p>
      <w:pPr>
        <w:spacing w:after="0" w:line="109" w:lineRule="exact"/>
        <w:rPr>
          <w:sz w:val="20"/>
          <w:szCs w:val="20"/>
          <w:color w:val="auto"/>
        </w:rPr>
      </w:pPr>
    </w:p>
    <w:p>
      <w:pPr>
        <w:ind w:left="520"/>
        <w:spacing w:after="0"/>
        <w:rPr>
          <w:sz w:val="20"/>
          <w:szCs w:val="20"/>
          <w:color w:val="auto"/>
        </w:rPr>
      </w:pPr>
      <w:r>
        <w:rPr>
          <w:rFonts w:ascii="Arial" w:cs="Arial" w:eastAsia="Arial" w:hAnsi="Arial"/>
          <w:sz w:val="21"/>
          <w:szCs w:val="21"/>
          <w:color w:val="auto"/>
        </w:rPr>
        <w:t>(Not applicable.)</w:t>
      </w:r>
    </w:p>
    <w:p>
      <w:pPr>
        <w:spacing w:after="0" w:line="200" w:lineRule="exact"/>
        <w:rPr>
          <w:sz w:val="20"/>
          <w:szCs w:val="20"/>
          <w:color w:val="auto"/>
        </w:rPr>
      </w:pPr>
    </w:p>
    <w:p>
      <w:pPr>
        <w:spacing w:after="0" w:line="287" w:lineRule="exact"/>
        <w:rPr>
          <w:sz w:val="20"/>
          <w:szCs w:val="20"/>
          <w:color w:val="auto"/>
        </w:rPr>
      </w:pPr>
    </w:p>
    <w:p>
      <w:pPr>
        <w:spacing w:after="0"/>
        <w:tabs>
          <w:tab w:leader="none" w:pos="1000" w:val="left"/>
        </w:tabs>
        <w:rPr>
          <w:sz w:val="20"/>
          <w:szCs w:val="20"/>
          <w:color w:val="auto"/>
        </w:rPr>
      </w:pPr>
      <w:r>
        <w:rPr>
          <w:rFonts w:ascii="Arial" w:cs="Arial" w:eastAsia="Arial" w:hAnsi="Arial"/>
          <w:sz w:val="21"/>
          <w:szCs w:val="21"/>
          <w:color w:val="auto"/>
        </w:rPr>
        <w:t>Item 4.</w:t>
      </w:r>
      <w:r>
        <w:rPr>
          <w:sz w:val="20"/>
          <w:szCs w:val="20"/>
          <w:color w:val="auto"/>
        </w:rPr>
        <w:tab/>
      </w:r>
      <w:r>
        <w:rPr>
          <w:rFonts w:ascii="Arial" w:cs="Arial" w:eastAsia="Arial" w:hAnsi="Arial"/>
          <w:sz w:val="18"/>
          <w:szCs w:val="18"/>
          <w:color w:val="auto"/>
        </w:rPr>
        <w:t>Mine Safety Disclosures.</w:t>
      </w:r>
    </w:p>
    <w:p>
      <w:pPr>
        <w:spacing w:after="0" w:line="109" w:lineRule="exact"/>
        <w:rPr>
          <w:sz w:val="20"/>
          <w:szCs w:val="20"/>
          <w:color w:val="auto"/>
        </w:rPr>
      </w:pPr>
    </w:p>
    <w:p>
      <w:pPr>
        <w:ind w:left="520"/>
        <w:spacing w:after="0"/>
        <w:rPr>
          <w:sz w:val="20"/>
          <w:szCs w:val="20"/>
          <w:color w:val="auto"/>
        </w:rPr>
      </w:pPr>
      <w:r>
        <w:rPr>
          <w:rFonts w:ascii="Arial" w:cs="Arial" w:eastAsia="Arial" w:hAnsi="Arial"/>
          <w:sz w:val="21"/>
          <w:szCs w:val="21"/>
          <w:color w:val="auto"/>
        </w:rPr>
        <w:t>(None.)</w:t>
      </w:r>
    </w:p>
    <w:p>
      <w:pPr>
        <w:spacing w:after="0" w:line="200" w:lineRule="exact"/>
        <w:rPr>
          <w:sz w:val="20"/>
          <w:szCs w:val="20"/>
          <w:color w:val="auto"/>
        </w:rPr>
      </w:pPr>
    </w:p>
    <w:p>
      <w:pPr>
        <w:spacing w:after="0" w:line="287" w:lineRule="exact"/>
        <w:rPr>
          <w:sz w:val="20"/>
          <w:szCs w:val="20"/>
          <w:color w:val="auto"/>
        </w:rPr>
      </w:pPr>
    </w:p>
    <w:p>
      <w:pPr>
        <w:spacing w:after="0"/>
        <w:tabs>
          <w:tab w:leader="none" w:pos="1000" w:val="left"/>
        </w:tabs>
        <w:rPr>
          <w:sz w:val="20"/>
          <w:szCs w:val="20"/>
          <w:color w:val="auto"/>
        </w:rPr>
      </w:pPr>
      <w:r>
        <w:rPr>
          <w:rFonts w:ascii="Arial" w:cs="Arial" w:eastAsia="Arial" w:hAnsi="Arial"/>
          <w:sz w:val="21"/>
          <w:szCs w:val="21"/>
          <w:color w:val="auto"/>
        </w:rPr>
        <w:t>Item 5.</w:t>
      </w:r>
      <w:r>
        <w:rPr>
          <w:sz w:val="20"/>
          <w:szCs w:val="20"/>
          <w:color w:val="auto"/>
        </w:rPr>
        <w:tab/>
      </w:r>
      <w:r>
        <w:rPr>
          <w:rFonts w:ascii="Arial" w:cs="Arial" w:eastAsia="Arial" w:hAnsi="Arial"/>
          <w:sz w:val="19"/>
          <w:szCs w:val="19"/>
          <w:color w:val="auto"/>
        </w:rPr>
        <w:t>Other Information.</w:t>
      </w:r>
    </w:p>
    <w:p>
      <w:pPr>
        <w:spacing w:after="0" w:line="109" w:lineRule="exact"/>
        <w:rPr>
          <w:sz w:val="20"/>
          <w:szCs w:val="20"/>
          <w:color w:val="auto"/>
        </w:rPr>
      </w:pPr>
    </w:p>
    <w:p>
      <w:pPr>
        <w:ind w:left="520"/>
        <w:spacing w:after="0"/>
        <w:rPr>
          <w:sz w:val="20"/>
          <w:szCs w:val="20"/>
          <w:color w:val="auto"/>
        </w:rPr>
      </w:pPr>
      <w:r>
        <w:rPr>
          <w:rFonts w:ascii="Arial" w:cs="Arial" w:eastAsia="Arial" w:hAnsi="Arial"/>
          <w:sz w:val="21"/>
          <w:szCs w:val="21"/>
          <w:color w:val="auto"/>
        </w:rPr>
        <w:t>(None.)</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64"/>
        </w:trPr>
        <w:tc>
          <w:tcPr>
            <w:tcW w:w="960" w:type="dxa"/>
            <w:vAlign w:val="bottom"/>
          </w:tcPr>
          <w:p>
            <w:pPr>
              <w:spacing w:after="0"/>
              <w:rPr>
                <w:sz w:val="20"/>
                <w:szCs w:val="20"/>
                <w:color w:val="auto"/>
              </w:rPr>
            </w:pPr>
            <w:r>
              <w:rPr>
                <w:rFonts w:ascii="Arial" w:cs="Arial" w:eastAsia="Arial" w:hAnsi="Arial"/>
                <w:sz w:val="21"/>
                <w:szCs w:val="21"/>
                <w:color w:val="auto"/>
              </w:rPr>
              <w:t>Item 6.</w:t>
            </w:r>
          </w:p>
        </w:tc>
        <w:tc>
          <w:tcPr>
            <w:tcW w:w="10280" w:type="dxa"/>
            <w:vAlign w:val="bottom"/>
          </w:tcPr>
          <w:p>
            <w:pPr>
              <w:ind w:left="60"/>
              <w:spacing w:after="0"/>
              <w:rPr>
                <w:sz w:val="20"/>
                <w:szCs w:val="20"/>
                <w:color w:val="auto"/>
              </w:rPr>
            </w:pPr>
            <w:r>
              <w:rPr>
                <w:rFonts w:ascii="Arial" w:cs="Arial" w:eastAsia="Arial" w:hAnsi="Arial"/>
                <w:sz w:val="21"/>
                <w:szCs w:val="21"/>
                <w:color w:val="auto"/>
              </w:rPr>
              <w:t>Exhibits.</w:t>
            </w:r>
          </w:p>
        </w:tc>
      </w:tr>
      <w:tr>
        <w:trPr>
          <w:trHeight w:val="351"/>
        </w:trPr>
        <w:tc>
          <w:tcPr>
            <w:tcW w:w="11240" w:type="dxa"/>
            <w:vAlign w:val="bottom"/>
            <w:gridSpan w:val="2"/>
          </w:tcPr>
          <w:p>
            <w:pPr>
              <w:ind w:left="520"/>
              <w:spacing w:after="0"/>
              <w:rPr>
                <w:sz w:val="20"/>
                <w:szCs w:val="20"/>
                <w:color w:val="auto"/>
              </w:rPr>
            </w:pPr>
            <w:r>
              <w:rPr>
                <w:rFonts w:ascii="Arial" w:cs="Arial" w:eastAsia="Arial" w:hAnsi="Arial"/>
                <w:sz w:val="21"/>
                <w:szCs w:val="21"/>
                <w:color w:val="auto"/>
              </w:rPr>
              <w:t>The following exhibits are filed as a part of this report.</w:t>
            </w:r>
          </w:p>
        </w:tc>
      </w:tr>
      <w:tr>
        <w:trPr>
          <w:trHeight w:val="437"/>
        </w:trPr>
        <w:tc>
          <w:tcPr>
            <w:tcW w:w="960" w:type="dxa"/>
            <w:vAlign w:val="bottom"/>
          </w:tcPr>
          <w:p>
            <w:pPr>
              <w:jc w:val="center"/>
              <w:spacing w:after="0"/>
              <w:rPr>
                <w:sz w:val="20"/>
                <w:szCs w:val="20"/>
                <w:color w:val="auto"/>
              </w:rPr>
            </w:pPr>
            <w:r>
              <w:rPr>
                <w:rFonts w:ascii="Arial" w:cs="Arial" w:eastAsia="Arial" w:hAnsi="Arial"/>
                <w:sz w:val="21"/>
                <w:szCs w:val="21"/>
                <w:color w:val="auto"/>
                <w:w w:val="95"/>
              </w:rPr>
              <w:t>Exhibit</w:t>
            </w:r>
          </w:p>
        </w:tc>
        <w:tc>
          <w:tcPr>
            <w:tcW w:w="10280" w:type="dxa"/>
            <w:vAlign w:val="bottom"/>
          </w:tcPr>
          <w:p>
            <w:pPr>
              <w:spacing w:after="0"/>
              <w:rPr>
                <w:sz w:val="24"/>
                <w:szCs w:val="24"/>
                <w:color w:val="auto"/>
              </w:rPr>
            </w:pPr>
          </w:p>
        </w:tc>
      </w:tr>
      <w:tr>
        <w:trPr>
          <w:trHeight w:val="256"/>
        </w:trPr>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21"/>
                <w:szCs w:val="21"/>
                <w:color w:val="auto"/>
                <w:w w:val="97"/>
              </w:rPr>
              <w:t>No.</w:t>
            </w:r>
          </w:p>
        </w:tc>
        <w:tc>
          <w:tcPr>
            <w:tcW w:w="10280" w:type="dxa"/>
            <w:vAlign w:val="bottom"/>
          </w:tcPr>
          <w:p>
            <w:pPr>
              <w:spacing w:after="0"/>
              <w:rPr>
                <w:sz w:val="22"/>
                <w:szCs w:val="22"/>
                <w:color w:val="auto"/>
              </w:rPr>
            </w:pPr>
          </w:p>
        </w:tc>
      </w:tr>
      <w:tr>
        <w:trPr>
          <w:trHeight w:val="487"/>
        </w:trPr>
        <w:tc>
          <w:tcPr>
            <w:tcW w:w="960" w:type="dxa"/>
            <w:vAlign w:val="bottom"/>
          </w:tcPr>
          <w:p>
            <w:pPr>
              <w:jc w:val="right"/>
              <w:ind w:right="377"/>
              <w:spacing w:after="0"/>
              <w:rPr>
                <w:rFonts w:ascii="Arial" w:cs="Arial" w:eastAsia="Arial" w:hAnsi="Arial"/>
                <w:sz w:val="21"/>
                <w:szCs w:val="21"/>
                <w:u w:val="single" w:color="auto"/>
                <w:color w:val="0000EE"/>
              </w:rPr>
            </w:pPr>
            <w:hyperlink w:anchor="page86">
              <w:r>
                <w:rPr>
                  <w:rFonts w:ascii="Arial" w:cs="Arial" w:eastAsia="Arial" w:hAnsi="Arial"/>
                  <w:sz w:val="21"/>
                  <w:szCs w:val="21"/>
                  <w:u w:val="single" w:color="auto"/>
                  <w:color w:val="0000EE"/>
                </w:rPr>
                <w:t>10.1</w:t>
              </w:r>
            </w:hyperlink>
          </w:p>
        </w:tc>
        <w:tc>
          <w:tcPr>
            <w:tcW w:w="10280" w:type="dxa"/>
            <w:vAlign w:val="bottom"/>
          </w:tcPr>
          <w:p>
            <w:pPr>
              <w:ind w:left="180"/>
              <w:spacing w:after="0"/>
              <w:rPr>
                <w:sz w:val="20"/>
                <w:szCs w:val="20"/>
                <w:color w:val="auto"/>
              </w:rPr>
            </w:pPr>
            <w:r>
              <w:rPr>
                <w:rFonts w:ascii="Arial" w:cs="Arial" w:eastAsia="Arial" w:hAnsi="Arial"/>
                <w:sz w:val="21"/>
                <w:szCs w:val="21"/>
                <w:color w:val="auto"/>
              </w:rPr>
              <w:t>M&amp;T Bank Corporation Form of Performance Share Unit Award Agreement. Filed herewith.</w:t>
            </w:r>
          </w:p>
        </w:tc>
      </w:tr>
      <w:tr>
        <w:trPr>
          <w:trHeight w:val="485"/>
        </w:trPr>
        <w:tc>
          <w:tcPr>
            <w:tcW w:w="960" w:type="dxa"/>
            <w:vAlign w:val="bottom"/>
          </w:tcPr>
          <w:p>
            <w:pPr>
              <w:jc w:val="right"/>
              <w:ind w:right="377"/>
              <w:spacing w:after="0"/>
              <w:rPr>
                <w:rFonts w:ascii="Arial" w:cs="Arial" w:eastAsia="Arial" w:hAnsi="Arial"/>
                <w:sz w:val="21"/>
                <w:szCs w:val="21"/>
                <w:u w:val="single" w:color="auto"/>
                <w:color w:val="0000EE"/>
              </w:rPr>
            </w:pPr>
            <w:hyperlink w:anchor="page97">
              <w:r>
                <w:rPr>
                  <w:rFonts w:ascii="Arial" w:cs="Arial" w:eastAsia="Arial" w:hAnsi="Arial"/>
                  <w:sz w:val="21"/>
                  <w:szCs w:val="21"/>
                  <w:u w:val="single" w:color="auto"/>
                  <w:color w:val="0000EE"/>
                </w:rPr>
                <w:t>10.2</w:t>
              </w:r>
            </w:hyperlink>
          </w:p>
        </w:tc>
        <w:tc>
          <w:tcPr>
            <w:tcW w:w="10280" w:type="dxa"/>
            <w:vAlign w:val="bottom"/>
          </w:tcPr>
          <w:p>
            <w:pPr>
              <w:ind w:left="180"/>
              <w:spacing w:after="0"/>
              <w:rPr>
                <w:sz w:val="20"/>
                <w:szCs w:val="20"/>
                <w:color w:val="auto"/>
              </w:rPr>
            </w:pPr>
            <w:r>
              <w:rPr>
                <w:rFonts w:ascii="Arial" w:cs="Arial" w:eastAsia="Arial" w:hAnsi="Arial"/>
                <w:sz w:val="21"/>
                <w:szCs w:val="21"/>
                <w:color w:val="auto"/>
              </w:rPr>
              <w:t>Amendment No. 3 M&amp;T Bank Corporation Supplemental Pension Plan. Filed herewith</w:t>
            </w:r>
          </w:p>
        </w:tc>
      </w:tr>
      <w:tr>
        <w:trPr>
          <w:trHeight w:val="485"/>
        </w:trPr>
        <w:tc>
          <w:tcPr>
            <w:tcW w:w="960" w:type="dxa"/>
            <w:vAlign w:val="bottom"/>
          </w:tcPr>
          <w:p>
            <w:pPr>
              <w:jc w:val="right"/>
              <w:ind w:right="377"/>
              <w:spacing w:after="0"/>
              <w:rPr>
                <w:rFonts w:ascii="Arial" w:cs="Arial" w:eastAsia="Arial" w:hAnsi="Arial"/>
                <w:sz w:val="21"/>
                <w:szCs w:val="21"/>
                <w:u w:val="single" w:color="auto"/>
                <w:color w:val="0000EE"/>
              </w:rPr>
            </w:pPr>
            <w:hyperlink w:anchor="page99">
              <w:r>
                <w:rPr>
                  <w:rFonts w:ascii="Arial" w:cs="Arial" w:eastAsia="Arial" w:hAnsi="Arial"/>
                  <w:sz w:val="21"/>
                  <w:szCs w:val="21"/>
                  <w:u w:val="single" w:color="auto"/>
                  <w:color w:val="0000EE"/>
                </w:rPr>
                <w:t>10.3</w:t>
              </w:r>
            </w:hyperlink>
          </w:p>
        </w:tc>
        <w:tc>
          <w:tcPr>
            <w:tcW w:w="10280" w:type="dxa"/>
            <w:vAlign w:val="bottom"/>
          </w:tcPr>
          <w:p>
            <w:pPr>
              <w:ind w:left="180"/>
              <w:spacing w:after="0"/>
              <w:rPr>
                <w:sz w:val="20"/>
                <w:szCs w:val="20"/>
                <w:color w:val="auto"/>
              </w:rPr>
            </w:pPr>
            <w:r>
              <w:rPr>
                <w:rFonts w:ascii="Arial" w:cs="Arial" w:eastAsia="Arial" w:hAnsi="Arial"/>
                <w:sz w:val="21"/>
                <w:szCs w:val="21"/>
                <w:color w:val="auto"/>
              </w:rPr>
              <w:t>M&amp;T Bank Corporation Leadership Retirement Savings Plan. Filed herewith.</w:t>
            </w:r>
          </w:p>
        </w:tc>
      </w:tr>
      <w:tr>
        <w:trPr>
          <w:trHeight w:val="485"/>
        </w:trPr>
        <w:tc>
          <w:tcPr>
            <w:tcW w:w="960" w:type="dxa"/>
            <w:vAlign w:val="bottom"/>
          </w:tcPr>
          <w:p>
            <w:pPr>
              <w:jc w:val="right"/>
              <w:ind w:right="377"/>
              <w:spacing w:after="0"/>
              <w:rPr>
                <w:rFonts w:ascii="Arial" w:cs="Arial" w:eastAsia="Arial" w:hAnsi="Arial"/>
                <w:sz w:val="21"/>
                <w:szCs w:val="21"/>
                <w:u w:val="single" w:color="auto"/>
                <w:color w:val="0000EE"/>
              </w:rPr>
            </w:pPr>
            <w:hyperlink w:anchor="page117">
              <w:r>
                <w:rPr>
                  <w:rFonts w:ascii="Arial" w:cs="Arial" w:eastAsia="Arial" w:hAnsi="Arial"/>
                  <w:sz w:val="21"/>
                  <w:szCs w:val="21"/>
                  <w:u w:val="single" w:color="auto"/>
                  <w:color w:val="0000EE"/>
                </w:rPr>
                <w:t>31.1</w:t>
              </w:r>
            </w:hyperlink>
          </w:p>
        </w:tc>
        <w:tc>
          <w:tcPr>
            <w:tcW w:w="10280" w:type="dxa"/>
            <w:vAlign w:val="bottom"/>
          </w:tcPr>
          <w:p>
            <w:pPr>
              <w:ind w:left="180"/>
              <w:spacing w:after="0"/>
              <w:rPr>
                <w:sz w:val="20"/>
                <w:szCs w:val="20"/>
                <w:color w:val="auto"/>
              </w:rPr>
            </w:pPr>
            <w:r>
              <w:rPr>
                <w:rFonts w:ascii="Arial" w:cs="Arial" w:eastAsia="Arial" w:hAnsi="Arial"/>
                <w:sz w:val="21"/>
                <w:szCs w:val="21"/>
                <w:color w:val="auto"/>
              </w:rPr>
              <w:t>Certification of Chief Executive Officer under Section 302 of the Sarbanes-Oxley Act of 2002. Filed herewith.</w:t>
            </w:r>
          </w:p>
        </w:tc>
      </w:tr>
      <w:tr>
        <w:trPr>
          <w:trHeight w:val="485"/>
        </w:trPr>
        <w:tc>
          <w:tcPr>
            <w:tcW w:w="960" w:type="dxa"/>
            <w:vAlign w:val="bottom"/>
          </w:tcPr>
          <w:p>
            <w:pPr>
              <w:jc w:val="right"/>
              <w:ind w:right="377"/>
              <w:spacing w:after="0"/>
              <w:rPr>
                <w:rFonts w:ascii="Arial" w:cs="Arial" w:eastAsia="Arial" w:hAnsi="Arial"/>
                <w:sz w:val="21"/>
                <w:szCs w:val="21"/>
                <w:u w:val="single" w:color="auto"/>
                <w:color w:val="0000EE"/>
              </w:rPr>
            </w:pPr>
            <w:hyperlink w:anchor="page118">
              <w:r>
                <w:rPr>
                  <w:rFonts w:ascii="Arial" w:cs="Arial" w:eastAsia="Arial" w:hAnsi="Arial"/>
                  <w:sz w:val="21"/>
                  <w:szCs w:val="21"/>
                  <w:u w:val="single" w:color="auto"/>
                  <w:color w:val="0000EE"/>
                </w:rPr>
                <w:t>31.2</w:t>
              </w:r>
            </w:hyperlink>
          </w:p>
        </w:tc>
        <w:tc>
          <w:tcPr>
            <w:tcW w:w="10280" w:type="dxa"/>
            <w:vAlign w:val="bottom"/>
          </w:tcPr>
          <w:p>
            <w:pPr>
              <w:ind w:left="180"/>
              <w:spacing w:after="0"/>
              <w:rPr>
                <w:sz w:val="20"/>
                <w:szCs w:val="20"/>
                <w:color w:val="auto"/>
              </w:rPr>
            </w:pPr>
            <w:r>
              <w:rPr>
                <w:rFonts w:ascii="Arial" w:cs="Arial" w:eastAsia="Arial" w:hAnsi="Arial"/>
                <w:sz w:val="21"/>
                <w:szCs w:val="21"/>
                <w:color w:val="auto"/>
              </w:rPr>
              <w:t>Certification of Chief Financial Officer under Section 302 of the Sarbanes-Oxley Act of 2002. Filed herewith.</w:t>
            </w:r>
          </w:p>
        </w:tc>
      </w:tr>
      <w:tr>
        <w:trPr>
          <w:trHeight w:val="464"/>
        </w:trPr>
        <w:tc>
          <w:tcPr>
            <w:tcW w:w="960" w:type="dxa"/>
            <w:vAlign w:val="bottom"/>
          </w:tcPr>
          <w:p>
            <w:pPr>
              <w:jc w:val="right"/>
              <w:ind w:right="377"/>
              <w:spacing w:after="0"/>
              <w:rPr>
                <w:rFonts w:ascii="Arial" w:cs="Arial" w:eastAsia="Arial" w:hAnsi="Arial"/>
                <w:sz w:val="21"/>
                <w:szCs w:val="21"/>
                <w:u w:val="single" w:color="auto"/>
                <w:color w:val="0000EE"/>
              </w:rPr>
            </w:pPr>
            <w:hyperlink w:anchor="page119">
              <w:r>
                <w:rPr>
                  <w:rFonts w:ascii="Arial" w:cs="Arial" w:eastAsia="Arial" w:hAnsi="Arial"/>
                  <w:sz w:val="21"/>
                  <w:szCs w:val="21"/>
                  <w:u w:val="single" w:color="auto"/>
                  <w:color w:val="0000EE"/>
                </w:rPr>
                <w:t>32.1</w:t>
              </w:r>
            </w:hyperlink>
          </w:p>
        </w:tc>
        <w:tc>
          <w:tcPr>
            <w:tcW w:w="10280" w:type="dxa"/>
            <w:vAlign w:val="bottom"/>
          </w:tcPr>
          <w:p>
            <w:pPr>
              <w:ind w:left="180"/>
              <w:spacing w:after="0"/>
              <w:rPr>
                <w:sz w:val="20"/>
                <w:szCs w:val="20"/>
                <w:color w:val="auto"/>
              </w:rPr>
            </w:pPr>
            <w:r>
              <w:rPr>
                <w:rFonts w:ascii="Arial" w:cs="Arial" w:eastAsia="Arial" w:hAnsi="Arial"/>
                <w:sz w:val="21"/>
                <w:szCs w:val="21"/>
                <w:color w:val="auto"/>
                <w:w w:val="93"/>
              </w:rPr>
              <w:t>Certification of Chief Executive Officer under 18 U.S.C. §1350 pursuant to Section 906 of the Sarbanes-Oxley Act of</w:t>
            </w:r>
          </w:p>
        </w:tc>
      </w:tr>
      <w:tr>
        <w:trPr>
          <w:trHeight w:val="264"/>
        </w:trPr>
        <w:tc>
          <w:tcPr>
            <w:tcW w:w="960" w:type="dxa"/>
            <w:vAlign w:val="bottom"/>
          </w:tcPr>
          <w:p>
            <w:pPr>
              <w:spacing w:after="0"/>
              <w:rPr>
                <w:sz w:val="22"/>
                <w:szCs w:val="22"/>
                <w:color w:val="auto"/>
              </w:rPr>
            </w:pPr>
          </w:p>
        </w:tc>
        <w:tc>
          <w:tcPr>
            <w:tcW w:w="10280" w:type="dxa"/>
            <w:vAlign w:val="bottom"/>
          </w:tcPr>
          <w:p>
            <w:pPr>
              <w:ind w:left="180"/>
              <w:spacing w:after="0"/>
              <w:rPr>
                <w:sz w:val="20"/>
                <w:szCs w:val="20"/>
                <w:color w:val="auto"/>
              </w:rPr>
            </w:pPr>
            <w:r>
              <w:rPr>
                <w:rFonts w:ascii="Arial" w:cs="Arial" w:eastAsia="Arial" w:hAnsi="Arial"/>
                <w:sz w:val="21"/>
                <w:szCs w:val="21"/>
                <w:color w:val="auto"/>
              </w:rPr>
              <w:t>2002. Filed herewith.</w:t>
            </w:r>
          </w:p>
        </w:tc>
      </w:tr>
      <w:tr>
        <w:trPr>
          <w:trHeight w:val="464"/>
        </w:trPr>
        <w:tc>
          <w:tcPr>
            <w:tcW w:w="960" w:type="dxa"/>
            <w:vAlign w:val="bottom"/>
          </w:tcPr>
          <w:p>
            <w:pPr>
              <w:jc w:val="right"/>
              <w:ind w:right="377"/>
              <w:spacing w:after="0"/>
              <w:rPr>
                <w:rFonts w:ascii="Arial" w:cs="Arial" w:eastAsia="Arial" w:hAnsi="Arial"/>
                <w:sz w:val="21"/>
                <w:szCs w:val="21"/>
                <w:u w:val="single" w:color="auto"/>
                <w:color w:val="0000EE"/>
              </w:rPr>
            </w:pPr>
            <w:hyperlink w:anchor="page120">
              <w:r>
                <w:rPr>
                  <w:rFonts w:ascii="Arial" w:cs="Arial" w:eastAsia="Arial" w:hAnsi="Arial"/>
                  <w:sz w:val="21"/>
                  <w:szCs w:val="21"/>
                  <w:u w:val="single" w:color="auto"/>
                  <w:color w:val="0000EE"/>
                </w:rPr>
                <w:t>32.2</w:t>
              </w:r>
            </w:hyperlink>
          </w:p>
        </w:tc>
        <w:tc>
          <w:tcPr>
            <w:tcW w:w="10280" w:type="dxa"/>
            <w:vAlign w:val="bottom"/>
          </w:tcPr>
          <w:p>
            <w:pPr>
              <w:ind w:left="180"/>
              <w:spacing w:after="0"/>
              <w:rPr>
                <w:sz w:val="20"/>
                <w:szCs w:val="20"/>
                <w:color w:val="auto"/>
              </w:rPr>
            </w:pPr>
            <w:r>
              <w:rPr>
                <w:rFonts w:ascii="Arial" w:cs="Arial" w:eastAsia="Arial" w:hAnsi="Arial"/>
                <w:sz w:val="21"/>
                <w:szCs w:val="21"/>
                <w:color w:val="auto"/>
                <w:w w:val="94"/>
              </w:rPr>
              <w:t>Certification of Chief Financial Officer under 18 U.S.C. §1350 pursuant to Section 906 of the Sarbanes-Oxley Act of</w:t>
            </w:r>
          </w:p>
        </w:tc>
      </w:tr>
      <w:tr>
        <w:trPr>
          <w:trHeight w:val="264"/>
        </w:trPr>
        <w:tc>
          <w:tcPr>
            <w:tcW w:w="960" w:type="dxa"/>
            <w:vAlign w:val="bottom"/>
          </w:tcPr>
          <w:p>
            <w:pPr>
              <w:spacing w:after="0"/>
              <w:rPr>
                <w:sz w:val="22"/>
                <w:szCs w:val="22"/>
                <w:color w:val="auto"/>
              </w:rPr>
            </w:pPr>
          </w:p>
        </w:tc>
        <w:tc>
          <w:tcPr>
            <w:tcW w:w="10280" w:type="dxa"/>
            <w:vAlign w:val="bottom"/>
          </w:tcPr>
          <w:p>
            <w:pPr>
              <w:ind w:left="180"/>
              <w:spacing w:after="0"/>
              <w:rPr>
                <w:sz w:val="20"/>
                <w:szCs w:val="20"/>
                <w:color w:val="auto"/>
              </w:rPr>
            </w:pPr>
            <w:r>
              <w:rPr>
                <w:rFonts w:ascii="Arial" w:cs="Arial" w:eastAsia="Arial" w:hAnsi="Arial"/>
                <w:sz w:val="21"/>
                <w:szCs w:val="21"/>
                <w:color w:val="auto"/>
              </w:rPr>
              <w:t>2002. Filed herewith.</w:t>
            </w:r>
          </w:p>
        </w:tc>
      </w:tr>
      <w:tr>
        <w:trPr>
          <w:trHeight w:val="485"/>
        </w:trPr>
        <w:tc>
          <w:tcPr>
            <w:tcW w:w="960" w:type="dxa"/>
            <w:vAlign w:val="bottom"/>
          </w:tcPr>
          <w:p>
            <w:pPr>
              <w:spacing w:after="0"/>
              <w:rPr>
                <w:sz w:val="20"/>
                <w:szCs w:val="20"/>
                <w:color w:val="auto"/>
              </w:rPr>
            </w:pPr>
            <w:r>
              <w:rPr>
                <w:rFonts w:ascii="Arial" w:cs="Arial" w:eastAsia="Arial" w:hAnsi="Arial"/>
                <w:sz w:val="21"/>
                <w:szCs w:val="21"/>
                <w:color w:val="auto"/>
              </w:rPr>
              <w:t>101.INS</w:t>
            </w:r>
          </w:p>
        </w:tc>
        <w:tc>
          <w:tcPr>
            <w:tcW w:w="10280" w:type="dxa"/>
            <w:vAlign w:val="bottom"/>
          </w:tcPr>
          <w:p>
            <w:pPr>
              <w:ind w:left="180"/>
              <w:spacing w:after="0"/>
              <w:rPr>
                <w:sz w:val="20"/>
                <w:szCs w:val="20"/>
                <w:color w:val="auto"/>
              </w:rPr>
            </w:pPr>
            <w:r>
              <w:rPr>
                <w:rFonts w:ascii="Arial" w:cs="Arial" w:eastAsia="Arial" w:hAnsi="Arial"/>
                <w:sz w:val="21"/>
                <w:szCs w:val="21"/>
                <w:color w:val="auto"/>
              </w:rPr>
              <w:t>Inline XBRL Instance Document. Filed herewith.</w:t>
            </w:r>
          </w:p>
        </w:tc>
      </w:tr>
      <w:tr>
        <w:trPr>
          <w:trHeight w:val="485"/>
        </w:trPr>
        <w:tc>
          <w:tcPr>
            <w:tcW w:w="960" w:type="dxa"/>
            <w:vAlign w:val="bottom"/>
          </w:tcPr>
          <w:p>
            <w:pPr>
              <w:spacing w:after="0"/>
              <w:rPr>
                <w:sz w:val="20"/>
                <w:szCs w:val="20"/>
                <w:color w:val="auto"/>
              </w:rPr>
            </w:pPr>
            <w:r>
              <w:rPr>
                <w:rFonts w:ascii="Arial" w:cs="Arial" w:eastAsia="Arial" w:hAnsi="Arial"/>
                <w:sz w:val="21"/>
                <w:szCs w:val="21"/>
                <w:color w:val="auto"/>
              </w:rPr>
              <w:t>101.SCH</w:t>
            </w:r>
          </w:p>
        </w:tc>
        <w:tc>
          <w:tcPr>
            <w:tcW w:w="10280" w:type="dxa"/>
            <w:vAlign w:val="bottom"/>
          </w:tcPr>
          <w:p>
            <w:pPr>
              <w:ind w:left="180"/>
              <w:spacing w:after="0"/>
              <w:rPr>
                <w:sz w:val="20"/>
                <w:szCs w:val="20"/>
                <w:color w:val="auto"/>
              </w:rPr>
            </w:pPr>
            <w:r>
              <w:rPr>
                <w:rFonts w:ascii="Arial" w:cs="Arial" w:eastAsia="Arial" w:hAnsi="Arial"/>
                <w:sz w:val="21"/>
                <w:szCs w:val="21"/>
                <w:color w:val="auto"/>
              </w:rPr>
              <w:t>Inline XBRL Taxonomy Extension Schema. Filed herewith.</w:t>
            </w:r>
          </w:p>
        </w:tc>
      </w:tr>
      <w:tr>
        <w:trPr>
          <w:trHeight w:val="485"/>
        </w:trPr>
        <w:tc>
          <w:tcPr>
            <w:tcW w:w="960" w:type="dxa"/>
            <w:vAlign w:val="bottom"/>
          </w:tcPr>
          <w:p>
            <w:pPr>
              <w:spacing w:after="0"/>
              <w:rPr>
                <w:sz w:val="20"/>
                <w:szCs w:val="20"/>
                <w:color w:val="auto"/>
              </w:rPr>
            </w:pPr>
            <w:r>
              <w:rPr>
                <w:rFonts w:ascii="Arial" w:cs="Arial" w:eastAsia="Arial" w:hAnsi="Arial"/>
                <w:sz w:val="21"/>
                <w:szCs w:val="21"/>
                <w:color w:val="auto"/>
              </w:rPr>
              <w:t>101.CAL</w:t>
            </w:r>
          </w:p>
        </w:tc>
        <w:tc>
          <w:tcPr>
            <w:tcW w:w="10280" w:type="dxa"/>
            <w:vAlign w:val="bottom"/>
          </w:tcPr>
          <w:p>
            <w:pPr>
              <w:ind w:left="180"/>
              <w:spacing w:after="0"/>
              <w:rPr>
                <w:sz w:val="20"/>
                <w:szCs w:val="20"/>
                <w:color w:val="auto"/>
              </w:rPr>
            </w:pPr>
            <w:r>
              <w:rPr>
                <w:rFonts w:ascii="Arial" w:cs="Arial" w:eastAsia="Arial" w:hAnsi="Arial"/>
                <w:sz w:val="21"/>
                <w:szCs w:val="21"/>
                <w:color w:val="auto"/>
              </w:rPr>
              <w:t>Inline XBRL Taxonomy Extension Calculation Linkbase. Filed herewith.</w:t>
            </w:r>
          </w:p>
        </w:tc>
      </w:tr>
      <w:tr>
        <w:trPr>
          <w:trHeight w:val="485"/>
        </w:trPr>
        <w:tc>
          <w:tcPr>
            <w:tcW w:w="960" w:type="dxa"/>
            <w:vAlign w:val="bottom"/>
          </w:tcPr>
          <w:p>
            <w:pPr>
              <w:spacing w:after="0"/>
              <w:rPr>
                <w:sz w:val="20"/>
                <w:szCs w:val="20"/>
                <w:color w:val="auto"/>
              </w:rPr>
            </w:pPr>
            <w:r>
              <w:rPr>
                <w:rFonts w:ascii="Arial" w:cs="Arial" w:eastAsia="Arial" w:hAnsi="Arial"/>
                <w:sz w:val="21"/>
                <w:szCs w:val="21"/>
                <w:color w:val="auto"/>
              </w:rPr>
              <w:t>101.DEF</w:t>
            </w:r>
          </w:p>
        </w:tc>
        <w:tc>
          <w:tcPr>
            <w:tcW w:w="10280" w:type="dxa"/>
            <w:vAlign w:val="bottom"/>
          </w:tcPr>
          <w:p>
            <w:pPr>
              <w:ind w:left="180"/>
              <w:spacing w:after="0"/>
              <w:rPr>
                <w:sz w:val="20"/>
                <w:szCs w:val="20"/>
                <w:color w:val="auto"/>
              </w:rPr>
            </w:pPr>
            <w:r>
              <w:rPr>
                <w:rFonts w:ascii="Arial" w:cs="Arial" w:eastAsia="Arial" w:hAnsi="Arial"/>
                <w:sz w:val="21"/>
                <w:szCs w:val="21"/>
                <w:color w:val="auto"/>
              </w:rPr>
              <w:t>Inline XBRL Taxonomy Extension Definition Linkbase. Filed herewith.</w:t>
            </w:r>
          </w:p>
        </w:tc>
      </w:tr>
      <w:tr>
        <w:trPr>
          <w:trHeight w:val="485"/>
        </w:trPr>
        <w:tc>
          <w:tcPr>
            <w:tcW w:w="960" w:type="dxa"/>
            <w:vAlign w:val="bottom"/>
          </w:tcPr>
          <w:p>
            <w:pPr>
              <w:spacing w:after="0"/>
              <w:rPr>
                <w:sz w:val="20"/>
                <w:szCs w:val="20"/>
                <w:color w:val="auto"/>
              </w:rPr>
            </w:pPr>
            <w:r>
              <w:rPr>
                <w:rFonts w:ascii="Arial" w:cs="Arial" w:eastAsia="Arial" w:hAnsi="Arial"/>
                <w:sz w:val="21"/>
                <w:szCs w:val="21"/>
                <w:color w:val="auto"/>
              </w:rPr>
              <w:t>101.LAB</w:t>
            </w:r>
          </w:p>
        </w:tc>
        <w:tc>
          <w:tcPr>
            <w:tcW w:w="10280" w:type="dxa"/>
            <w:vAlign w:val="bottom"/>
          </w:tcPr>
          <w:p>
            <w:pPr>
              <w:ind w:left="180"/>
              <w:spacing w:after="0"/>
              <w:rPr>
                <w:sz w:val="20"/>
                <w:szCs w:val="20"/>
                <w:color w:val="auto"/>
              </w:rPr>
            </w:pPr>
            <w:r>
              <w:rPr>
                <w:rFonts w:ascii="Arial" w:cs="Arial" w:eastAsia="Arial" w:hAnsi="Arial"/>
                <w:sz w:val="21"/>
                <w:szCs w:val="21"/>
                <w:color w:val="auto"/>
              </w:rPr>
              <w:t>Inline XBRL Taxonomy Extension Label Linkbase. Filed herewith.</w:t>
            </w:r>
          </w:p>
        </w:tc>
      </w:tr>
      <w:tr>
        <w:trPr>
          <w:trHeight w:val="485"/>
        </w:trPr>
        <w:tc>
          <w:tcPr>
            <w:tcW w:w="960" w:type="dxa"/>
            <w:vAlign w:val="bottom"/>
          </w:tcPr>
          <w:p>
            <w:pPr>
              <w:spacing w:after="0"/>
              <w:rPr>
                <w:sz w:val="20"/>
                <w:szCs w:val="20"/>
                <w:color w:val="auto"/>
              </w:rPr>
            </w:pPr>
            <w:r>
              <w:rPr>
                <w:rFonts w:ascii="Arial" w:cs="Arial" w:eastAsia="Arial" w:hAnsi="Arial"/>
                <w:sz w:val="21"/>
                <w:szCs w:val="21"/>
                <w:color w:val="auto"/>
              </w:rPr>
              <w:t>101.PRE</w:t>
            </w:r>
          </w:p>
        </w:tc>
        <w:tc>
          <w:tcPr>
            <w:tcW w:w="10280" w:type="dxa"/>
            <w:vAlign w:val="bottom"/>
          </w:tcPr>
          <w:p>
            <w:pPr>
              <w:ind w:left="180"/>
              <w:spacing w:after="0"/>
              <w:rPr>
                <w:sz w:val="20"/>
                <w:szCs w:val="20"/>
                <w:color w:val="auto"/>
              </w:rPr>
            </w:pPr>
            <w:r>
              <w:rPr>
                <w:rFonts w:ascii="Arial" w:cs="Arial" w:eastAsia="Arial" w:hAnsi="Arial"/>
                <w:sz w:val="21"/>
                <w:szCs w:val="21"/>
                <w:color w:val="auto"/>
              </w:rPr>
              <w:t>Inline XBRL Taxonomy Extension Presentation Linkbase. Filed herewith.</w:t>
            </w:r>
          </w:p>
        </w:tc>
      </w:tr>
    </w:tbl>
    <w:p>
      <w:pPr>
        <w:spacing w:after="0" w:line="221" w:lineRule="exact"/>
        <w:rPr>
          <w:sz w:val="20"/>
          <w:szCs w:val="20"/>
          <w:color w:val="auto"/>
        </w:rPr>
      </w:pPr>
    </w:p>
    <w:p>
      <w:pPr>
        <w:ind w:left="1140" w:right="1700" w:hanging="1132"/>
        <w:spacing w:after="0" w:line="263" w:lineRule="auto"/>
        <w:tabs>
          <w:tab w:leader="none" w:pos="1140" w:val="left"/>
        </w:tabs>
        <w:numPr>
          <w:ilvl w:val="0"/>
          <w:numId w:val="33"/>
        </w:numPr>
        <w:rPr>
          <w:rFonts w:ascii="Arial" w:cs="Arial" w:eastAsia="Arial" w:hAnsi="Arial"/>
          <w:sz w:val="21"/>
          <w:szCs w:val="21"/>
          <w:color w:val="auto"/>
        </w:rPr>
      </w:pPr>
      <w:r>
        <w:rPr>
          <w:rFonts w:ascii="Arial" w:cs="Arial" w:eastAsia="Arial" w:hAnsi="Arial"/>
          <w:sz w:val="21"/>
          <w:szCs w:val="21"/>
          <w:color w:val="auto"/>
        </w:rPr>
        <w:t>The cover page from M&amp;T Bank Corporation’s Quarterly Report on Form 10-Q for the quarter ended March 31, 2020 has been formatted in Inline XBRL.</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SIGNATURES</w:t>
      </w:r>
    </w:p>
    <w:p>
      <w:pPr>
        <w:spacing w:after="0" w:line="217" w:lineRule="exact"/>
        <w:rPr>
          <w:sz w:val="20"/>
          <w:szCs w:val="20"/>
          <w:color w:val="auto"/>
        </w:rPr>
      </w:pPr>
    </w:p>
    <w:p>
      <w:pPr>
        <w:ind w:right="20" w:firstLine="510"/>
        <w:spacing w:after="0" w:line="263" w:lineRule="auto"/>
        <w:rPr>
          <w:sz w:val="20"/>
          <w:szCs w:val="20"/>
          <w:color w:val="auto"/>
        </w:rPr>
      </w:pPr>
      <w:r>
        <w:rPr>
          <w:rFonts w:ascii="Arial" w:cs="Arial" w:eastAsia="Arial" w:hAnsi="Arial"/>
          <w:sz w:val="21"/>
          <w:szCs w:val="21"/>
          <w:color w:val="auto"/>
        </w:rPr>
        <w:t>Pursuant to the requirements of the Securities Exchange Act of 1934, the registrant has duly caused this report to be signed on its behalf by the undersigned thereunto duly authorized.</w:t>
      </w:r>
    </w:p>
    <w:p>
      <w:pPr>
        <w:spacing w:after="0" w:line="199" w:lineRule="exact"/>
        <w:rPr>
          <w:sz w:val="20"/>
          <w:szCs w:val="20"/>
          <w:color w:val="auto"/>
        </w:rPr>
      </w:pPr>
    </w:p>
    <w:p>
      <w:pPr>
        <w:ind w:left="6600"/>
        <w:spacing w:after="0"/>
        <w:rPr>
          <w:sz w:val="20"/>
          <w:szCs w:val="20"/>
          <w:color w:val="auto"/>
        </w:rPr>
      </w:pPr>
      <w:r>
        <w:rPr>
          <w:rFonts w:ascii="Arial" w:cs="Arial" w:eastAsia="Arial" w:hAnsi="Arial"/>
          <w:sz w:val="21"/>
          <w:szCs w:val="21"/>
          <w:color w:val="auto"/>
        </w:rPr>
        <w:t>M&amp;T BANK CORPORATION</w:t>
      </w:r>
    </w:p>
    <w:p>
      <w:pPr>
        <w:spacing w:after="0" w:line="241" w:lineRule="exact"/>
        <w:rPr>
          <w:sz w:val="20"/>
          <w:szCs w:val="20"/>
          <w:color w:val="auto"/>
        </w:rPr>
      </w:pPr>
    </w:p>
    <w:p>
      <w:pPr>
        <w:spacing w:after="0"/>
        <w:tabs>
          <w:tab w:leader="none" w:pos="6580" w:val="left"/>
          <w:tab w:leader="none" w:pos="7020" w:val="left"/>
        </w:tabs>
        <w:rPr>
          <w:sz w:val="20"/>
          <w:szCs w:val="20"/>
          <w:color w:val="auto"/>
        </w:rPr>
      </w:pPr>
      <w:r>
        <w:rPr>
          <w:rFonts w:ascii="Arial" w:cs="Arial" w:eastAsia="Arial" w:hAnsi="Arial"/>
          <w:sz w:val="20"/>
          <w:szCs w:val="20"/>
          <w:color w:val="auto"/>
        </w:rPr>
        <w:t>Date: May 6, 2020</w:t>
      </w:r>
      <w:r>
        <w:rPr>
          <w:sz w:val="20"/>
          <w:szCs w:val="20"/>
          <w:color w:val="auto"/>
        </w:rPr>
        <w:tab/>
      </w: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Darren J.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4474845</wp:posOffset>
            </wp:positionH>
            <wp:positionV relativeFrom="paragraph">
              <wp:posOffset>10160</wp:posOffset>
            </wp:positionV>
            <wp:extent cx="266319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663190" cy="8255"/>
                    </a:xfrm>
                    <a:prstGeom prst="rect">
                      <a:avLst/>
                    </a:prstGeom>
                    <a:noFill/>
                  </pic:spPr>
                </pic:pic>
              </a:graphicData>
            </a:graphic>
          </wp:anchor>
        </w:drawing>
      </w:r>
    </w:p>
    <w:p>
      <w:pPr>
        <w:ind w:left="7040"/>
        <w:spacing w:after="0"/>
        <w:rPr>
          <w:sz w:val="20"/>
          <w:szCs w:val="20"/>
          <w:color w:val="auto"/>
        </w:rPr>
      </w:pPr>
      <w:r>
        <w:rPr>
          <w:rFonts w:ascii="Arial" w:cs="Arial" w:eastAsia="Arial" w:hAnsi="Arial"/>
          <w:sz w:val="20"/>
          <w:szCs w:val="20"/>
          <w:color w:val="auto"/>
        </w:rPr>
        <w:t>Darren J. King</w:t>
      </w:r>
    </w:p>
    <w:p>
      <w:pPr>
        <w:spacing w:after="0" w:line="7" w:lineRule="exact"/>
        <w:rPr>
          <w:sz w:val="20"/>
          <w:szCs w:val="20"/>
          <w:color w:val="auto"/>
        </w:rPr>
      </w:pPr>
    </w:p>
    <w:p>
      <w:pPr>
        <w:ind w:left="7040"/>
        <w:spacing w:after="0"/>
        <w:rPr>
          <w:sz w:val="20"/>
          <w:szCs w:val="20"/>
          <w:color w:val="auto"/>
        </w:rPr>
      </w:pPr>
      <w:r>
        <w:rPr>
          <w:rFonts w:ascii="Arial" w:cs="Arial" w:eastAsia="Arial" w:hAnsi="Arial"/>
          <w:sz w:val="20"/>
          <w:szCs w:val="20"/>
          <w:color w:val="auto"/>
        </w:rPr>
        <w:t>Executive Vice President</w:t>
      </w:r>
    </w:p>
    <w:p>
      <w:pPr>
        <w:ind w:left="7040"/>
        <w:spacing w:after="0"/>
        <w:rPr>
          <w:sz w:val="20"/>
          <w:szCs w:val="20"/>
          <w:color w:val="auto"/>
        </w:rPr>
      </w:pPr>
      <w:r>
        <w:rPr>
          <w:rFonts w:ascii="Arial" w:cs="Arial" w:eastAsia="Arial" w:hAnsi="Arial"/>
          <w:sz w:val="20"/>
          <w:szCs w:val="20"/>
          <w:color w:val="auto"/>
        </w:rPr>
        <w:t>and Chief Financial Officer</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40"/>
          </w:cols>
          <w:pgMar w:left="320" w:top="342" w:right="339" w:bottom="1440" w:gutter="0" w:footer="0" w:header="0"/>
        </w:sectPr>
      </w:pPr>
    </w:p>
    <w:bookmarkStart w:id="85" w:name="page86"/>
    <w:bookmarkEnd w:id="85"/>
    <w:p>
      <w:pPr>
        <w:jc w:val="right"/>
        <w:spacing w:after="0"/>
        <w:rPr>
          <w:sz w:val="20"/>
          <w:szCs w:val="20"/>
          <w:color w:val="auto"/>
        </w:rPr>
      </w:pPr>
      <w:r>
        <w:rPr>
          <w:rFonts w:ascii="Arial" w:cs="Arial" w:eastAsia="Arial" w:hAnsi="Arial"/>
          <w:sz w:val="20"/>
          <w:szCs w:val="20"/>
          <w:b w:val="1"/>
          <w:bCs w:val="1"/>
          <w:color w:val="auto"/>
        </w:rPr>
        <w:t>Exhibit 10.1</w:t>
      </w:r>
    </w:p>
    <w:p>
      <w:pPr>
        <w:spacing w:after="0" w:line="4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M&amp;T BANK CORPORATION</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2019 EQUITY INCENTIVE COMPENSATION PLAN</w:t>
      </w:r>
    </w:p>
    <w:p>
      <w:pPr>
        <w:spacing w:after="0" w:line="214" w:lineRule="exact"/>
        <w:rPr>
          <w:sz w:val="20"/>
          <w:szCs w:val="20"/>
          <w:color w:val="auto"/>
        </w:rPr>
      </w:pPr>
    </w:p>
    <w:p>
      <w:pPr>
        <w:ind w:left="4500"/>
        <w:spacing w:after="0"/>
        <w:tabs>
          <w:tab w:leader="none" w:pos="5240" w:val="left"/>
          <w:tab w:leader="none" w:pos="664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PERFORMANCE SHARE UNIT AWARD AGREEMENT</w:t>
      </w: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color w:val="auto"/>
        </w:rPr>
        <w:t>GRANTEE: &lt;Participant Name&gt;</w:t>
      </w: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color w:val="auto"/>
        </w:rPr>
        <w:t>DATE OF GRANT:  &lt;Grant Date&gt;</w:t>
      </w: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color w:val="auto"/>
        </w:rPr>
        <w:t>PERFORMANCE SHARE UNITS (“</w:t>
      </w:r>
      <w:r>
        <w:rPr>
          <w:rFonts w:ascii="Arial" w:cs="Arial" w:eastAsia="Arial" w:hAnsi="Arial"/>
          <w:sz w:val="22"/>
          <w:szCs w:val="22"/>
          <w:u w:val="single" w:color="auto"/>
          <w:color w:val="auto"/>
        </w:rPr>
        <w:t>Target Award</w:t>
      </w:r>
      <w:r>
        <w:rPr>
          <w:rFonts w:ascii="Arial" w:cs="Arial" w:eastAsia="Arial" w:hAnsi="Arial"/>
          <w:sz w:val="22"/>
          <w:szCs w:val="22"/>
          <w:color w:val="auto"/>
        </w:rPr>
        <w:t>”): &lt;Share Units Granted&gt;</w:t>
      </w: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color w:val="auto"/>
        </w:rPr>
        <w:t>PERFORMANCE PERIOD: &lt;Performance Period Start Date&gt; through &lt;Performance Period End Date&gt;</w:t>
      </w:r>
    </w:p>
    <w:p>
      <w:pPr>
        <w:spacing w:after="0" w:line="232" w:lineRule="exact"/>
        <w:rPr>
          <w:sz w:val="20"/>
          <w:szCs w:val="20"/>
          <w:color w:val="auto"/>
        </w:rPr>
      </w:pPr>
    </w:p>
    <w:p>
      <w:pPr>
        <w:ind w:right="240"/>
        <w:spacing w:after="0" w:line="258" w:lineRule="auto"/>
        <w:rPr>
          <w:sz w:val="20"/>
          <w:szCs w:val="20"/>
          <w:color w:val="auto"/>
        </w:rPr>
      </w:pPr>
      <w:r>
        <w:rPr>
          <w:rFonts w:ascii="Arial" w:cs="Arial" w:eastAsia="Arial" w:hAnsi="Arial"/>
          <w:sz w:val="20"/>
          <w:szCs w:val="20"/>
          <w:color w:val="auto"/>
        </w:rPr>
        <w:t>M&amp;T Bank Corporation (the “</w:t>
      </w:r>
      <w:r>
        <w:rPr>
          <w:rFonts w:ascii="Arial" w:cs="Arial" w:eastAsia="Arial" w:hAnsi="Arial"/>
          <w:sz w:val="20"/>
          <w:szCs w:val="20"/>
          <w:u w:val="single" w:color="auto"/>
          <w:color w:val="auto"/>
        </w:rPr>
        <w:t>Company</w:t>
      </w:r>
      <w:r>
        <w:rPr>
          <w:rFonts w:ascii="Arial" w:cs="Arial" w:eastAsia="Arial" w:hAnsi="Arial"/>
          <w:sz w:val="20"/>
          <w:szCs w:val="20"/>
          <w:color w:val="auto"/>
        </w:rPr>
        <w:t>”) hereby grants to the Grantee this Performance Share Unit Award. This grant is made pursuant to the M&amp;T Bank Corporation 2019 Equity Incentive Compensation Plan (the “</w:t>
      </w:r>
      <w:r>
        <w:rPr>
          <w:rFonts w:ascii="Arial" w:cs="Arial" w:eastAsia="Arial" w:hAnsi="Arial"/>
          <w:sz w:val="20"/>
          <w:szCs w:val="20"/>
          <w:u w:val="single" w:color="auto"/>
          <w:color w:val="auto"/>
        </w:rPr>
        <w:t>Plan</w:t>
      </w:r>
      <w:r>
        <w:rPr>
          <w:rFonts w:ascii="Arial" w:cs="Arial" w:eastAsia="Arial" w:hAnsi="Arial"/>
          <w:sz w:val="20"/>
          <w:szCs w:val="20"/>
          <w:color w:val="auto"/>
        </w:rPr>
        <w:t>”) and is subject to the terms and conditions of the Plan and this Agreement. As used herein, the term “</w:t>
      </w:r>
      <w:r>
        <w:rPr>
          <w:rFonts w:ascii="Arial" w:cs="Arial" w:eastAsia="Arial" w:hAnsi="Arial"/>
          <w:sz w:val="20"/>
          <w:szCs w:val="20"/>
          <w:u w:val="single" w:color="auto"/>
          <w:color w:val="auto"/>
        </w:rPr>
        <w:t>Agreement</w:t>
      </w:r>
      <w:r>
        <w:rPr>
          <w:rFonts w:ascii="Arial" w:cs="Arial" w:eastAsia="Arial" w:hAnsi="Arial"/>
          <w:sz w:val="20"/>
          <w:szCs w:val="20"/>
          <w:color w:val="auto"/>
        </w:rPr>
        <w:t xml:space="preserve">” shall mean, collectively, this cover page with the Performance Goals attached as </w:t>
      </w:r>
      <w:r>
        <w:rPr>
          <w:rFonts w:ascii="Arial" w:cs="Arial" w:eastAsia="Arial" w:hAnsi="Arial"/>
          <w:sz w:val="20"/>
          <w:szCs w:val="20"/>
          <w:u w:val="single" w:color="auto"/>
          <w:color w:val="auto"/>
        </w:rPr>
        <w:t>Exhibit A</w:t>
      </w:r>
      <w:r>
        <w:rPr>
          <w:rFonts w:ascii="Arial" w:cs="Arial" w:eastAsia="Arial" w:hAnsi="Arial"/>
          <w:sz w:val="20"/>
          <w:szCs w:val="20"/>
          <w:color w:val="auto"/>
        </w:rPr>
        <w:t>, the related Terms and Conditions of Performance Share Unit Award delivered to the Grantee with this cover page (the “</w:t>
      </w:r>
      <w:r>
        <w:rPr>
          <w:rFonts w:ascii="Arial" w:cs="Arial" w:eastAsia="Arial" w:hAnsi="Arial"/>
          <w:sz w:val="20"/>
          <w:szCs w:val="20"/>
          <w:u w:val="single" w:color="auto"/>
          <w:color w:val="auto"/>
        </w:rPr>
        <w:t>Terms and Conditions</w:t>
      </w:r>
      <w:r>
        <w:rPr>
          <w:rFonts w:ascii="Arial" w:cs="Arial" w:eastAsia="Arial" w:hAnsi="Arial"/>
          <w:sz w:val="20"/>
          <w:szCs w:val="20"/>
          <w:color w:val="auto"/>
        </w:rPr>
        <w:t>”), and, as applicable, the Policy for Alignment of Incentive Compensation with Risk (the “</w:t>
      </w:r>
      <w:r>
        <w:rPr>
          <w:rFonts w:ascii="Arial" w:cs="Arial" w:eastAsia="Arial" w:hAnsi="Arial"/>
          <w:sz w:val="20"/>
          <w:szCs w:val="20"/>
          <w:u w:val="single" w:color="auto"/>
          <w:color w:val="auto"/>
        </w:rPr>
        <w:t>Forfeiture Policy</w:t>
      </w:r>
      <w:r>
        <w:rPr>
          <w:rFonts w:ascii="Arial" w:cs="Arial" w:eastAsia="Arial" w:hAnsi="Arial"/>
          <w:sz w:val="20"/>
          <w:szCs w:val="20"/>
          <w:color w:val="auto"/>
        </w:rPr>
        <w:t>”). As used herein, the term “vest” shall mean the satisfaction of the Performance Goals and other conditions described herein and in the Plan with respect to one or more Performance Share Units but shall not mean the actual settlement of the Award. Capitalized terms used in this Agreement without definition shall have the meanings assigned to them in the Plan. A copy of the Plan, the Plan prospectus and the Forfeiture Policy can be viewed and downloaded from the Company’s Intranet under the Human Resources page.</w:t>
      </w:r>
    </w:p>
    <w:p>
      <w:pPr>
        <w:spacing w:after="0" w:line="198" w:lineRule="exact"/>
        <w:rPr>
          <w:sz w:val="20"/>
          <w:szCs w:val="20"/>
          <w:color w:val="auto"/>
        </w:rPr>
      </w:pPr>
    </w:p>
    <w:p>
      <w:pPr>
        <w:ind w:right="220"/>
        <w:spacing w:after="0" w:line="235" w:lineRule="auto"/>
        <w:rPr>
          <w:sz w:val="20"/>
          <w:szCs w:val="20"/>
          <w:color w:val="auto"/>
        </w:rPr>
      </w:pPr>
      <w:r>
        <w:rPr>
          <w:rFonts w:ascii="Arial" w:cs="Arial" w:eastAsia="Arial" w:hAnsi="Arial"/>
          <w:sz w:val="22"/>
          <w:szCs w:val="22"/>
          <w:color w:val="auto"/>
        </w:rPr>
        <w:t xml:space="preserve">Subject to the terms of the Plan, the Forfeiture Policy (as applicable), and this Agreement, including without limitation, the Grantee’s fulfillment of the employment requirements in Section 4 of the Terms and Conditions, the Performance Share Units awarded hereunder will vest by achieving the Performance Goals set forth on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attached hereto, subject to the applicable provisions of the Plan and this Agreement. Based on the achievement of the Performance Goals set forth on </w:t>
      </w:r>
      <w:r>
        <w:rPr>
          <w:rFonts w:ascii="Arial" w:cs="Arial" w:eastAsia="Arial" w:hAnsi="Arial"/>
          <w:sz w:val="22"/>
          <w:szCs w:val="22"/>
          <w:u w:val="single" w:color="auto"/>
          <w:color w:val="auto"/>
        </w:rPr>
        <w:t>Exhibit A</w:t>
      </w:r>
      <w:r>
        <w:rPr>
          <w:rFonts w:ascii="Arial" w:cs="Arial" w:eastAsia="Arial" w:hAnsi="Arial"/>
          <w:sz w:val="22"/>
          <w:szCs w:val="22"/>
          <w:color w:val="auto"/>
        </w:rPr>
        <w:t>, the Grantee is eligible to vest in up to 150% of the Target Award, subject to fulfillment of the employment requirements in Section 4 of the Terms and Conditions.</w:t>
      </w:r>
    </w:p>
    <w:p>
      <w:pPr>
        <w:spacing w:after="0" w:line="213" w:lineRule="exact"/>
        <w:rPr>
          <w:sz w:val="20"/>
          <w:szCs w:val="20"/>
          <w:color w:val="auto"/>
        </w:rPr>
      </w:pPr>
    </w:p>
    <w:p>
      <w:pPr>
        <w:ind w:right="220"/>
        <w:spacing w:after="0"/>
        <w:rPr>
          <w:sz w:val="20"/>
          <w:szCs w:val="20"/>
          <w:color w:val="auto"/>
        </w:rPr>
      </w:pPr>
      <w:r>
        <w:rPr>
          <w:rFonts w:ascii="Arial" w:cs="Arial" w:eastAsia="Arial" w:hAnsi="Arial"/>
          <w:sz w:val="22"/>
          <w:szCs w:val="22"/>
          <w:color w:val="auto"/>
        </w:rPr>
        <w:t>To the extent the Performance Goals are achieved and the Grantee fulfills the employment requirements in Section 4 of the Terms and Conditions, a number of shares of Common Stock equal to the vested Performance Share Units will be distributed to the Grantee.</w:t>
      </w:r>
    </w:p>
    <w:p>
      <w:pPr>
        <w:spacing w:after="0" w:line="212" w:lineRule="exact"/>
        <w:rPr>
          <w:sz w:val="20"/>
          <w:szCs w:val="20"/>
          <w:color w:val="auto"/>
        </w:rPr>
      </w:pPr>
    </w:p>
    <w:p>
      <w:pPr>
        <w:ind w:right="240"/>
        <w:spacing w:after="0" w:line="299" w:lineRule="auto"/>
        <w:rPr>
          <w:sz w:val="20"/>
          <w:szCs w:val="20"/>
          <w:color w:val="auto"/>
        </w:rPr>
      </w:pPr>
      <w:r>
        <w:rPr>
          <w:rFonts w:ascii="Arial" w:cs="Arial" w:eastAsia="Arial" w:hAnsi="Arial"/>
          <w:sz w:val="20"/>
          <w:szCs w:val="20"/>
          <w:color w:val="auto"/>
        </w:rPr>
        <w:t>To the extent the Performance Share Units do not vest, the unvested portion of the Grantee’s Performance Share Units is subject to forfeiture under Section 4 of the Terms and Conditions and, as applicable, the Forfeiture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309245</wp:posOffset>
            </wp:positionV>
            <wp:extent cx="714946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6" w:name="page87"/>
    <w:bookmarkEnd w:id="86"/>
    <w:p>
      <w:pPr>
        <w:ind w:left="860"/>
        <w:spacing w:after="0"/>
        <w:rPr>
          <w:sz w:val="20"/>
          <w:szCs w:val="20"/>
          <w:color w:val="auto"/>
        </w:rPr>
      </w:pPr>
      <w:r>
        <w:rPr>
          <w:rFonts w:ascii="Arial" w:cs="Arial" w:eastAsia="Arial" w:hAnsi="Arial"/>
          <w:sz w:val="19"/>
          <w:szCs w:val="19"/>
          <w:color w:val="auto"/>
        </w:rPr>
        <w:t>IN WITNESS WHEREOF, the Company has caused this Agreement to be signed on its behalf effective as of the Date</w:t>
      </w:r>
    </w:p>
    <w:p>
      <w:pPr>
        <w:spacing w:after="0" w:line="42" w:lineRule="exact"/>
        <w:rPr>
          <w:sz w:val="20"/>
          <w:szCs w:val="20"/>
          <w:color w:val="auto"/>
        </w:rPr>
      </w:pPr>
    </w:p>
    <w:p>
      <w:pPr>
        <w:spacing w:after="0"/>
        <w:rPr>
          <w:sz w:val="20"/>
          <w:szCs w:val="20"/>
          <w:color w:val="auto"/>
        </w:rPr>
      </w:pPr>
      <w:r>
        <w:rPr>
          <w:rFonts w:ascii="Arial" w:cs="Arial" w:eastAsia="Arial" w:hAnsi="Arial"/>
          <w:sz w:val="22"/>
          <w:szCs w:val="22"/>
          <w:color w:val="auto"/>
        </w:rPr>
        <w:t>of Grant.</w:t>
      </w:r>
    </w:p>
    <w:p>
      <w:pPr>
        <w:spacing w:after="0" w:line="214" w:lineRule="exact"/>
        <w:rPr>
          <w:sz w:val="20"/>
          <w:szCs w:val="20"/>
          <w:color w:val="auto"/>
        </w:rPr>
      </w:pPr>
    </w:p>
    <w:p>
      <w:pPr>
        <w:ind w:left="5440"/>
        <w:spacing w:after="0"/>
        <w:rPr>
          <w:sz w:val="20"/>
          <w:szCs w:val="20"/>
          <w:color w:val="auto"/>
        </w:rPr>
      </w:pPr>
      <w:r>
        <w:rPr>
          <w:rFonts w:ascii="Arial" w:cs="Arial" w:eastAsia="Arial" w:hAnsi="Arial"/>
          <w:sz w:val="22"/>
          <w:szCs w:val="22"/>
          <w:color w:val="auto"/>
        </w:rPr>
        <w:t>M&amp;T BANK CORPORATION</w:t>
      </w:r>
    </w:p>
    <w:p>
      <w:pPr>
        <w:spacing w:after="0" w:line="232" w:lineRule="exact"/>
        <w:rPr>
          <w:sz w:val="20"/>
          <w:szCs w:val="20"/>
          <w:color w:val="auto"/>
        </w:rPr>
      </w:pPr>
    </w:p>
    <w:p>
      <w:pPr>
        <w:ind w:left="5440"/>
        <w:spacing w:after="0"/>
        <w:rPr>
          <w:sz w:val="20"/>
          <w:szCs w:val="20"/>
          <w:color w:val="auto"/>
        </w:rPr>
      </w:pPr>
      <w:r>
        <w:rPr>
          <w:rFonts w:ascii="Arial" w:cs="Arial" w:eastAsia="Arial" w:hAnsi="Arial"/>
          <w:sz w:val="22"/>
          <w:szCs w:val="22"/>
          <w:color w:val="auto"/>
        </w:rPr>
        <w:t>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820420</wp:posOffset>
            </wp:positionV>
            <wp:extent cx="714946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980"/>
          </w:cols>
          <w:pgMar w:left="320" w:top="604" w:right="599" w:bottom="1440" w:gutter="0" w:footer="0" w:header="0"/>
        </w:sectPr>
      </w:pPr>
    </w:p>
    <w:bookmarkStart w:id="87" w:name="page88"/>
    <w:bookmarkEnd w:id="87"/>
    <w:p>
      <w:pPr>
        <w:jc w:val="center"/>
        <w:ind w:right="-99"/>
        <w:spacing w:after="0"/>
        <w:rPr>
          <w:sz w:val="20"/>
          <w:szCs w:val="20"/>
          <w:color w:val="auto"/>
        </w:rPr>
      </w:pPr>
      <w:r>
        <w:rPr>
          <w:rFonts w:ascii="Arial" w:cs="Arial" w:eastAsia="Arial" w:hAnsi="Arial"/>
          <w:sz w:val="22"/>
          <w:szCs w:val="22"/>
          <w:u w:val="single" w:color="auto"/>
          <w:color w:val="auto"/>
        </w:rPr>
        <w:t>Exhibit A</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22"/>
          <w:szCs w:val="22"/>
          <w:u w:val="single" w:color="auto"/>
          <w:color w:val="auto"/>
        </w:rPr>
        <w:t>ROTCE Performance Goals</w:t>
      </w:r>
    </w:p>
    <w:p>
      <w:pPr>
        <w:spacing w:after="0" w:line="200" w:lineRule="exact"/>
        <w:rPr>
          <w:sz w:val="20"/>
          <w:szCs w:val="20"/>
          <w:color w:val="auto"/>
        </w:rPr>
      </w:pPr>
    </w:p>
    <w:p>
      <w:pPr>
        <w:spacing w:after="0" w:line="248" w:lineRule="exact"/>
        <w:rPr>
          <w:sz w:val="20"/>
          <w:szCs w:val="20"/>
          <w:color w:val="auto"/>
        </w:rPr>
      </w:pPr>
    </w:p>
    <w:p>
      <w:pPr>
        <w:ind w:left="2320" w:hanging="1454"/>
        <w:spacing w:after="0"/>
        <w:tabs>
          <w:tab w:leader="none" w:pos="2320" w:val="left"/>
        </w:tabs>
        <w:numPr>
          <w:ilvl w:val="0"/>
          <w:numId w:val="34"/>
        </w:numPr>
        <w:rPr>
          <w:rFonts w:ascii="Arial" w:cs="Arial" w:eastAsia="Arial" w:hAnsi="Arial"/>
          <w:sz w:val="22"/>
          <w:szCs w:val="22"/>
          <w:color w:val="auto"/>
        </w:rPr>
      </w:pPr>
      <w:r>
        <w:rPr>
          <w:rFonts w:ascii="Arial" w:cs="Arial" w:eastAsia="Arial" w:hAnsi="Arial"/>
          <w:sz w:val="22"/>
          <w:szCs w:val="22"/>
          <w:u w:val="single" w:color="auto"/>
          <w:color w:val="auto"/>
        </w:rPr>
        <w:t>Calculation of ROTCE</w:t>
      </w:r>
      <w:r>
        <w:rPr>
          <w:rFonts w:ascii="Arial" w:cs="Arial" w:eastAsia="Arial" w:hAnsi="Arial"/>
          <w:sz w:val="22"/>
          <w:szCs w:val="22"/>
          <w:color w:val="auto"/>
        </w:rPr>
        <w:t>.</w:t>
      </w:r>
    </w:p>
    <w:p>
      <w:pPr>
        <w:spacing w:after="0" w:line="97" w:lineRule="exact"/>
        <w:rPr>
          <w:rFonts w:ascii="Arial" w:cs="Arial" w:eastAsia="Arial" w:hAnsi="Arial"/>
          <w:sz w:val="22"/>
          <w:szCs w:val="22"/>
          <w:color w:val="auto"/>
        </w:rPr>
      </w:pPr>
    </w:p>
    <w:p>
      <w:pPr>
        <w:ind w:right="140" w:firstLine="1724"/>
        <w:spacing w:after="0" w:line="268" w:lineRule="auto"/>
        <w:tabs>
          <w:tab w:leader="none" w:pos="2924" w:val="left"/>
        </w:tabs>
        <w:numPr>
          <w:ilvl w:val="1"/>
          <w:numId w:val="34"/>
        </w:numPr>
        <w:rPr>
          <w:rFonts w:ascii="Arial" w:cs="Arial" w:eastAsia="Arial" w:hAnsi="Arial"/>
          <w:sz w:val="20"/>
          <w:szCs w:val="20"/>
          <w:color w:val="auto"/>
        </w:rPr>
      </w:pPr>
      <w:r>
        <w:rPr>
          <w:rFonts w:ascii="Arial" w:cs="Arial" w:eastAsia="Arial" w:hAnsi="Arial"/>
          <w:sz w:val="20"/>
          <w:szCs w:val="20"/>
          <w:color w:val="auto"/>
        </w:rPr>
        <w:t>Except as otherwise set forth in Sections 4(c), (d) and (e) of the Terms and Conditions, vesting of Performance Share Units will be based on the following performance results: (a) the average relative return on tangible common equity (“</w:t>
      </w:r>
      <w:r>
        <w:rPr>
          <w:rFonts w:ascii="Arial" w:cs="Arial" w:eastAsia="Arial" w:hAnsi="Arial"/>
          <w:sz w:val="20"/>
          <w:szCs w:val="20"/>
          <w:u w:val="single" w:color="auto"/>
          <w:color w:val="auto"/>
        </w:rPr>
        <w:t>ROTCE</w:t>
      </w:r>
      <w:r>
        <w:rPr>
          <w:rFonts w:ascii="Arial" w:cs="Arial" w:eastAsia="Arial" w:hAnsi="Arial"/>
          <w:sz w:val="20"/>
          <w:szCs w:val="20"/>
          <w:color w:val="auto"/>
        </w:rPr>
        <w:t>”) for the Performance Period, which means the Company’s ROTCE relative to the median ROTCE of the Peer Group (defined below) and (b) the Company’s ROTCE for the Performance Period (“</w:t>
      </w:r>
      <w:r>
        <w:rPr>
          <w:rFonts w:ascii="Arial" w:cs="Arial" w:eastAsia="Arial" w:hAnsi="Arial"/>
          <w:sz w:val="20"/>
          <w:szCs w:val="20"/>
          <w:u w:val="single" w:color="auto"/>
          <w:color w:val="auto"/>
        </w:rPr>
        <w:t>Absolute ROTCE</w:t>
      </w:r>
      <w:r>
        <w:rPr>
          <w:rFonts w:ascii="Arial" w:cs="Arial" w:eastAsia="Arial" w:hAnsi="Arial"/>
          <w:sz w:val="20"/>
          <w:szCs w:val="20"/>
          <w:color w:val="auto"/>
        </w:rPr>
        <w:t>”).</w:t>
      </w:r>
    </w:p>
    <w:p>
      <w:pPr>
        <w:spacing w:after="0" w:line="51" w:lineRule="exact"/>
        <w:rPr>
          <w:rFonts w:ascii="Arial" w:cs="Arial" w:eastAsia="Arial" w:hAnsi="Arial"/>
          <w:sz w:val="20"/>
          <w:szCs w:val="20"/>
          <w:color w:val="auto"/>
        </w:rPr>
      </w:pPr>
    </w:p>
    <w:p>
      <w:pPr>
        <w:ind w:right="140" w:firstLine="1724"/>
        <w:spacing w:after="0" w:line="250" w:lineRule="auto"/>
        <w:tabs>
          <w:tab w:leader="none" w:pos="2936" w:val="left"/>
        </w:tabs>
        <w:numPr>
          <w:ilvl w:val="1"/>
          <w:numId w:val="34"/>
        </w:numPr>
        <w:rPr>
          <w:rFonts w:ascii="Arial" w:cs="Arial" w:eastAsia="Arial" w:hAnsi="Arial"/>
          <w:sz w:val="22"/>
          <w:szCs w:val="22"/>
          <w:color w:val="auto"/>
        </w:rPr>
      </w:pPr>
      <w:r>
        <w:rPr>
          <w:rFonts w:ascii="Arial" w:cs="Arial" w:eastAsia="Arial" w:hAnsi="Arial"/>
          <w:sz w:val="22"/>
          <w:szCs w:val="22"/>
          <w:color w:val="auto"/>
        </w:rPr>
        <w:t>At the end of the Performance Period, the ROTCE for the Company, and for each Company in the Peer Group, shall be calculated as a three-year average, as follows:</w:t>
      </w:r>
    </w:p>
    <w:p>
      <w:pPr>
        <w:spacing w:after="0" w:line="228" w:lineRule="exact"/>
        <w:rPr>
          <w:rFonts w:ascii="Arial" w:cs="Arial" w:eastAsia="Arial" w:hAnsi="Arial"/>
          <w:sz w:val="22"/>
          <w:szCs w:val="22"/>
          <w:color w:val="auto"/>
        </w:rPr>
      </w:pPr>
    </w:p>
    <w:p>
      <w:pPr>
        <w:ind w:left="3760" w:hanging="1176"/>
        <w:spacing w:after="0"/>
        <w:tabs>
          <w:tab w:leader="none" w:pos="3760" w:val="left"/>
        </w:tabs>
        <w:numPr>
          <w:ilvl w:val="2"/>
          <w:numId w:val="34"/>
        </w:numPr>
        <w:rPr>
          <w:rFonts w:ascii="Arial" w:cs="Arial" w:eastAsia="Arial" w:hAnsi="Arial"/>
          <w:sz w:val="20"/>
          <w:szCs w:val="20"/>
          <w:color w:val="auto"/>
        </w:rPr>
      </w:pPr>
      <w:r>
        <w:rPr>
          <w:rFonts w:ascii="Arial" w:cs="Arial" w:eastAsia="Arial" w:hAnsi="Arial"/>
          <w:sz w:val="20"/>
          <w:szCs w:val="20"/>
          <w:color w:val="auto"/>
        </w:rPr>
        <w:t>by taking net operating income available to common equity and dividing by the</w:t>
      </w:r>
    </w:p>
    <w:p>
      <w:pPr>
        <w:spacing w:after="0" w:line="30"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2"/>
          <w:szCs w:val="22"/>
          <w:color w:val="auto"/>
        </w:rPr>
        <w:t>average tangible common equity for each fiscal year in the Performance Period, and</w:t>
      </w:r>
    </w:p>
    <w:p>
      <w:pPr>
        <w:spacing w:after="0" w:line="241" w:lineRule="exact"/>
        <w:rPr>
          <w:rFonts w:ascii="Arial" w:cs="Arial" w:eastAsia="Arial" w:hAnsi="Arial"/>
          <w:sz w:val="20"/>
          <w:szCs w:val="20"/>
          <w:color w:val="auto"/>
        </w:rPr>
      </w:pPr>
    </w:p>
    <w:p>
      <w:pPr>
        <w:ind w:left="3820" w:hanging="1236"/>
        <w:spacing w:after="0"/>
        <w:tabs>
          <w:tab w:leader="none" w:pos="3820" w:val="left"/>
        </w:tabs>
        <w:numPr>
          <w:ilvl w:val="2"/>
          <w:numId w:val="34"/>
        </w:numPr>
        <w:rPr>
          <w:rFonts w:ascii="Arial" w:cs="Arial" w:eastAsia="Arial" w:hAnsi="Arial"/>
          <w:sz w:val="19"/>
          <w:szCs w:val="19"/>
          <w:color w:val="auto"/>
        </w:rPr>
      </w:pPr>
      <w:r>
        <w:rPr>
          <w:rFonts w:ascii="Arial" w:cs="Arial" w:eastAsia="Arial" w:hAnsi="Arial"/>
          <w:sz w:val="19"/>
          <w:szCs w:val="19"/>
          <w:color w:val="auto"/>
        </w:rPr>
        <w:t>by calculating a three-year average for the Performance Period based on the annual</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amounts in Section 1(b)(i) above.</w:t>
      </w:r>
    </w:p>
    <w:p>
      <w:pPr>
        <w:spacing w:after="0" w:line="241" w:lineRule="exact"/>
        <w:rPr>
          <w:sz w:val="20"/>
          <w:szCs w:val="20"/>
          <w:color w:val="auto"/>
        </w:rPr>
      </w:pPr>
    </w:p>
    <w:p>
      <w:pPr>
        <w:ind w:firstLine="2592"/>
        <w:spacing w:after="0" w:line="260" w:lineRule="auto"/>
        <w:rPr>
          <w:sz w:val="20"/>
          <w:szCs w:val="20"/>
          <w:color w:val="auto"/>
        </w:rPr>
      </w:pPr>
      <w:r>
        <w:rPr>
          <w:rFonts w:ascii="Arial" w:cs="Arial" w:eastAsia="Arial" w:hAnsi="Arial"/>
          <w:sz w:val="20"/>
          <w:szCs w:val="20"/>
          <w:color w:val="auto"/>
        </w:rPr>
        <w:t>(iii) Net operating income available to common equity shall be computed by taking net income available to common equity and adding back the after-tax effect of the amortization of core deposit and other intangible assets, adding back the after-tax effects of merger-related expenses, and subtracting the after-tax effects of merger-related gains. Average tangible common equity shall be computed by taking average common equity for the applicable period and subtracting average goodwill and average core deposit and other intangible assets (net of any related average deferred tax amounts). The Committee shall have discretion to make such adjustments as it deems necessary or appropriate to provide comparable ROTCE calculations among the Company and the companies in the Peer Group.</w:t>
      </w:r>
    </w:p>
    <w:p>
      <w:pPr>
        <w:spacing w:after="0" w:line="171" w:lineRule="exact"/>
        <w:rPr>
          <w:sz w:val="20"/>
          <w:szCs w:val="20"/>
          <w:color w:val="auto"/>
        </w:rPr>
      </w:pPr>
    </w:p>
    <w:p>
      <w:pPr>
        <w:ind w:left="2320" w:hanging="1454"/>
        <w:spacing w:after="0"/>
        <w:tabs>
          <w:tab w:leader="none" w:pos="2320" w:val="left"/>
        </w:tabs>
        <w:numPr>
          <w:ilvl w:val="0"/>
          <w:numId w:val="35"/>
        </w:numPr>
        <w:rPr>
          <w:rFonts w:ascii="Arial" w:cs="Arial" w:eastAsia="Arial" w:hAnsi="Arial"/>
          <w:sz w:val="22"/>
          <w:szCs w:val="22"/>
          <w:color w:val="auto"/>
        </w:rPr>
      </w:pPr>
      <w:r>
        <w:rPr>
          <w:rFonts w:ascii="Arial" w:cs="Arial" w:eastAsia="Arial" w:hAnsi="Arial"/>
          <w:sz w:val="22"/>
          <w:szCs w:val="22"/>
          <w:u w:val="single" w:color="auto"/>
          <w:color w:val="auto"/>
        </w:rPr>
        <w:t>Relative ROTCE Vesting Percentage</w:t>
      </w:r>
      <w:r>
        <w:rPr>
          <w:rFonts w:ascii="Arial" w:cs="Arial" w:eastAsia="Arial" w:hAnsi="Arial"/>
          <w:sz w:val="22"/>
          <w:szCs w:val="22"/>
          <w:color w:val="auto"/>
        </w:rPr>
        <w:t>.</w:t>
      </w:r>
    </w:p>
    <w:p>
      <w:pPr>
        <w:spacing w:after="0" w:line="97" w:lineRule="exact"/>
        <w:rPr>
          <w:rFonts w:ascii="Arial" w:cs="Arial" w:eastAsia="Arial" w:hAnsi="Arial"/>
          <w:sz w:val="22"/>
          <w:szCs w:val="22"/>
          <w:color w:val="auto"/>
        </w:rPr>
      </w:pPr>
    </w:p>
    <w:p>
      <w:pPr>
        <w:ind w:right="560" w:firstLine="1724"/>
        <w:spacing w:after="0"/>
        <w:tabs>
          <w:tab w:leader="none" w:pos="2927" w:val="left"/>
        </w:tabs>
        <w:numPr>
          <w:ilvl w:val="1"/>
          <w:numId w:val="35"/>
        </w:numPr>
        <w:rPr>
          <w:rFonts w:ascii="Arial" w:cs="Arial" w:eastAsia="Arial" w:hAnsi="Arial"/>
          <w:sz w:val="22"/>
          <w:szCs w:val="22"/>
          <w:color w:val="auto"/>
        </w:rPr>
      </w:pPr>
      <w:r>
        <w:rPr>
          <w:rFonts w:ascii="Arial" w:cs="Arial" w:eastAsia="Arial" w:hAnsi="Arial"/>
          <w:sz w:val="22"/>
          <w:szCs w:val="22"/>
          <w:color w:val="auto"/>
        </w:rPr>
        <w:t>Subject to Section 3 below, the number of Performance Share Units that may vest for the Performance Period shall be determined by multiplying the Target Award by the Relative ROTCE Vesting Percentage, as determined under this Section 2.</w:t>
      </w:r>
    </w:p>
    <w:p>
      <w:pPr>
        <w:spacing w:after="0" w:line="238" w:lineRule="exact"/>
        <w:rPr>
          <w:rFonts w:ascii="Arial" w:cs="Arial" w:eastAsia="Arial" w:hAnsi="Arial"/>
          <w:sz w:val="22"/>
          <w:szCs w:val="22"/>
          <w:color w:val="auto"/>
        </w:rPr>
      </w:pPr>
    </w:p>
    <w:p>
      <w:pPr>
        <w:ind w:right="40" w:firstLine="1724"/>
        <w:spacing w:after="0" w:line="322" w:lineRule="auto"/>
        <w:tabs>
          <w:tab w:leader="none" w:pos="2939" w:val="left"/>
        </w:tabs>
        <w:numPr>
          <w:ilvl w:val="1"/>
          <w:numId w:val="35"/>
        </w:numPr>
        <w:rPr>
          <w:rFonts w:ascii="Arial" w:cs="Arial" w:eastAsia="Arial" w:hAnsi="Arial"/>
          <w:sz w:val="19"/>
          <w:szCs w:val="19"/>
          <w:color w:val="auto"/>
        </w:rPr>
      </w:pPr>
      <w:r>
        <w:rPr>
          <w:rFonts w:ascii="Arial" w:cs="Arial" w:eastAsia="Arial" w:hAnsi="Arial"/>
          <w:sz w:val="19"/>
          <w:szCs w:val="19"/>
          <w:color w:val="auto"/>
        </w:rPr>
        <w:t>The Relative ROTCE Vesting Percentage will be determined based on the Company’s ROTCE percentile ranking compared to the ROTCE of the companies in the Peer Group for the Performance Period, as follows:</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22"/>
          <w:szCs w:val="22"/>
          <w:b w:val="1"/>
          <w:bCs w:val="1"/>
          <w:color w:val="auto"/>
        </w:rPr>
        <w:t>[Insert Relative ROTC Vesting Percentage Schedule approved by the Committee]</w:t>
      </w:r>
    </w:p>
    <w:p>
      <w:pPr>
        <w:spacing w:after="0" w:line="104" w:lineRule="exact"/>
        <w:rPr>
          <w:sz w:val="20"/>
          <w:szCs w:val="20"/>
          <w:color w:val="auto"/>
        </w:rPr>
      </w:pPr>
    </w:p>
    <w:p>
      <w:pPr>
        <w:ind w:right="300" w:firstLine="1724"/>
        <w:spacing w:after="0"/>
        <w:tabs>
          <w:tab w:leader="none" w:pos="2927" w:val="left"/>
        </w:tabs>
        <w:numPr>
          <w:ilvl w:val="0"/>
          <w:numId w:val="36"/>
        </w:numPr>
        <w:rPr>
          <w:rFonts w:ascii="Arial" w:cs="Arial" w:eastAsia="Arial" w:hAnsi="Arial"/>
          <w:sz w:val="22"/>
          <w:szCs w:val="22"/>
          <w:color w:val="auto"/>
        </w:rPr>
      </w:pPr>
      <w:r>
        <w:rPr>
          <w:rFonts w:ascii="Arial" w:cs="Arial" w:eastAsia="Arial" w:hAnsi="Arial"/>
          <w:sz w:val="22"/>
          <w:szCs w:val="22"/>
          <w:color w:val="auto"/>
        </w:rPr>
        <w:t>The companies in the Peer Group will be determined on the first day of the Performance Period for purposes of the ROTCE calculation and will be changed only in accordance with Section 2(d) below. No company shall be added to the Peer Group during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336550</wp:posOffset>
            </wp:positionV>
            <wp:extent cx="714946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455" w:right="419" w:bottom="1440" w:gutter="0" w:footer="0" w:header="0"/>
        </w:sectPr>
      </w:pPr>
    </w:p>
    <w:bookmarkStart w:id="88" w:name="page89"/>
    <w:bookmarkEnd w:id="88"/>
    <w:p>
      <w:pPr>
        <w:spacing w:after="0"/>
        <w:rPr>
          <w:sz w:val="20"/>
          <w:szCs w:val="20"/>
          <w:color w:val="auto"/>
        </w:rPr>
      </w:pPr>
      <w:r>
        <w:rPr>
          <w:rFonts w:ascii="Arial" w:cs="Arial" w:eastAsia="Arial" w:hAnsi="Arial"/>
          <w:sz w:val="22"/>
          <w:szCs w:val="22"/>
          <w:color w:val="auto"/>
        </w:rPr>
        <w:t>Performance Period for purposes of the ROTCE calculation.</w:t>
      </w:r>
    </w:p>
    <w:p>
      <w:pPr>
        <w:spacing w:after="0" w:line="259" w:lineRule="exact"/>
        <w:rPr>
          <w:sz w:val="20"/>
          <w:szCs w:val="20"/>
          <w:color w:val="auto"/>
        </w:rPr>
      </w:pPr>
    </w:p>
    <w:p>
      <w:pPr>
        <w:ind w:left="2940" w:hanging="1216"/>
        <w:spacing w:after="0"/>
        <w:tabs>
          <w:tab w:leader="none" w:pos="2940" w:val="left"/>
        </w:tabs>
        <w:numPr>
          <w:ilvl w:val="0"/>
          <w:numId w:val="37"/>
        </w:numPr>
        <w:rPr>
          <w:rFonts w:ascii="Arial" w:cs="Arial" w:eastAsia="Arial" w:hAnsi="Arial"/>
          <w:sz w:val="20"/>
          <w:szCs w:val="20"/>
          <w:color w:val="auto"/>
        </w:rPr>
      </w:pPr>
      <w:r>
        <w:rPr>
          <w:rFonts w:ascii="Arial" w:cs="Arial" w:eastAsia="Arial" w:hAnsi="Arial"/>
          <w:sz w:val="20"/>
          <w:szCs w:val="20"/>
          <w:color w:val="auto"/>
        </w:rPr>
        <w:t>The term “</w:t>
      </w:r>
      <w:r>
        <w:rPr>
          <w:rFonts w:ascii="Arial" w:cs="Arial" w:eastAsia="Arial" w:hAnsi="Arial"/>
          <w:sz w:val="20"/>
          <w:szCs w:val="20"/>
          <w:u w:val="single" w:color="auto"/>
          <w:color w:val="auto"/>
        </w:rPr>
        <w:t>Peer Group</w:t>
      </w:r>
      <w:r>
        <w:rPr>
          <w:rFonts w:ascii="Arial" w:cs="Arial" w:eastAsia="Arial" w:hAnsi="Arial"/>
          <w:sz w:val="20"/>
          <w:szCs w:val="20"/>
          <w:color w:val="auto"/>
        </w:rPr>
        <w:t xml:space="preserve">” means the companies listed on </w:t>
      </w:r>
      <w:r>
        <w:rPr>
          <w:rFonts w:ascii="Arial" w:cs="Arial" w:eastAsia="Arial" w:hAnsi="Arial"/>
          <w:sz w:val="20"/>
          <w:szCs w:val="20"/>
          <w:u w:val="single" w:color="auto"/>
          <w:color w:val="auto"/>
        </w:rPr>
        <w:t>Schedule A</w:t>
      </w:r>
      <w:r>
        <w:rPr>
          <w:rFonts w:ascii="Arial" w:cs="Arial" w:eastAsia="Arial" w:hAnsi="Arial"/>
          <w:sz w:val="20"/>
          <w:szCs w:val="20"/>
          <w:color w:val="auto"/>
        </w:rPr>
        <w:t xml:space="preserve"> and will be subject to</w:t>
      </w:r>
    </w:p>
    <w:p>
      <w:pPr>
        <w:spacing w:after="0" w:line="31" w:lineRule="exact"/>
        <w:rPr>
          <w:sz w:val="20"/>
          <w:szCs w:val="20"/>
          <w:color w:val="auto"/>
        </w:rPr>
      </w:pPr>
    </w:p>
    <w:p>
      <w:pPr>
        <w:spacing w:after="0"/>
        <w:rPr>
          <w:sz w:val="20"/>
          <w:szCs w:val="20"/>
          <w:color w:val="auto"/>
        </w:rPr>
      </w:pPr>
      <w:r>
        <w:rPr>
          <w:rFonts w:ascii="Arial" w:cs="Arial" w:eastAsia="Arial" w:hAnsi="Arial"/>
          <w:sz w:val="22"/>
          <w:szCs w:val="22"/>
          <w:color w:val="auto"/>
        </w:rPr>
        <w:t>change as follows:</w:t>
      </w:r>
    </w:p>
    <w:p>
      <w:pPr>
        <w:spacing w:after="0" w:line="241" w:lineRule="exact"/>
        <w:rPr>
          <w:sz w:val="20"/>
          <w:szCs w:val="20"/>
          <w:color w:val="auto"/>
        </w:rPr>
      </w:pPr>
    </w:p>
    <w:p>
      <w:pPr>
        <w:ind w:right="120" w:firstLine="2592"/>
        <w:spacing w:after="0" w:line="237" w:lineRule="auto"/>
        <w:rPr>
          <w:sz w:val="20"/>
          <w:szCs w:val="20"/>
          <w:color w:val="auto"/>
        </w:rPr>
      </w:pPr>
      <w:r>
        <w:rPr>
          <w:rFonts w:ascii="Arial" w:cs="Arial" w:eastAsia="Arial" w:hAnsi="Arial"/>
          <w:sz w:val="22"/>
          <w:szCs w:val="22"/>
          <w:color w:val="auto"/>
        </w:rPr>
        <w:t>(i) In the event of a merger, acquisition or business combination transaction of a company in the Peer Group in which the company in the Peer Group is the surviving entity and remains publicly traded, the surviving entity shall remain a company in the Peer Group. Any entity involved in the transaction that is not the surviving company shall no longer be a company in the Peer Group.</w:t>
      </w:r>
    </w:p>
    <w:p>
      <w:pPr>
        <w:spacing w:after="0" w:line="187" w:lineRule="exact"/>
        <w:rPr>
          <w:sz w:val="20"/>
          <w:szCs w:val="20"/>
          <w:color w:val="auto"/>
        </w:rPr>
      </w:pPr>
    </w:p>
    <w:p>
      <w:pPr>
        <w:ind w:right="20" w:firstLine="2592"/>
        <w:spacing w:after="0" w:line="237" w:lineRule="auto"/>
        <w:rPr>
          <w:sz w:val="20"/>
          <w:szCs w:val="20"/>
          <w:color w:val="auto"/>
        </w:rPr>
      </w:pPr>
      <w:r>
        <w:rPr>
          <w:rFonts w:ascii="Arial" w:cs="Arial" w:eastAsia="Arial" w:hAnsi="Arial"/>
          <w:sz w:val="22"/>
          <w:szCs w:val="22"/>
          <w:color w:val="auto"/>
        </w:rPr>
        <w:t>(ii) In the event of a merger, acquisition or business combination transaction of a company in the Peer Group, a “going private” transaction or other event involving a company in the Peer Group, or the liquidation of a company in the Peer Group, in each case where the company in the Peer Group is not the surviving entity or is no longer publicly traded, the company shall no longer be a company in the Peer Group.</w:t>
      </w:r>
    </w:p>
    <w:p>
      <w:pPr>
        <w:spacing w:after="0" w:line="187" w:lineRule="exact"/>
        <w:rPr>
          <w:sz w:val="20"/>
          <w:szCs w:val="20"/>
          <w:color w:val="auto"/>
        </w:rPr>
      </w:pPr>
    </w:p>
    <w:p>
      <w:pPr>
        <w:ind w:firstLine="2592"/>
        <w:spacing w:after="0" w:line="276" w:lineRule="auto"/>
        <w:rPr>
          <w:sz w:val="20"/>
          <w:szCs w:val="20"/>
          <w:color w:val="auto"/>
        </w:rPr>
      </w:pPr>
      <w:r>
        <w:rPr>
          <w:rFonts w:ascii="Arial" w:cs="Arial" w:eastAsia="Arial" w:hAnsi="Arial"/>
          <w:sz w:val="20"/>
          <w:szCs w:val="20"/>
          <w:color w:val="auto"/>
        </w:rPr>
        <w:t>(iii) Notwithstanding the foregoing, in the event of a bankruptcy of a company in the Peer Group where the company in the Peer Group is not publicly traded at the end of the Performance Period, such company shall remain a company in the Peer Group but shall be deemed to have an ROTCE of negative 100% (-100%).</w:t>
      </w:r>
    </w:p>
    <w:p>
      <w:pPr>
        <w:spacing w:after="0" w:line="150" w:lineRule="exact"/>
        <w:rPr>
          <w:sz w:val="20"/>
          <w:szCs w:val="20"/>
          <w:color w:val="auto"/>
        </w:rPr>
      </w:pPr>
    </w:p>
    <w:p>
      <w:pPr>
        <w:ind w:right="160" w:firstLine="866"/>
        <w:spacing w:after="0" w:line="250" w:lineRule="auto"/>
        <w:tabs>
          <w:tab w:leader="none" w:pos="2313" w:val="left"/>
        </w:tabs>
        <w:numPr>
          <w:ilvl w:val="0"/>
          <w:numId w:val="38"/>
        </w:numPr>
        <w:rPr>
          <w:rFonts w:ascii="Arial" w:cs="Arial" w:eastAsia="Arial" w:hAnsi="Arial"/>
          <w:sz w:val="22"/>
          <w:szCs w:val="22"/>
          <w:color w:val="auto"/>
        </w:rPr>
      </w:pPr>
      <w:r>
        <w:rPr>
          <w:rFonts w:ascii="Arial" w:cs="Arial" w:eastAsia="Arial" w:hAnsi="Arial"/>
          <w:sz w:val="22"/>
          <w:szCs w:val="22"/>
          <w:u w:val="single" w:color="auto"/>
          <w:color w:val="auto"/>
        </w:rPr>
        <w:t>Adjustment Based on Absolute ROTCE</w:t>
      </w:r>
      <w:r>
        <w:rPr>
          <w:rFonts w:ascii="Arial" w:cs="Arial" w:eastAsia="Arial" w:hAnsi="Arial"/>
          <w:sz w:val="22"/>
          <w:szCs w:val="22"/>
          <w:color w:val="auto"/>
        </w:rPr>
        <w:t>. Notwithstanding Section 2 above, and except as provided in Sections 4(c), (d) and (e) of the Terms and Conditions,</w:t>
      </w:r>
    </w:p>
    <w:p>
      <w:pPr>
        <w:spacing w:after="0" w:line="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[Insert adjustments to Relative ROTC Vesting Percentage Schedule approved by the Committee]</w:t>
      </w:r>
    </w:p>
    <w:p>
      <w:pPr>
        <w:spacing w:after="0" w:line="104" w:lineRule="exact"/>
        <w:rPr>
          <w:sz w:val="20"/>
          <w:szCs w:val="20"/>
          <w:color w:val="auto"/>
        </w:rPr>
      </w:pPr>
    </w:p>
    <w:p>
      <w:pPr>
        <w:ind w:right="120" w:firstLine="866"/>
        <w:spacing w:after="0" w:line="260" w:lineRule="auto"/>
        <w:tabs>
          <w:tab w:leader="none" w:pos="2314" w:val="left"/>
        </w:tabs>
        <w:numPr>
          <w:ilvl w:val="0"/>
          <w:numId w:val="39"/>
        </w:numPr>
        <w:rPr>
          <w:rFonts w:ascii="Arial" w:cs="Arial" w:eastAsia="Arial" w:hAnsi="Arial"/>
          <w:sz w:val="20"/>
          <w:szCs w:val="20"/>
          <w:color w:val="auto"/>
        </w:rPr>
      </w:pPr>
      <w:r>
        <w:rPr>
          <w:rFonts w:ascii="Arial" w:cs="Arial" w:eastAsia="Arial" w:hAnsi="Arial"/>
          <w:sz w:val="20"/>
          <w:szCs w:val="20"/>
          <w:u w:val="single" w:color="auto"/>
          <w:color w:val="auto"/>
        </w:rPr>
        <w:t>General Vesting Terms</w:t>
      </w:r>
      <w:r>
        <w:rPr>
          <w:rFonts w:ascii="Arial" w:cs="Arial" w:eastAsia="Arial" w:hAnsi="Arial"/>
          <w:sz w:val="20"/>
          <w:szCs w:val="20"/>
          <w:color w:val="auto"/>
        </w:rPr>
        <w:t xml:space="preserve">. The Committee shall have sole discretion to calculate the achievement of the Performance Goals and to make such adjustments as the Committee deems necessary or appropriate, including any adjustments deemed necessary or appropriate to determine vesting upon a Change in Control consistent with Section 4(e) of the Terms and Conditions. The Committee’s determinations shall be final and binding. Any fractional Performance Share Unit resulting from the vesting of the Performance Share Units in accordance with this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shall be rounded down to the nearest whole number. Any portion of the Performance Share Units that does not vest as of the end of the Performance Period shall be forfeited as of the end of the Performance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327660</wp:posOffset>
            </wp:positionV>
            <wp:extent cx="714946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55" w:right="379" w:bottom="1440" w:gutter="0" w:footer="0" w:header="0"/>
        </w:sectPr>
      </w:pPr>
    </w:p>
    <w:bookmarkStart w:id="89" w:name="page90"/>
    <w:bookmarkEnd w:id="89"/>
    <w:p>
      <w:pPr>
        <w:jc w:val="right"/>
        <w:ind w:right="4019"/>
        <w:spacing w:after="0"/>
        <w:rPr>
          <w:sz w:val="20"/>
          <w:szCs w:val="20"/>
          <w:color w:val="auto"/>
        </w:rPr>
      </w:pPr>
      <w:r>
        <w:rPr>
          <w:rFonts w:ascii="Arial" w:cs="Arial" w:eastAsia="Arial" w:hAnsi="Arial"/>
          <w:sz w:val="22"/>
          <w:szCs w:val="22"/>
          <w:u w:val="single" w:color="auto"/>
          <w:color w:val="auto"/>
        </w:rPr>
        <w:t>Schedule A</w:t>
      </w:r>
    </w:p>
    <w:p>
      <w:pPr>
        <w:spacing w:after="0" w:line="205" w:lineRule="exact"/>
        <w:rPr>
          <w:sz w:val="20"/>
          <w:szCs w:val="20"/>
          <w:color w:val="auto"/>
        </w:rPr>
      </w:pPr>
    </w:p>
    <w:p>
      <w:pPr>
        <w:ind w:left="4000"/>
        <w:spacing w:after="0"/>
        <w:rPr>
          <w:sz w:val="20"/>
          <w:szCs w:val="20"/>
          <w:color w:val="auto"/>
        </w:rPr>
      </w:pPr>
      <w:r>
        <w:rPr>
          <w:rFonts w:ascii="Arial" w:cs="Arial" w:eastAsia="Arial" w:hAnsi="Arial"/>
          <w:sz w:val="19"/>
          <w:szCs w:val="19"/>
          <w:u w:val="single" w:color="auto"/>
          <w:color w:val="auto"/>
        </w:rPr>
        <w:t>Peer Group</w:t>
      </w:r>
    </w:p>
    <w:p>
      <w:pPr>
        <w:spacing w:after="0" w:line="234" w:lineRule="exact"/>
        <w:rPr>
          <w:sz w:val="20"/>
          <w:szCs w:val="20"/>
          <w:color w:val="auto"/>
        </w:rPr>
      </w:pPr>
    </w:p>
    <w:p>
      <w:pPr>
        <w:ind w:left="1920"/>
        <w:spacing w:after="0"/>
        <w:rPr>
          <w:sz w:val="20"/>
          <w:szCs w:val="20"/>
          <w:color w:val="auto"/>
        </w:rPr>
      </w:pPr>
      <w:r>
        <w:rPr>
          <w:rFonts w:ascii="Arial" w:cs="Arial" w:eastAsia="Arial" w:hAnsi="Arial"/>
          <w:sz w:val="22"/>
          <w:szCs w:val="22"/>
          <w:b w:val="1"/>
          <w:bCs w:val="1"/>
          <w:color w:val="auto"/>
        </w:rPr>
        <w:t>[Insert Peer Group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6586855</wp:posOffset>
            </wp:positionV>
            <wp:extent cx="714946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019"/>
          </w:cols>
          <w:pgMar w:left="1440" w:top="347" w:right="1440" w:bottom="1440" w:gutter="0" w:footer="0" w:header="0"/>
        </w:sectPr>
      </w:pPr>
    </w:p>
    <w:bookmarkStart w:id="90" w:name="page91"/>
    <w:bookmarkEnd w:id="90"/>
    <w:p>
      <w:pPr>
        <w:jc w:val="center"/>
        <w:ind w:right="-299"/>
        <w:spacing w:after="0"/>
        <w:rPr>
          <w:sz w:val="20"/>
          <w:szCs w:val="20"/>
          <w:color w:val="auto"/>
        </w:rPr>
      </w:pPr>
      <w:r>
        <w:rPr>
          <w:rFonts w:ascii="Arial" w:cs="Arial" w:eastAsia="Arial" w:hAnsi="Arial"/>
          <w:sz w:val="22"/>
          <w:szCs w:val="22"/>
          <w:color w:val="auto"/>
        </w:rPr>
        <w:t>M&amp;T BANK CORPORATION</w:t>
      </w:r>
    </w:p>
    <w:p>
      <w:pPr>
        <w:jc w:val="center"/>
        <w:ind w:right="-319"/>
        <w:spacing w:after="0" w:line="237" w:lineRule="auto"/>
        <w:rPr>
          <w:sz w:val="20"/>
          <w:szCs w:val="20"/>
          <w:color w:val="auto"/>
        </w:rPr>
      </w:pPr>
      <w:r>
        <w:rPr>
          <w:rFonts w:ascii="Arial" w:cs="Arial" w:eastAsia="Arial" w:hAnsi="Arial"/>
          <w:sz w:val="22"/>
          <w:szCs w:val="22"/>
          <w:color w:val="auto"/>
        </w:rPr>
        <w:t>2019 EQUITY INCENTIVE COMPENSATION PLAN</w:t>
      </w:r>
    </w:p>
    <w:p>
      <w:pPr>
        <w:jc w:val="center"/>
        <w:ind w:right="-299"/>
        <w:spacing w:after="0" w:line="230" w:lineRule="auto"/>
        <w:rPr>
          <w:sz w:val="20"/>
          <w:szCs w:val="20"/>
          <w:color w:val="auto"/>
        </w:rPr>
      </w:pPr>
      <w:r>
        <w:rPr>
          <w:rFonts w:ascii="Arial" w:cs="Arial" w:eastAsia="Arial" w:hAnsi="Arial"/>
          <w:sz w:val="22"/>
          <w:szCs w:val="22"/>
          <w:color w:val="auto"/>
        </w:rPr>
        <w:t>TERMS AND CONDITIONS</w:t>
      </w:r>
    </w:p>
    <w:p>
      <w:pPr>
        <w:jc w:val="center"/>
        <w:ind w:right="-319"/>
        <w:spacing w:after="0" w:line="231" w:lineRule="auto"/>
        <w:rPr>
          <w:sz w:val="20"/>
          <w:szCs w:val="20"/>
          <w:color w:val="auto"/>
        </w:rPr>
      </w:pPr>
      <w:r>
        <w:rPr>
          <w:rFonts w:ascii="Arial" w:cs="Arial" w:eastAsia="Arial" w:hAnsi="Arial"/>
          <w:sz w:val="22"/>
          <w:szCs w:val="22"/>
          <w:color w:val="auto"/>
        </w:rPr>
        <w:t>OF</w:t>
      </w:r>
    </w:p>
    <w:p>
      <w:pPr>
        <w:jc w:val="center"/>
        <w:ind w:right="-319"/>
        <w:spacing w:after="0"/>
        <w:rPr>
          <w:sz w:val="20"/>
          <w:szCs w:val="20"/>
          <w:color w:val="auto"/>
        </w:rPr>
      </w:pPr>
      <w:r>
        <w:rPr>
          <w:rFonts w:ascii="Arial" w:cs="Arial" w:eastAsia="Arial" w:hAnsi="Arial"/>
          <w:sz w:val="22"/>
          <w:szCs w:val="22"/>
          <w:color w:val="auto"/>
        </w:rPr>
        <w:t>PERFORMANCE SHARE UNIT AWARD</w:t>
      </w:r>
    </w:p>
    <w:p>
      <w:pPr>
        <w:spacing w:after="0" w:line="214" w:lineRule="exact"/>
        <w:rPr>
          <w:sz w:val="20"/>
          <w:szCs w:val="20"/>
          <w:color w:val="auto"/>
        </w:rPr>
      </w:pPr>
    </w:p>
    <w:p>
      <w:pPr>
        <w:ind w:right="280"/>
        <w:spacing w:after="0" w:line="250" w:lineRule="auto"/>
        <w:rPr>
          <w:sz w:val="20"/>
          <w:szCs w:val="20"/>
          <w:color w:val="auto"/>
        </w:rPr>
      </w:pPr>
      <w:r>
        <w:rPr>
          <w:rFonts w:ascii="Arial" w:cs="Arial" w:eastAsia="Arial" w:hAnsi="Arial"/>
          <w:sz w:val="22"/>
          <w:szCs w:val="22"/>
          <w:color w:val="auto"/>
        </w:rPr>
        <w:t>1.Definitions. Capitalized terms used herein without definition shall have the meanings assigned to them in the Plan or on the cover page.</w:t>
      </w:r>
    </w:p>
    <w:p>
      <w:pPr>
        <w:spacing w:after="0" w:line="201" w:lineRule="exact"/>
        <w:rPr>
          <w:sz w:val="20"/>
          <w:szCs w:val="20"/>
          <w:color w:val="auto"/>
        </w:rPr>
      </w:pPr>
    </w:p>
    <w:p>
      <w:pPr>
        <w:jc w:val="both"/>
        <w:ind w:right="360"/>
        <w:spacing w:after="0" w:line="287" w:lineRule="auto"/>
        <w:rPr>
          <w:sz w:val="20"/>
          <w:szCs w:val="20"/>
          <w:color w:val="auto"/>
        </w:rPr>
      </w:pPr>
      <w:r>
        <w:rPr>
          <w:rFonts w:ascii="Arial" w:cs="Arial" w:eastAsia="Arial" w:hAnsi="Arial"/>
          <w:sz w:val="19"/>
          <w:szCs w:val="19"/>
          <w:color w:val="auto"/>
        </w:rPr>
        <w:t xml:space="preserve">2.Grant of Performance Share Unit Award. The Performance Share Unit Award granted hereby is granted in accordance with the cover page of this Agreement. Vesting of the Performance Share Units will be based on achievement of the performance goals set forth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to the cover page of this Agreement and, except as otherwise provided herein, the Grantee’s continued employment from the Date of Grant to the Vesting Date (as defined in Section 4(a) below).</w:t>
      </w:r>
    </w:p>
    <w:p>
      <w:pPr>
        <w:spacing w:after="0" w:line="168" w:lineRule="exact"/>
        <w:rPr>
          <w:sz w:val="20"/>
          <w:szCs w:val="20"/>
          <w:color w:val="auto"/>
        </w:rPr>
      </w:pPr>
    </w:p>
    <w:p>
      <w:pPr>
        <w:jc w:val="both"/>
        <w:ind w:right="340"/>
        <w:spacing w:after="0"/>
        <w:rPr>
          <w:sz w:val="20"/>
          <w:szCs w:val="20"/>
          <w:color w:val="auto"/>
        </w:rPr>
      </w:pPr>
      <w:r>
        <w:rPr>
          <w:rFonts w:ascii="Arial" w:cs="Arial" w:eastAsia="Arial" w:hAnsi="Arial"/>
          <w:sz w:val="22"/>
          <w:szCs w:val="22"/>
          <w:color w:val="auto"/>
        </w:rPr>
        <w:t>3.Nature of Performance Stock Unit Award. Performance Share Units are not actual shares of Common Stock. The Grantee’s interest in Performance Share Units shall make the Grantee only a general, unsecured creditor of the Company until the Performance Share Units become vested and settled.</w:t>
      </w:r>
    </w:p>
    <w:p>
      <w:pPr>
        <w:spacing w:after="0" w:line="212" w:lineRule="exact"/>
        <w:rPr>
          <w:sz w:val="20"/>
          <w:szCs w:val="20"/>
          <w:color w:val="auto"/>
        </w:rPr>
      </w:pPr>
    </w:p>
    <w:p>
      <w:pPr>
        <w:ind w:left="880" w:hanging="872"/>
        <w:spacing w:after="0"/>
        <w:tabs>
          <w:tab w:leader="none" w:pos="880" w:val="left"/>
        </w:tabs>
        <w:numPr>
          <w:ilvl w:val="0"/>
          <w:numId w:val="40"/>
        </w:numPr>
        <w:rPr>
          <w:rFonts w:ascii="Arial" w:cs="Arial" w:eastAsia="Arial" w:hAnsi="Arial"/>
          <w:sz w:val="22"/>
          <w:szCs w:val="22"/>
          <w:color w:val="auto"/>
        </w:rPr>
      </w:pPr>
      <w:r>
        <w:rPr>
          <w:rFonts w:ascii="Arial" w:cs="Arial" w:eastAsia="Arial" w:hAnsi="Arial"/>
          <w:sz w:val="22"/>
          <w:szCs w:val="22"/>
          <w:color w:val="auto"/>
        </w:rPr>
        <w:t>Vesting on Certain Terminations of Employment; Change in Control.</w:t>
      </w:r>
    </w:p>
    <w:p>
      <w:pPr>
        <w:spacing w:after="0" w:line="232" w:lineRule="exact"/>
        <w:rPr>
          <w:sz w:val="20"/>
          <w:szCs w:val="20"/>
          <w:color w:val="auto"/>
        </w:rPr>
      </w:pPr>
    </w:p>
    <w:p>
      <w:pPr>
        <w:ind w:firstLine="1687"/>
        <w:spacing w:after="0" w:line="269" w:lineRule="auto"/>
        <w:rPr>
          <w:sz w:val="20"/>
          <w:szCs w:val="20"/>
          <w:color w:val="auto"/>
        </w:rPr>
      </w:pPr>
      <w:r>
        <w:rPr>
          <w:rFonts w:ascii="Arial" w:cs="Arial" w:eastAsia="Arial" w:hAnsi="Arial"/>
          <w:sz w:val="19"/>
          <w:szCs w:val="19"/>
          <w:color w:val="auto"/>
        </w:rPr>
        <w:t>(a) Employment Requirement; Forfeiture. Except as provided herein, the Grantee must remain continuously employed by the Company or one of its Affiliates from the Date of Grant and until the last day of the Performance Period (the “</w:t>
      </w:r>
      <w:r>
        <w:rPr>
          <w:rFonts w:ascii="Arial" w:cs="Arial" w:eastAsia="Arial" w:hAnsi="Arial"/>
          <w:sz w:val="19"/>
          <w:szCs w:val="19"/>
          <w:u w:val="single" w:color="auto"/>
          <w:color w:val="auto"/>
        </w:rPr>
        <w:t>Vesting Date</w:t>
      </w:r>
      <w:r>
        <w:rPr>
          <w:rFonts w:ascii="Arial" w:cs="Arial" w:eastAsia="Arial" w:hAnsi="Arial"/>
          <w:sz w:val="19"/>
          <w:szCs w:val="19"/>
          <w:color w:val="auto"/>
        </w:rPr>
        <w:t>”) in order to be entitled to receive shares of Common Stock in settlement of the Performance Share Unit Award. Except as provided in Sections 4(b), (c) or (d) below, upon the Grantee’s termination of employment with the Company and its Affiliates that constitutes a “separation from service,” as defined under Section 409A of the Code (“</w:t>
      </w:r>
      <w:r>
        <w:rPr>
          <w:rFonts w:ascii="Arial" w:cs="Arial" w:eastAsia="Arial" w:hAnsi="Arial"/>
          <w:sz w:val="19"/>
          <w:szCs w:val="19"/>
          <w:u w:val="single" w:color="auto"/>
          <w:color w:val="auto"/>
        </w:rPr>
        <w:t>Termination of Employment</w:t>
      </w:r>
      <w:r>
        <w:rPr>
          <w:rFonts w:ascii="Arial" w:cs="Arial" w:eastAsia="Arial" w:hAnsi="Arial"/>
          <w:sz w:val="19"/>
          <w:szCs w:val="19"/>
          <w:color w:val="auto"/>
        </w:rPr>
        <w:t>”) for any reason, including for Cause or as a result of the Grantee’s resignation, before the Grantee’s Performance Share Units have fully vested, the Grantee will forfeit that portion of the Performance Share Units that have not vested as of the date of the Grantee’s Termination of Employment. Except as provided in Sections 4(c), (d) and</w:t>
      </w:r>
    </w:p>
    <w:p>
      <w:pPr>
        <w:spacing w:after="0" w:line="1" w:lineRule="exact"/>
        <w:rPr>
          <w:sz w:val="20"/>
          <w:szCs w:val="20"/>
          <w:color w:val="auto"/>
        </w:rPr>
      </w:pPr>
    </w:p>
    <w:p>
      <w:pPr>
        <w:ind w:right="120" w:firstLine="8"/>
        <w:spacing w:after="0" w:line="236" w:lineRule="auto"/>
        <w:tabs>
          <w:tab w:leader="none" w:pos="293" w:val="left"/>
        </w:tabs>
        <w:numPr>
          <w:ilvl w:val="0"/>
          <w:numId w:val="41"/>
        </w:numPr>
        <w:rPr>
          <w:rFonts w:ascii="Arial" w:cs="Arial" w:eastAsia="Arial" w:hAnsi="Arial"/>
          <w:sz w:val="22"/>
          <w:szCs w:val="22"/>
          <w:color w:val="auto"/>
        </w:rPr>
      </w:pPr>
      <w:r>
        <w:rPr>
          <w:rFonts w:ascii="Arial" w:cs="Arial" w:eastAsia="Arial" w:hAnsi="Arial"/>
          <w:sz w:val="22"/>
          <w:szCs w:val="22"/>
          <w:color w:val="auto"/>
        </w:rPr>
        <w:t>below, if the Performance Goals are not attained at the end of the Performance Period, as determined by the Committee in its sole discretion, the Performance Share Units will be immediately forfeited.</w:t>
      </w:r>
    </w:p>
    <w:p>
      <w:pPr>
        <w:spacing w:after="0" w:line="213" w:lineRule="exact"/>
        <w:rPr>
          <w:sz w:val="20"/>
          <w:szCs w:val="20"/>
          <w:color w:val="auto"/>
        </w:rPr>
      </w:pPr>
    </w:p>
    <w:p>
      <w:pPr>
        <w:ind w:right="60" w:firstLine="1687"/>
        <w:spacing w:after="0" w:line="264" w:lineRule="auto"/>
        <w:rPr>
          <w:sz w:val="20"/>
          <w:szCs w:val="20"/>
          <w:color w:val="auto"/>
        </w:rPr>
      </w:pPr>
      <w:r>
        <w:rPr>
          <w:rFonts w:ascii="Arial" w:cs="Arial" w:eastAsia="Arial" w:hAnsi="Arial"/>
          <w:sz w:val="20"/>
          <w:szCs w:val="20"/>
          <w:color w:val="auto"/>
        </w:rPr>
        <w:t xml:space="preserve">(b) </w:t>
      </w:r>
      <w:r>
        <w:rPr>
          <w:rFonts w:ascii="Arial" w:cs="Arial" w:eastAsia="Arial" w:hAnsi="Arial"/>
          <w:sz w:val="20"/>
          <w:szCs w:val="20"/>
          <w:u w:val="single" w:color="auto"/>
          <w:color w:val="auto"/>
        </w:rPr>
        <w:t>Qualifying Separation</w:t>
      </w:r>
      <w:r>
        <w:rPr>
          <w:rFonts w:ascii="Arial" w:cs="Arial" w:eastAsia="Arial" w:hAnsi="Arial"/>
          <w:sz w:val="20"/>
          <w:szCs w:val="20"/>
          <w:color w:val="auto"/>
        </w:rPr>
        <w:t>. If the Grantee incurs a Qualifying Separation prior to the Vesting Date, the Grantee will not forfeit the Performance Share Units upon such Qualifying Separation, and the Performance Share Units will continue to vest based on the attainment of the Performance Goals, except as otherwise provided in Section 4(c) (death) and 4(e) (Change in Control) below, and subject to Section 4(f) below. If the Grantee incurs a Termination of Employment on account of Disability or a Position Elimination (as defined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714946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940"/>
          </w:cols>
          <w:pgMar w:left="320" w:top="347" w:right="639" w:bottom="1440" w:gutter="0" w:footer="0" w:header="0"/>
        </w:sectPr>
      </w:pPr>
    </w:p>
    <w:bookmarkStart w:id="91" w:name="page92"/>
    <w:bookmarkEnd w:id="91"/>
    <w:p>
      <w:pPr>
        <w:ind w:right="420"/>
        <w:spacing w:after="0" w:line="250" w:lineRule="auto"/>
        <w:rPr>
          <w:sz w:val="20"/>
          <w:szCs w:val="20"/>
          <w:color w:val="auto"/>
        </w:rPr>
      </w:pPr>
      <w:r>
        <w:rPr>
          <w:rFonts w:ascii="Arial" w:cs="Arial" w:eastAsia="Arial" w:hAnsi="Arial"/>
          <w:sz w:val="22"/>
          <w:szCs w:val="22"/>
          <w:color w:val="auto"/>
        </w:rPr>
        <w:t>Section 4(d) below) at a time when the Grantee has met the age and service requirements for a Qualifying Separation, this Section 4(b) shall apply to the Performance Share Units.</w:t>
      </w:r>
    </w:p>
    <w:p>
      <w:pPr>
        <w:spacing w:after="0" w:line="201" w:lineRule="exact"/>
        <w:rPr>
          <w:sz w:val="20"/>
          <w:szCs w:val="20"/>
          <w:color w:val="auto"/>
        </w:rPr>
      </w:pPr>
    </w:p>
    <w:p>
      <w:pPr>
        <w:ind w:right="120" w:firstLine="1687"/>
        <w:spacing w:after="0" w:line="236" w:lineRule="auto"/>
        <w:rPr>
          <w:sz w:val="20"/>
          <w:szCs w:val="20"/>
          <w:color w:val="auto"/>
        </w:rPr>
      </w:pPr>
      <w:r>
        <w:rPr>
          <w:rFonts w:ascii="Arial" w:cs="Arial" w:eastAsia="Arial" w:hAnsi="Arial"/>
          <w:sz w:val="22"/>
          <w:szCs w:val="22"/>
          <w:color w:val="auto"/>
        </w:rPr>
        <w:t>(c) Death; Disability. The Performance Share Unit Award shall vest with respect to 100% of the Target Award upon (i) the Grantee’s death during employment by the Company or an Affiliate or after a Qualifying Separation as described in Section 4(b) prior to the Vesting Date, or (ii) the Grantee’s Termination of Employment on account of Disability prior to the Vesting Date and prior to the date that the Grantee has met the age and service requirements for a Qualifying Separation, subject to Section 4(f) below.</w:t>
      </w:r>
    </w:p>
    <w:p>
      <w:pPr>
        <w:spacing w:after="0" w:line="213" w:lineRule="exact"/>
        <w:rPr>
          <w:sz w:val="20"/>
          <w:szCs w:val="20"/>
          <w:color w:val="auto"/>
        </w:rPr>
      </w:pPr>
    </w:p>
    <w:p>
      <w:pPr>
        <w:ind w:firstLine="1687"/>
        <w:spacing w:after="0" w:line="269" w:lineRule="auto"/>
        <w:rPr>
          <w:sz w:val="20"/>
          <w:szCs w:val="20"/>
          <w:color w:val="auto"/>
        </w:rPr>
      </w:pPr>
      <w:r>
        <w:rPr>
          <w:rFonts w:ascii="Arial" w:cs="Arial" w:eastAsia="Arial" w:hAnsi="Arial"/>
          <w:sz w:val="19"/>
          <w:szCs w:val="19"/>
          <w:color w:val="auto"/>
        </w:rPr>
        <w:t>(d) Position Elimination. If prior to the Vesting Date and prior to the date that the Grantee has met the age and service requirements for a Qualifying Separation, the Grantee incurs a Termination of Employment by the Company or an Affiliate on account of a Position Elimination, the Performance Share Unit Award shall vest with respect to a pro-rated portion of the Target Award, subject to Section 4(f) below. The pro-rated portion shall be determined by multiplying the Target Award by a fraction, the number of which is the number of months that elapsed during the period beginning on January 1, 2020 through the date of the Grantee’s Termination of Employment, and the denominator of which is</w:t>
      </w:r>
    </w:p>
    <w:p>
      <w:pPr>
        <w:spacing w:after="0" w:line="5" w:lineRule="exact"/>
        <w:rPr>
          <w:sz w:val="20"/>
          <w:szCs w:val="20"/>
          <w:color w:val="auto"/>
        </w:rPr>
      </w:pPr>
    </w:p>
    <w:p>
      <w:pPr>
        <w:ind w:right="80" w:firstLine="8"/>
        <w:spacing w:after="0" w:line="260" w:lineRule="auto"/>
        <w:tabs>
          <w:tab w:leader="none" w:pos="361" w:val="left"/>
        </w:tabs>
        <w:numPr>
          <w:ilvl w:val="0"/>
          <w:numId w:val="42"/>
        </w:numPr>
        <w:rPr>
          <w:rFonts w:ascii="Arial" w:cs="Arial" w:eastAsia="Arial" w:hAnsi="Arial"/>
          <w:sz w:val="20"/>
          <w:szCs w:val="20"/>
          <w:color w:val="auto"/>
        </w:rPr>
      </w:pPr>
      <w:r>
        <w:rPr>
          <w:rFonts w:ascii="Arial" w:cs="Arial" w:eastAsia="Arial" w:hAnsi="Arial"/>
          <w:sz w:val="20"/>
          <w:szCs w:val="20"/>
          <w:color w:val="auto"/>
        </w:rPr>
        <w:t>A partial month shall be counted as a full month for purposes of this calculation. Any Performance Share Units that do not become vested upon a Termination of Employment in accordance with this Section 4(d) shall be forfeited. For purposes of this Agreement, “</w:t>
      </w:r>
      <w:r>
        <w:rPr>
          <w:rFonts w:ascii="Arial" w:cs="Arial" w:eastAsia="Arial" w:hAnsi="Arial"/>
          <w:sz w:val="20"/>
          <w:szCs w:val="20"/>
          <w:u w:val="single" w:color="auto"/>
          <w:color w:val="auto"/>
        </w:rPr>
        <w:t>Position Elimination</w:t>
      </w:r>
      <w:r>
        <w:rPr>
          <w:rFonts w:ascii="Arial" w:cs="Arial" w:eastAsia="Arial" w:hAnsi="Arial"/>
          <w:sz w:val="20"/>
          <w:szCs w:val="20"/>
          <w:color w:val="auto"/>
        </w:rPr>
        <w:t>” means any permanent, involuntary termination of a Grantee’s active employment with the Company or an Affiliate as a result of a job elimination due to a reduction in force, outsourcing or elimination of position, as determined by the Committee in its sole and absolute discretion.</w:t>
      </w:r>
    </w:p>
    <w:p>
      <w:pPr>
        <w:spacing w:after="0" w:line="193" w:lineRule="exact"/>
        <w:rPr>
          <w:sz w:val="20"/>
          <w:szCs w:val="20"/>
          <w:color w:val="auto"/>
        </w:rPr>
      </w:pPr>
    </w:p>
    <w:p>
      <w:pPr>
        <w:ind w:right="100" w:firstLine="1687"/>
        <w:spacing w:after="0" w:line="259" w:lineRule="auto"/>
        <w:rPr>
          <w:sz w:val="20"/>
          <w:szCs w:val="20"/>
          <w:color w:val="auto"/>
        </w:rPr>
      </w:pPr>
      <w:r>
        <w:rPr>
          <w:rFonts w:ascii="Arial" w:cs="Arial" w:eastAsia="Arial" w:hAnsi="Arial"/>
          <w:sz w:val="20"/>
          <w:szCs w:val="20"/>
          <w:color w:val="auto"/>
        </w:rPr>
        <w:t xml:space="preserve">(e) </w:t>
      </w:r>
      <w:r>
        <w:rPr>
          <w:rFonts w:ascii="Arial" w:cs="Arial" w:eastAsia="Arial" w:hAnsi="Arial"/>
          <w:sz w:val="20"/>
          <w:szCs w:val="20"/>
          <w:u w:val="single" w:color="auto"/>
          <w:color w:val="auto"/>
        </w:rPr>
        <w:t>Change in Control</w:t>
      </w:r>
      <w:r>
        <w:rPr>
          <w:rFonts w:ascii="Arial" w:cs="Arial" w:eastAsia="Arial" w:hAnsi="Arial"/>
          <w:sz w:val="20"/>
          <w:szCs w:val="20"/>
          <w:color w:val="auto"/>
        </w:rPr>
        <w:t>. Notwithstanding the foregoing, in the event that a Change in Control occurs before the Vesting Date while the Grantee is employed by the Company or one of its Affiliates or while the Performance Shares Units are outstanding pursuant to Section 4(b), the outstanding Performance Share Units will become vested upon the consummation of the Change in Control in an amount equal to the greater of (i) the Target Award or (ii) the number of Performance Share Units that vest based on achievement of the Performance Goals, measured as if the end of the quarter immediately preceding the date of the Change in Control were the end of the Performance Period, as determined by the Committee as in effect before the Change in Control in its sole discretion. Any Performance Share Units that do not become vested upon a Change in Control in accordance with this Section 4(e) shall be forfeited.</w:t>
      </w:r>
    </w:p>
    <w:p>
      <w:pPr>
        <w:spacing w:after="0" w:line="199" w:lineRule="exact"/>
        <w:rPr>
          <w:sz w:val="20"/>
          <w:szCs w:val="20"/>
          <w:color w:val="auto"/>
        </w:rPr>
      </w:pPr>
    </w:p>
    <w:p>
      <w:pPr>
        <w:ind w:right="220" w:firstLine="1687"/>
        <w:spacing w:after="0"/>
        <w:rPr>
          <w:sz w:val="20"/>
          <w:szCs w:val="20"/>
          <w:color w:val="auto"/>
        </w:rPr>
      </w:pPr>
      <w:r>
        <w:rPr>
          <w:rFonts w:ascii="Arial" w:cs="Arial" w:eastAsia="Arial" w:hAnsi="Arial"/>
          <w:sz w:val="22"/>
          <w:szCs w:val="22"/>
          <w:color w:val="auto"/>
        </w:rPr>
        <w:t xml:space="preserve">(f) </w:t>
      </w:r>
      <w:r>
        <w:rPr>
          <w:rFonts w:ascii="Arial" w:cs="Arial" w:eastAsia="Arial" w:hAnsi="Arial"/>
          <w:sz w:val="22"/>
          <w:szCs w:val="22"/>
          <w:u w:val="single" w:color="auto"/>
          <w:color w:val="auto"/>
        </w:rPr>
        <w:t>Release of Claims</w:t>
      </w:r>
      <w:r>
        <w:rPr>
          <w:rFonts w:ascii="Arial" w:cs="Arial" w:eastAsia="Arial" w:hAnsi="Arial"/>
          <w:sz w:val="22"/>
          <w:szCs w:val="22"/>
          <w:color w:val="auto"/>
        </w:rPr>
        <w:t>. Any vesting under this Section 4 as a result of a Qualifying Separation or other Termination of Employment (other than death) shall be conditioned on the Grantee signing and not revoking a general release of claims provided by the Company.</w:t>
      </w:r>
    </w:p>
    <w:p>
      <w:pPr>
        <w:spacing w:after="0" w:line="212" w:lineRule="exact"/>
        <w:rPr>
          <w:sz w:val="20"/>
          <w:szCs w:val="20"/>
          <w:color w:val="auto"/>
        </w:rPr>
      </w:pPr>
    </w:p>
    <w:p>
      <w:pPr>
        <w:ind w:left="820" w:hanging="812"/>
        <w:spacing w:after="0"/>
        <w:tabs>
          <w:tab w:leader="none" w:pos="820" w:val="left"/>
        </w:tabs>
        <w:numPr>
          <w:ilvl w:val="0"/>
          <w:numId w:val="43"/>
        </w:numPr>
        <w:rPr>
          <w:rFonts w:ascii="Arial" w:cs="Arial" w:eastAsia="Arial" w:hAnsi="Arial"/>
          <w:sz w:val="22"/>
          <w:szCs w:val="22"/>
          <w:color w:val="auto"/>
        </w:rPr>
      </w:pPr>
      <w:r>
        <w:rPr>
          <w:rFonts w:ascii="Arial" w:cs="Arial" w:eastAsia="Arial" w:hAnsi="Arial"/>
          <w:sz w:val="22"/>
          <w:szCs w:val="22"/>
          <w:color w:val="auto"/>
        </w:rPr>
        <w:t>Settlement.</w:t>
      </w:r>
    </w:p>
    <w:p>
      <w:pPr>
        <w:spacing w:after="0" w:line="232" w:lineRule="exact"/>
        <w:rPr>
          <w:sz w:val="20"/>
          <w:szCs w:val="20"/>
          <w:color w:val="auto"/>
        </w:rPr>
      </w:pPr>
    </w:p>
    <w:p>
      <w:pPr>
        <w:ind w:right="40" w:firstLine="1687"/>
        <w:spacing w:after="0" w:line="250" w:lineRule="auto"/>
        <w:rPr>
          <w:sz w:val="20"/>
          <w:szCs w:val="20"/>
          <w:color w:val="auto"/>
        </w:rPr>
      </w:pPr>
      <w:r>
        <w:rPr>
          <w:rFonts w:ascii="Arial" w:cs="Arial" w:eastAsia="Arial" w:hAnsi="Arial"/>
          <w:sz w:val="22"/>
          <w:szCs w:val="22"/>
          <w:color w:val="auto"/>
        </w:rPr>
        <w:t>(a) Subject to the satisfaction of all tax obligations as provided in Section 9 below and except as otherwise provided in this Section 5, the vested Performance Share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329565</wp:posOffset>
            </wp:positionV>
            <wp:extent cx="714946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960"/>
          </w:cols>
          <w:pgMar w:left="320" w:top="347" w:right="619" w:bottom="1440" w:gutter="0" w:footer="0" w:header="0"/>
        </w:sectPr>
      </w:pPr>
    </w:p>
    <w:bookmarkStart w:id="92" w:name="page93"/>
    <w:bookmarkEnd w:id="92"/>
    <w:p>
      <w:pPr>
        <w:ind w:right="600"/>
        <w:spacing w:after="0" w:line="299" w:lineRule="auto"/>
        <w:rPr>
          <w:sz w:val="20"/>
          <w:szCs w:val="20"/>
          <w:color w:val="auto"/>
        </w:rPr>
      </w:pPr>
      <w:r>
        <w:rPr>
          <w:rFonts w:ascii="Arial" w:cs="Arial" w:eastAsia="Arial" w:hAnsi="Arial"/>
          <w:sz w:val="20"/>
          <w:szCs w:val="20"/>
          <w:color w:val="auto"/>
        </w:rPr>
        <w:t>shall be settled within 90 days following the Vesting Date (the “</w:t>
      </w:r>
      <w:r>
        <w:rPr>
          <w:rFonts w:ascii="Arial" w:cs="Arial" w:eastAsia="Arial" w:hAnsi="Arial"/>
          <w:sz w:val="20"/>
          <w:szCs w:val="20"/>
          <w:u w:val="single" w:color="auto"/>
          <w:color w:val="auto"/>
        </w:rPr>
        <w:t>Settlement Date</w:t>
      </w:r>
      <w:r>
        <w:rPr>
          <w:rFonts w:ascii="Arial" w:cs="Arial" w:eastAsia="Arial" w:hAnsi="Arial"/>
          <w:sz w:val="20"/>
          <w:szCs w:val="20"/>
          <w:color w:val="auto"/>
        </w:rPr>
        <w:t>”). Upon settlement, the Company shall deliver to the Grantee one share of Common Stock for each vested Performance Share Unit.</w:t>
      </w:r>
    </w:p>
    <w:p>
      <w:pPr>
        <w:sectPr>
          <w:pgSz w:w="11900" w:h="16838" w:orient="portrait"/>
          <w:cols w:equalWidth="0" w:num="1">
            <w:col w:w="10940"/>
          </w:cols>
          <w:pgMar w:left="320" w:top="347" w:right="639" w:bottom="1440" w:gutter="0" w:footer="0" w:header="0"/>
        </w:sectPr>
      </w:pPr>
    </w:p>
    <w:p>
      <w:pPr>
        <w:spacing w:after="0" w:line="155" w:lineRule="exact"/>
        <w:rPr>
          <w:sz w:val="20"/>
          <w:szCs w:val="20"/>
          <w:color w:val="auto"/>
        </w:rPr>
      </w:pPr>
    </w:p>
    <w:p>
      <w:pPr>
        <w:ind w:left="1700"/>
        <w:spacing w:after="0"/>
        <w:rPr>
          <w:sz w:val="20"/>
          <w:szCs w:val="20"/>
          <w:color w:val="auto"/>
        </w:rPr>
      </w:pPr>
      <w:r>
        <w:rPr>
          <w:rFonts w:ascii="Arial" w:cs="Arial" w:eastAsia="Arial" w:hAnsi="Arial"/>
          <w:sz w:val="22"/>
          <w:szCs w:val="22"/>
          <w:color w:val="auto"/>
        </w:rPr>
        <w:t>(b)</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Date in the following circumstances:</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rPr>
          <w:sz w:val="20"/>
          <w:szCs w:val="20"/>
          <w:color w:val="auto"/>
        </w:rPr>
      </w:pPr>
      <w:r>
        <w:rPr>
          <w:rFonts w:ascii="Arial" w:cs="Arial" w:eastAsia="Arial" w:hAnsi="Arial"/>
          <w:sz w:val="19"/>
          <w:szCs w:val="19"/>
          <w:color w:val="auto"/>
        </w:rPr>
        <w:t>The vested Performance Share Units shall be settled earlier than the Settlement</w:t>
      </w:r>
    </w:p>
    <w:p>
      <w:pPr>
        <w:spacing w:after="0" w:line="460" w:lineRule="exact"/>
        <w:rPr>
          <w:sz w:val="20"/>
          <w:szCs w:val="20"/>
          <w:color w:val="auto"/>
        </w:rPr>
      </w:pPr>
    </w:p>
    <w:p>
      <w:pPr>
        <w:sectPr>
          <w:pgSz w:w="11900" w:h="16838" w:orient="portrait"/>
          <w:cols w:equalWidth="0" w:num="2">
            <w:col w:w="3180" w:space="700"/>
            <w:col w:w="7060"/>
          </w:cols>
          <w:pgMar w:left="320" w:top="347" w:right="639" w:bottom="1440" w:gutter="0" w:footer="0" w:header="0"/>
          <w:type w:val="continuous"/>
        </w:sectPr>
      </w:pPr>
    </w:p>
    <w:p>
      <w:pPr>
        <w:spacing w:after="0" w:line="49" w:lineRule="exact"/>
        <w:rPr>
          <w:sz w:val="20"/>
          <w:szCs w:val="20"/>
          <w:color w:val="auto"/>
        </w:rPr>
      </w:pPr>
    </w:p>
    <w:p>
      <w:pPr>
        <w:ind w:left="2540"/>
        <w:spacing w:after="0"/>
        <w:tabs>
          <w:tab w:leader="none" w:pos="4660" w:val="left"/>
        </w:tabs>
        <w:rPr>
          <w:sz w:val="20"/>
          <w:szCs w:val="20"/>
          <w:color w:val="auto"/>
        </w:rPr>
      </w:pPr>
      <w:r>
        <w:rPr>
          <w:rFonts w:ascii="Arial" w:cs="Arial" w:eastAsia="Arial" w:hAnsi="Arial"/>
          <w:sz w:val="19"/>
          <w:szCs w:val="19"/>
          <w:color w:val="auto"/>
        </w:rPr>
        <w:t>(i)</w:t>
      </w:r>
      <w:r>
        <w:rPr>
          <w:sz w:val="20"/>
          <w:szCs w:val="20"/>
          <w:color w:val="auto"/>
        </w:rPr>
        <w:tab/>
      </w:r>
      <w:r>
        <w:rPr>
          <w:rFonts w:ascii="Arial" w:cs="Arial" w:eastAsia="Arial" w:hAnsi="Arial"/>
          <w:sz w:val="19"/>
          <w:szCs w:val="19"/>
          <w:color w:val="auto"/>
        </w:rPr>
        <w:t>If the Performance Share Units vest upon death in accordance with</w:t>
      </w:r>
    </w:p>
    <w:p>
      <w:pPr>
        <w:sectPr>
          <w:pgSz w:w="11900" w:h="16838" w:orient="portrait"/>
          <w:cols w:equalWidth="0" w:num="1">
            <w:col w:w="10940"/>
          </w:cols>
          <w:pgMar w:left="320" w:top="347" w:right="639" w:bottom="1440" w:gutter="0" w:footer="0" w:header="0"/>
          <w:type w:val="continuous"/>
        </w:sectPr>
      </w:pPr>
    </w:p>
    <w:p>
      <w:pPr>
        <w:spacing w:after="0" w:line="56" w:lineRule="exact"/>
        <w:rPr>
          <w:sz w:val="20"/>
          <w:szCs w:val="20"/>
          <w:color w:val="auto"/>
        </w:rPr>
      </w:pPr>
    </w:p>
    <w:p>
      <w:pPr>
        <w:spacing w:after="0"/>
        <w:rPr>
          <w:sz w:val="20"/>
          <w:szCs w:val="20"/>
          <w:color w:val="auto"/>
        </w:rPr>
      </w:pPr>
      <w:r>
        <w:rPr>
          <w:rFonts w:ascii="Arial" w:cs="Arial" w:eastAsia="Arial" w:hAnsi="Arial"/>
          <w:sz w:val="20"/>
          <w:szCs w:val="20"/>
          <w:color w:val="auto"/>
        </w:rPr>
        <w:t>Section 4(c), the vested Performance Share Units will be settled within 30 days following the date of the Grantee’s death.</w:t>
      </w:r>
    </w:p>
    <w:p>
      <w:pPr>
        <w:spacing w:after="0" w:line="224" w:lineRule="exact"/>
        <w:rPr>
          <w:sz w:val="20"/>
          <w:szCs w:val="20"/>
          <w:color w:val="auto"/>
        </w:rPr>
      </w:pPr>
    </w:p>
    <w:p>
      <w:pPr>
        <w:ind w:right="60" w:firstLine="2532"/>
        <w:spacing w:after="0" w:line="237" w:lineRule="auto"/>
        <w:rPr>
          <w:sz w:val="20"/>
          <w:szCs w:val="20"/>
          <w:color w:val="auto"/>
        </w:rPr>
      </w:pPr>
      <w:r>
        <w:rPr>
          <w:rFonts w:ascii="Arial" w:cs="Arial" w:eastAsia="Arial" w:hAnsi="Arial"/>
          <w:sz w:val="22"/>
          <w:szCs w:val="22"/>
          <w:color w:val="auto"/>
        </w:rPr>
        <w:t>(ii) If the Performance Share Units vest upon Termination of Employment on account of Disability in accordance with Section 4(c) or upon Termination of Employment by the Company or an Affiliate on account of a Position Elimination in accordance with Section 4(d), the vested Performance Share Units will be settled within 30 days following the date of the Grantee’s Termination of Employment.</w:t>
      </w:r>
    </w:p>
    <w:p>
      <w:pPr>
        <w:spacing w:after="0" w:line="214" w:lineRule="exact"/>
        <w:rPr>
          <w:sz w:val="20"/>
          <w:szCs w:val="20"/>
          <w:color w:val="auto"/>
        </w:rPr>
      </w:pPr>
    </w:p>
    <w:p>
      <w:pPr>
        <w:ind w:right="100" w:firstLine="2532"/>
        <w:spacing w:after="0" w:line="258" w:lineRule="auto"/>
        <w:rPr>
          <w:sz w:val="20"/>
          <w:szCs w:val="20"/>
          <w:color w:val="auto"/>
        </w:rPr>
      </w:pPr>
      <w:r>
        <w:rPr>
          <w:rFonts w:ascii="Arial" w:cs="Arial" w:eastAsia="Arial" w:hAnsi="Arial"/>
          <w:sz w:val="20"/>
          <w:szCs w:val="20"/>
          <w:color w:val="auto"/>
        </w:rPr>
        <w:t>(iii) If the Performance Share Units constitute a “nonqualified deferred compensation arrangement” subject to Section 409A of the Code and the Performance Share Units vest in accordance with Section 4(e), the vested Performance Share Units shall be settled upon or within 60 days following the date of the Change in Control, provided that the Change in Control constitutes a “change in control event” within the meaning of Section 409A of the Code (a “</w:t>
      </w:r>
      <w:r>
        <w:rPr>
          <w:rFonts w:ascii="Arial" w:cs="Arial" w:eastAsia="Arial" w:hAnsi="Arial"/>
          <w:sz w:val="20"/>
          <w:szCs w:val="20"/>
          <w:u w:val="single" w:color="auto"/>
          <w:color w:val="auto"/>
        </w:rPr>
        <w:t>409A CIC</w:t>
      </w:r>
      <w:r>
        <w:rPr>
          <w:rFonts w:ascii="Arial" w:cs="Arial" w:eastAsia="Arial" w:hAnsi="Arial"/>
          <w:sz w:val="20"/>
          <w:szCs w:val="20"/>
          <w:color w:val="auto"/>
        </w:rPr>
        <w:t>”). If the Performance Share Units constitute a “nonqualified deferred compensation arrangement” subject to Section 409A of the Code and the Performance Share Units vest in accordance with Section 4(e), if the Change in Control does not constitute a 409A CIC, the vested Performance Share Units shall be settled upon the first to occur of (A) the Settlement Date, in accordance with Section 5(a), (B) within 30 days following the Grantee’s death, in accordance with Section 5(b)(i) or (C) within 30 days following the Grantee’s Termination of Employment on account of Disability or a Position Elimination, in accordance with Section 5(b)(ii).</w:t>
      </w:r>
    </w:p>
    <w:p>
      <w:pPr>
        <w:spacing w:after="0" w:line="198" w:lineRule="exact"/>
        <w:rPr>
          <w:sz w:val="20"/>
          <w:szCs w:val="20"/>
          <w:color w:val="auto"/>
        </w:rPr>
      </w:pPr>
    </w:p>
    <w:p>
      <w:pPr>
        <w:ind w:firstLine="8"/>
        <w:spacing w:after="0" w:line="258" w:lineRule="auto"/>
        <w:tabs>
          <w:tab w:leader="none" w:pos="809" w:val="left"/>
        </w:tabs>
        <w:numPr>
          <w:ilvl w:val="0"/>
          <w:numId w:val="44"/>
        </w:numPr>
        <w:rPr>
          <w:rFonts w:ascii="Arial" w:cs="Arial" w:eastAsia="Arial" w:hAnsi="Arial"/>
          <w:sz w:val="20"/>
          <w:szCs w:val="20"/>
          <w:color w:val="auto"/>
        </w:rPr>
      </w:pPr>
      <w:r>
        <w:rPr>
          <w:rFonts w:ascii="Arial" w:cs="Arial" w:eastAsia="Arial" w:hAnsi="Arial"/>
          <w:sz w:val="20"/>
          <w:szCs w:val="20"/>
          <w:color w:val="auto"/>
        </w:rPr>
        <w:t>Dividend Equivalents. In connection with the Performance Share Unit Award, any cash dividends paid on the shares of Common Stock underlying the Performance Share Units shall be converted to additional Performance Share Units on the dividend payment date, based on the Fair Market Value of a share of Common Stock on such date (“</w:t>
      </w:r>
      <w:r>
        <w:rPr>
          <w:rFonts w:ascii="Arial" w:cs="Arial" w:eastAsia="Arial" w:hAnsi="Arial"/>
          <w:sz w:val="20"/>
          <w:szCs w:val="20"/>
          <w:u w:val="single" w:color="auto"/>
          <w:color w:val="auto"/>
        </w:rPr>
        <w:t>Dividend</w:t>
      </w:r>
      <w:r>
        <w:rPr>
          <w:rFonts w:ascii="Arial" w:cs="Arial" w:eastAsia="Arial" w:hAnsi="Arial"/>
          <w:sz w:val="20"/>
          <w:szCs w:val="20"/>
          <w:color w:val="auto"/>
        </w:rPr>
        <w:t xml:space="preserve"> </w:t>
      </w:r>
      <w:r>
        <w:rPr>
          <w:rFonts w:ascii="Arial" w:cs="Arial" w:eastAsia="Arial" w:hAnsi="Arial"/>
          <w:sz w:val="20"/>
          <w:szCs w:val="20"/>
          <w:u w:val="single" w:color="auto"/>
          <w:color w:val="auto"/>
        </w:rPr>
        <w:t>Equivalents</w:t>
      </w:r>
      <w:r>
        <w:rPr>
          <w:rFonts w:ascii="Arial" w:cs="Arial" w:eastAsia="Arial" w:hAnsi="Arial"/>
          <w:sz w:val="20"/>
          <w:szCs w:val="20"/>
          <w:color w:val="auto"/>
        </w:rPr>
        <w:t>”). Dividend Equivalents shall accrue with respect to Performance Share Units and shall be payable subject to the same Performance Goals, vesting terms and other conditions as the Performance Share Units to which they relate. Dividend Equivalents shall be credited on the Performance Share Units when dividends are paid on shares of Common Stock from the Date of Grant until the settlement date for the vested Performance Share Units. If and to the extent that the underlying Performance Share Units are forfeited, all related Dividend Equivalents shall also be forfeited. Notwithstanding the foregoing, dividends and distributions other than regular cash dividends, if any, may result in an adjustment pursuant to Section 8, rather than under this Section 6.</w:t>
      </w:r>
    </w:p>
    <w:p>
      <w:pPr>
        <w:spacing w:after="0" w:line="197" w:lineRule="exact"/>
        <w:rPr>
          <w:rFonts w:ascii="Arial" w:cs="Arial" w:eastAsia="Arial" w:hAnsi="Arial"/>
          <w:sz w:val="20"/>
          <w:szCs w:val="20"/>
          <w:color w:val="auto"/>
        </w:rPr>
      </w:pPr>
    </w:p>
    <w:p>
      <w:pPr>
        <w:ind w:left="820" w:hanging="812"/>
        <w:spacing w:after="0"/>
        <w:tabs>
          <w:tab w:leader="none" w:pos="820" w:val="left"/>
        </w:tabs>
        <w:numPr>
          <w:ilvl w:val="0"/>
          <w:numId w:val="44"/>
        </w:numPr>
        <w:rPr>
          <w:rFonts w:ascii="Arial" w:cs="Arial" w:eastAsia="Arial" w:hAnsi="Arial"/>
          <w:sz w:val="22"/>
          <w:szCs w:val="22"/>
          <w:color w:val="auto"/>
        </w:rPr>
      </w:pPr>
      <w:r>
        <w:rPr>
          <w:rFonts w:ascii="Arial" w:cs="Arial" w:eastAsia="Arial" w:hAnsi="Arial"/>
          <w:sz w:val="22"/>
          <w:szCs w:val="22"/>
          <w:color w:val="auto"/>
        </w:rPr>
        <w:t>Rights as a Stockholder. The Grantee acknowledges and agrees that, with respect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349885</wp:posOffset>
            </wp:positionV>
            <wp:extent cx="714946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940"/>
          </w:cols>
          <w:pgMar w:left="320" w:top="347" w:right="639" w:bottom="1440" w:gutter="0" w:footer="0" w:header="0"/>
          <w:type w:val="continuous"/>
        </w:sectPr>
      </w:pPr>
    </w:p>
    <w:bookmarkStart w:id="93" w:name="page94"/>
    <w:bookmarkEnd w:id="93"/>
    <w:p>
      <w:pPr>
        <w:ind w:right="20"/>
        <w:spacing w:after="0" w:line="260" w:lineRule="auto"/>
        <w:rPr>
          <w:sz w:val="20"/>
          <w:szCs w:val="20"/>
          <w:color w:val="auto"/>
        </w:rPr>
      </w:pPr>
      <w:r>
        <w:rPr>
          <w:rFonts w:ascii="Arial" w:cs="Arial" w:eastAsia="Arial" w:hAnsi="Arial"/>
          <w:sz w:val="20"/>
          <w:szCs w:val="20"/>
          <w:color w:val="auto"/>
        </w:rPr>
        <w:t>Performance Share Units, he or she has no voting rights with respect to the Company unless and until such Performance Share Units are settled in Common Stock pursuant to Section 5 above. Upon and following the settlement of a Performance Share Unit, the Grantee shall be the record owner of the Common Stock issued to him or her unless and until such shares are sold or otherwise disposed of, and as record owner shall be entitled to all rights of a stockholder of the Company holding such Common Stock, including, without limitation, voting rights, if any, with respect to such Common Stock. Prior to the date the Performance Share Units are settled in accordance with this Agreement, the Grantee shall not be deemed for any purpose to be the owner of any Common Stock denominated by the Performance Share Unit Award.</w:t>
      </w:r>
    </w:p>
    <w:p>
      <w:pPr>
        <w:spacing w:after="0" w:line="198" w:lineRule="exact"/>
        <w:rPr>
          <w:sz w:val="20"/>
          <w:szCs w:val="20"/>
          <w:color w:val="auto"/>
        </w:rPr>
      </w:pPr>
    </w:p>
    <w:p>
      <w:pPr>
        <w:ind w:right="220" w:firstLine="8"/>
        <w:spacing w:after="0" w:line="299" w:lineRule="auto"/>
        <w:tabs>
          <w:tab w:leader="none" w:pos="809" w:val="left"/>
        </w:tabs>
        <w:numPr>
          <w:ilvl w:val="0"/>
          <w:numId w:val="45"/>
        </w:numPr>
        <w:rPr>
          <w:rFonts w:ascii="Arial" w:cs="Arial" w:eastAsia="Arial" w:hAnsi="Arial"/>
          <w:sz w:val="20"/>
          <w:szCs w:val="20"/>
          <w:color w:val="auto"/>
        </w:rPr>
      </w:pPr>
      <w:r>
        <w:rPr>
          <w:rFonts w:ascii="Arial" w:cs="Arial" w:eastAsia="Arial" w:hAnsi="Arial"/>
          <w:sz w:val="20"/>
          <w:szCs w:val="20"/>
          <w:color w:val="auto"/>
        </w:rPr>
        <w:t>Capital Adjustments. The number of Performance Share Units is subject to adjustment, in accordance with Section 4.2 of the Plan, on an equitable and proportionate basis in the manner deemed appropriate by the Committee.</w:t>
      </w:r>
    </w:p>
    <w:p>
      <w:pPr>
        <w:spacing w:after="0" w:line="155" w:lineRule="exact"/>
        <w:rPr>
          <w:rFonts w:ascii="Arial" w:cs="Arial" w:eastAsia="Arial" w:hAnsi="Arial"/>
          <w:sz w:val="20"/>
          <w:szCs w:val="20"/>
          <w:color w:val="auto"/>
        </w:rPr>
      </w:pPr>
    </w:p>
    <w:p>
      <w:pPr>
        <w:ind w:right="40" w:firstLine="8"/>
        <w:spacing w:after="0" w:line="272" w:lineRule="auto"/>
        <w:tabs>
          <w:tab w:leader="none" w:pos="809" w:val="left"/>
        </w:tabs>
        <w:numPr>
          <w:ilvl w:val="0"/>
          <w:numId w:val="45"/>
        </w:numPr>
        <w:rPr>
          <w:rFonts w:ascii="Arial" w:cs="Arial" w:eastAsia="Arial" w:hAnsi="Arial"/>
          <w:sz w:val="19"/>
          <w:szCs w:val="19"/>
          <w:color w:val="auto"/>
        </w:rPr>
      </w:pPr>
      <w:r>
        <w:rPr>
          <w:rFonts w:ascii="Arial" w:cs="Arial" w:eastAsia="Arial" w:hAnsi="Arial"/>
          <w:sz w:val="19"/>
          <w:szCs w:val="19"/>
          <w:color w:val="auto"/>
        </w:rPr>
        <w:t>Taxes. The Grantee expressly acknowledges that: (a) the Grantee’s Performance Share Units will constitute wages under the Federal Insurance Contributions Act (FICA) and Federal Unemployment Tax Act (FUTA) that are subject to tax withholding by the Company or its Affiliate upon becoming vested and (b) the Common Stock delivered to a Grantee upon the settlement of his or her Performance Share Units will constitute wages for purposes of federal and all other employment taxes, subject to tax withholding by the Company or its Affiliate. The Company’s obligation to issue or deliver shares of Common Stock with respect to the settlement of Performance Share Units shall be subject to the satisfaction of any applicable federal, state, local or foreign tax withholding requirements (including the Grantee’s FICA and FUTA obligation). To the extent permitted by law, the Company and its Affiliates shall have the right to deduct any such taxes from any payment otherwise due to the Grantee (or his or her beneficiary). The Committee may establish such procedures as it deems appropriate, including making irrevocable elections, for the settlement of withholding obligations with Common Stock having a Fair Market Value on the date of withholding equal to the minimum amount (and not any greater amount) required to be withheld for tax purposes.</w:t>
      </w:r>
    </w:p>
    <w:p>
      <w:pPr>
        <w:spacing w:after="0" w:line="188" w:lineRule="exact"/>
        <w:rPr>
          <w:rFonts w:ascii="Arial" w:cs="Arial" w:eastAsia="Arial" w:hAnsi="Arial"/>
          <w:sz w:val="19"/>
          <w:szCs w:val="19"/>
          <w:color w:val="auto"/>
        </w:rPr>
      </w:pPr>
    </w:p>
    <w:p>
      <w:pPr>
        <w:jc w:val="both"/>
        <w:ind w:right="180" w:firstLine="8"/>
        <w:spacing w:after="0" w:line="273" w:lineRule="auto"/>
        <w:tabs>
          <w:tab w:leader="none" w:pos="917" w:val="left"/>
        </w:tabs>
        <w:numPr>
          <w:ilvl w:val="0"/>
          <w:numId w:val="45"/>
        </w:numPr>
        <w:rPr>
          <w:rFonts w:ascii="Arial" w:cs="Arial" w:eastAsia="Arial" w:hAnsi="Arial"/>
          <w:sz w:val="19"/>
          <w:szCs w:val="19"/>
          <w:color w:val="auto"/>
        </w:rPr>
      </w:pPr>
      <w:r>
        <w:rPr>
          <w:rFonts w:ascii="Arial" w:cs="Arial" w:eastAsia="Arial" w:hAnsi="Arial"/>
          <w:sz w:val="19"/>
          <w:szCs w:val="19"/>
          <w:color w:val="auto"/>
        </w:rPr>
        <w:t>Restriction on Issuance of Common Stock. Notwithstanding any other provision of this Agreement, the Grantee agrees, for himself or herself and his or her successors, that Common Stock will not be issued at any time that the Company does not have in effect a registration statement under the Securities Act of 1933, as amended, relating to the offer of Common</w:t>
      </w:r>
    </w:p>
    <w:p>
      <w:pPr>
        <w:spacing w:after="0" w:line="1" w:lineRule="exact"/>
        <w:rPr>
          <w:sz w:val="20"/>
          <w:szCs w:val="20"/>
          <w:color w:val="auto"/>
        </w:rPr>
      </w:pPr>
    </w:p>
    <w:p>
      <w:pPr>
        <w:spacing w:after="0" w:line="256" w:lineRule="auto"/>
        <w:rPr>
          <w:sz w:val="20"/>
          <w:szCs w:val="20"/>
          <w:color w:val="auto"/>
        </w:rPr>
      </w:pPr>
      <w:r>
        <w:rPr>
          <w:rFonts w:ascii="Arial" w:cs="Arial" w:eastAsia="Arial" w:hAnsi="Arial"/>
          <w:sz w:val="20"/>
          <w:szCs w:val="20"/>
          <w:color w:val="auto"/>
        </w:rPr>
        <w:t>Stock to the Grantee under the Plan, unless the Company agrees to permit such issuance. The Grantee further agrees, for himself or herself and his or her successors, that, upon the issuance of any Common Stock, he or she will, upon the request of the Company, agree in writing that he or she is acquiring such shares for investment only and not with a view to resale, and that he or she will not sell, pledge or otherwise dispose of such shares so issued unless and until (a) the Company is furnished with an opinion of counsel to the effect that registration of such shares pursuant to the Securities Act of 1933, as amended, is not required by that Act and the rules and regulations thereunder; (b) the staff of the Securities and Exchange Commission has issued a “no-action” letter with respect to such disposition; or (c) such registration or notification as is, in the opinion of counsel for the Company, required for the lawful disposition of such shares has been filed by the Company and has become effective; provided, however, that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329565</wp:posOffset>
            </wp:positionV>
            <wp:extent cx="714946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940"/>
          </w:cols>
          <w:pgMar w:left="320" w:top="347" w:right="639" w:bottom="1440" w:gutter="0" w:footer="0" w:header="0"/>
        </w:sectPr>
      </w:pPr>
    </w:p>
    <w:bookmarkStart w:id="94" w:name="page95"/>
    <w:bookmarkEnd w:id="94"/>
    <w:p>
      <w:pPr>
        <w:spacing w:after="0" w:line="250" w:lineRule="auto"/>
        <w:rPr>
          <w:sz w:val="20"/>
          <w:szCs w:val="20"/>
          <w:color w:val="auto"/>
        </w:rPr>
      </w:pPr>
      <w:r>
        <w:rPr>
          <w:rFonts w:ascii="Arial" w:cs="Arial" w:eastAsia="Arial" w:hAnsi="Arial"/>
          <w:sz w:val="22"/>
          <w:szCs w:val="22"/>
          <w:color w:val="auto"/>
        </w:rPr>
        <w:t>Company is not obligated hereby to file any such registration or notification. The Grantee further agrees that the Company may place a legend embodying such restriction on the certificates evidencing such shares.</w:t>
      </w:r>
    </w:p>
    <w:p>
      <w:pPr>
        <w:spacing w:after="0" w:line="201" w:lineRule="exact"/>
        <w:rPr>
          <w:sz w:val="20"/>
          <w:szCs w:val="20"/>
          <w:color w:val="auto"/>
        </w:rPr>
      </w:pPr>
    </w:p>
    <w:p>
      <w:pPr>
        <w:ind w:right="40" w:firstLine="8"/>
        <w:spacing w:after="0" w:line="257" w:lineRule="auto"/>
        <w:tabs>
          <w:tab w:leader="none" w:pos="906" w:val="left"/>
        </w:tabs>
        <w:numPr>
          <w:ilvl w:val="0"/>
          <w:numId w:val="46"/>
        </w:numPr>
        <w:rPr>
          <w:rFonts w:ascii="Arial" w:cs="Arial" w:eastAsia="Arial" w:hAnsi="Arial"/>
          <w:sz w:val="20"/>
          <w:szCs w:val="20"/>
          <w:color w:val="auto"/>
        </w:rPr>
      </w:pPr>
      <w:r>
        <w:rPr>
          <w:rFonts w:ascii="Arial" w:cs="Arial" w:eastAsia="Arial" w:hAnsi="Arial"/>
          <w:sz w:val="20"/>
          <w:szCs w:val="20"/>
          <w:color w:val="auto"/>
        </w:rPr>
        <w:t>Non-Solicitation. In consideration for the Grantee’s employment with the Company or with any of its affiliates and/or subsidiaries, the award of these Performance Share Units to the Grantee, and other good and valuable consideration (the sufficiency of which is acknowledged), the Grantee agrees that for a period of six months immediately following termination of the Grantee’s employment for any reason, the Grantee will not directly or indirectly (a) solicit an employee to leave the employ of the Company or any of its affiliates and/or subsidiaries; or (b) directly or indirectly solicit business from any clients, customers or prospective customers of the Company or any of its affiliates and/or subsidiaries whose identity became known to the Grantee during his or her employment with the Company or any of its affiliates and/or subsidiaries. This six-month limitation is not intended to impair the rights of the Company and/or any of its affiliates or subsidiaries to prevent misappropriation of its confidential information beyond the six-month period. The Committee shall have discretion to determine that all Performance Share Units, whether or not vested, shall be forfeited in the event of the Grantee’s breach of this Section 11.</w:t>
      </w:r>
    </w:p>
    <w:p>
      <w:pPr>
        <w:spacing w:after="0" w:line="203" w:lineRule="exact"/>
        <w:rPr>
          <w:rFonts w:ascii="Arial" w:cs="Arial" w:eastAsia="Arial" w:hAnsi="Arial"/>
          <w:sz w:val="20"/>
          <w:szCs w:val="20"/>
          <w:color w:val="auto"/>
        </w:rPr>
      </w:pPr>
    </w:p>
    <w:p>
      <w:pPr>
        <w:ind w:right="40" w:firstLine="8"/>
        <w:spacing w:after="0" w:line="237" w:lineRule="auto"/>
        <w:tabs>
          <w:tab w:leader="none" w:pos="917" w:val="left"/>
        </w:tabs>
        <w:numPr>
          <w:ilvl w:val="0"/>
          <w:numId w:val="46"/>
        </w:numPr>
        <w:rPr>
          <w:rFonts w:ascii="Arial" w:cs="Arial" w:eastAsia="Arial" w:hAnsi="Arial"/>
          <w:sz w:val="22"/>
          <w:szCs w:val="22"/>
          <w:color w:val="auto"/>
        </w:rPr>
      </w:pPr>
      <w:r>
        <w:rPr>
          <w:rFonts w:ascii="Arial" w:cs="Arial" w:eastAsia="Arial" w:hAnsi="Arial"/>
          <w:sz w:val="22"/>
          <w:szCs w:val="22"/>
          <w:color w:val="auto"/>
        </w:rPr>
        <w:t>Employment. Neither the Performance Share Unit Award evidenced by this Agreement nor any term or provision of this Agreement shall constitute or be evidence of any understanding, express or implied, on the part of the Company or any of its Affiliates to employ the Grantee for any period. Whenever reference is made in this Agreement to the employment of the Grantee, it means employment by the Company or an Affiliate.</w:t>
      </w:r>
    </w:p>
    <w:p>
      <w:pPr>
        <w:spacing w:after="0" w:line="214" w:lineRule="exact"/>
        <w:rPr>
          <w:rFonts w:ascii="Arial" w:cs="Arial" w:eastAsia="Arial" w:hAnsi="Arial"/>
          <w:sz w:val="22"/>
          <w:szCs w:val="22"/>
          <w:color w:val="auto"/>
        </w:rPr>
      </w:pPr>
    </w:p>
    <w:p>
      <w:pPr>
        <w:ind w:firstLine="8"/>
        <w:spacing w:after="0" w:line="237" w:lineRule="auto"/>
        <w:tabs>
          <w:tab w:leader="none" w:pos="917" w:val="left"/>
        </w:tabs>
        <w:numPr>
          <w:ilvl w:val="0"/>
          <w:numId w:val="46"/>
        </w:numPr>
        <w:rPr>
          <w:rFonts w:ascii="Arial" w:cs="Arial" w:eastAsia="Arial" w:hAnsi="Arial"/>
          <w:sz w:val="22"/>
          <w:szCs w:val="22"/>
          <w:color w:val="auto"/>
        </w:rPr>
      </w:pPr>
      <w:r>
        <w:rPr>
          <w:rFonts w:ascii="Arial" w:cs="Arial" w:eastAsia="Arial" w:hAnsi="Arial"/>
          <w:sz w:val="22"/>
          <w:szCs w:val="22"/>
          <w:color w:val="auto"/>
        </w:rPr>
        <w:t>Beneficiary. The Committee may permit the Grantee to file with the Company a written designation of a beneficiary on such form as may be prescribed by the Committee and may, from time to time, amend or revoke such designation. In the absence of any such designation or if all designated beneficiaries predecease the Grantee, the Grantee’s estate shall be deemed to be the Grantee’s beneficiary.</w:t>
      </w:r>
    </w:p>
    <w:p>
      <w:pPr>
        <w:spacing w:after="0" w:line="214" w:lineRule="exact"/>
        <w:rPr>
          <w:rFonts w:ascii="Arial" w:cs="Arial" w:eastAsia="Arial" w:hAnsi="Arial"/>
          <w:sz w:val="22"/>
          <w:szCs w:val="22"/>
          <w:color w:val="auto"/>
        </w:rPr>
      </w:pPr>
    </w:p>
    <w:p>
      <w:pPr>
        <w:ind w:right="40" w:firstLine="8"/>
        <w:spacing w:after="0" w:line="234" w:lineRule="auto"/>
        <w:tabs>
          <w:tab w:leader="none" w:pos="917" w:val="left"/>
        </w:tabs>
        <w:numPr>
          <w:ilvl w:val="0"/>
          <w:numId w:val="46"/>
        </w:numPr>
        <w:rPr>
          <w:rFonts w:ascii="Arial" w:cs="Arial" w:eastAsia="Arial" w:hAnsi="Arial"/>
          <w:sz w:val="22"/>
          <w:szCs w:val="22"/>
          <w:color w:val="auto"/>
        </w:rPr>
      </w:pPr>
      <w:r>
        <w:rPr>
          <w:rFonts w:ascii="Arial" w:cs="Arial" w:eastAsia="Arial" w:hAnsi="Arial"/>
          <w:sz w:val="22"/>
          <w:szCs w:val="22"/>
          <w:color w:val="auto"/>
        </w:rPr>
        <w:t>Subject to the Plan. The Performance Share Unit Award evidenced by this Agreement is subject to the terms and conditions of the Plan, which are incorporated herein by reference and made a part hereof, but the terms of the Plan shall not be considered an enlargement of any benefits under this Agreement. In addition, the Performance Share Unit Award is subject to any rules and regulations promulgated by the Committee. The Grantee’s receipt of the Performance Share Unit Award constitutes the Grantee’s acknowledgment that all decisions and determinations of the Committee with respect to the Plan and this Agreement shall be final and binding on the Grantee and any other person claiming an interest in the Performance Share Unit Award.</w:t>
      </w:r>
    </w:p>
    <w:p>
      <w:pPr>
        <w:spacing w:after="0" w:line="215" w:lineRule="exact"/>
        <w:rPr>
          <w:rFonts w:ascii="Arial" w:cs="Arial" w:eastAsia="Arial" w:hAnsi="Arial"/>
          <w:sz w:val="22"/>
          <w:szCs w:val="22"/>
          <w:color w:val="auto"/>
        </w:rPr>
      </w:pPr>
    </w:p>
    <w:p>
      <w:pPr>
        <w:ind w:right="80" w:firstLine="8"/>
        <w:spacing w:after="0" w:line="268" w:lineRule="auto"/>
        <w:tabs>
          <w:tab w:leader="none" w:pos="917" w:val="left"/>
        </w:tabs>
        <w:numPr>
          <w:ilvl w:val="0"/>
          <w:numId w:val="46"/>
        </w:numPr>
        <w:rPr>
          <w:rFonts w:ascii="Arial" w:cs="Arial" w:eastAsia="Arial" w:hAnsi="Arial"/>
          <w:sz w:val="20"/>
          <w:szCs w:val="20"/>
          <w:color w:val="auto"/>
        </w:rPr>
      </w:pPr>
      <w:r>
        <w:rPr>
          <w:rFonts w:ascii="Arial" w:cs="Arial" w:eastAsia="Arial" w:hAnsi="Arial"/>
          <w:sz w:val="20"/>
          <w:szCs w:val="20"/>
          <w:color w:val="auto"/>
        </w:rPr>
        <w:t>Section 409A. The Performance Share Unit Award is intended to comply with the applicable requirements of Section 409A of the Code and shall be administered in accordance with Section 409A of the Code. Notwithstanding anything in this Agreement to the contrary, if the Performance Share Units or the Dividend Equivalents constitute “deferred compensation” under Section 409A of the Code and the Performance Share Units become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320040</wp:posOffset>
            </wp:positionV>
            <wp:extent cx="714946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960"/>
          </w:cols>
          <w:pgMar w:left="320" w:top="347" w:right="619" w:bottom="1440" w:gutter="0" w:footer="0" w:header="0"/>
        </w:sectPr>
      </w:pPr>
    </w:p>
    <w:bookmarkStart w:id="95" w:name="page96"/>
    <w:bookmarkEnd w:id="95"/>
    <w:p>
      <w:pPr>
        <w:spacing w:after="0" w:line="270" w:lineRule="auto"/>
        <w:rPr>
          <w:sz w:val="20"/>
          <w:szCs w:val="20"/>
          <w:color w:val="auto"/>
        </w:rPr>
      </w:pPr>
      <w:r>
        <w:rPr>
          <w:rFonts w:ascii="Arial" w:cs="Arial" w:eastAsia="Arial" w:hAnsi="Arial"/>
          <w:sz w:val="19"/>
          <w:szCs w:val="19"/>
          <w:color w:val="auto"/>
        </w:rPr>
        <w:t>vested and settled upon the Grantee’s Termination of Employment, payment with respect to the Performance Share Units shall be delayed for a period of six months after the Grantee’s Termination of Employment if the Grantee is a “specified employee” as defined under Section 409A of the Code (as determined by the Committee) and if required pursuant to Section 409A of the Code. If payment is delayed, the shares of Common Stock and Dividend Equivalents shall be distributed within 30 days following the date that is the six-month anniversary of the Grantee’s Termination of Employment (or death, if</w:t>
      </w:r>
    </w:p>
    <w:p>
      <w:pPr>
        <w:spacing w:after="0" w:line="3" w:lineRule="exact"/>
        <w:rPr>
          <w:sz w:val="20"/>
          <w:szCs w:val="20"/>
          <w:color w:val="auto"/>
        </w:rPr>
      </w:pPr>
    </w:p>
    <w:p>
      <w:pPr>
        <w:ind w:right="160"/>
        <w:spacing w:after="0" w:line="273" w:lineRule="auto"/>
        <w:rPr>
          <w:sz w:val="20"/>
          <w:szCs w:val="20"/>
          <w:color w:val="auto"/>
        </w:rPr>
      </w:pPr>
      <w:r>
        <w:rPr>
          <w:rFonts w:ascii="Arial" w:cs="Arial" w:eastAsia="Arial" w:hAnsi="Arial"/>
          <w:sz w:val="19"/>
          <w:szCs w:val="19"/>
          <w:color w:val="auto"/>
        </w:rPr>
        <w:t>earlier). Notwithstanding any provision to the contrary herein, payments made with respect to this Performance Share Unit Award may only be made in a manner and upon an event permitted by Section 409A of the Code. To the extent that any provision of this Agreement would cause a conflict with the requirements of Section 409A of the Code, or would cause the administration of this Performance Share Unit Award to fail to satisfy the requirements of Section 409A of the Code, such provision shall be deemed null and void to the extent permitted by applicable law. In no event shall a Grantee, directly or indirectly, designate the calendar year of payment. Any payment that is to be made within a specified time period under this Agreement may be made at such other date as may be permitted by Section 409A with respect to such payment.</w:t>
      </w:r>
    </w:p>
    <w:p>
      <w:pPr>
        <w:spacing w:after="0" w:line="184" w:lineRule="exact"/>
        <w:rPr>
          <w:sz w:val="20"/>
          <w:szCs w:val="20"/>
          <w:color w:val="auto"/>
        </w:rPr>
      </w:pPr>
    </w:p>
    <w:p>
      <w:pPr>
        <w:ind w:right="80" w:firstLine="8"/>
        <w:spacing w:after="0"/>
        <w:tabs>
          <w:tab w:leader="none" w:pos="917" w:val="left"/>
        </w:tabs>
        <w:numPr>
          <w:ilvl w:val="0"/>
          <w:numId w:val="47"/>
        </w:numPr>
        <w:rPr>
          <w:rFonts w:ascii="Arial" w:cs="Arial" w:eastAsia="Arial" w:hAnsi="Arial"/>
          <w:sz w:val="22"/>
          <w:szCs w:val="22"/>
          <w:color w:val="auto"/>
        </w:rPr>
      </w:pPr>
      <w:r>
        <w:rPr>
          <w:rFonts w:ascii="Arial" w:cs="Arial" w:eastAsia="Arial" w:hAnsi="Arial"/>
          <w:sz w:val="22"/>
          <w:szCs w:val="22"/>
          <w:u w:val="single" w:color="auto"/>
          <w:color w:val="auto"/>
        </w:rPr>
        <w:t>Company Policies</w:t>
      </w:r>
      <w:r>
        <w:rPr>
          <w:rFonts w:ascii="Arial" w:cs="Arial" w:eastAsia="Arial" w:hAnsi="Arial"/>
          <w:sz w:val="22"/>
          <w:szCs w:val="22"/>
          <w:color w:val="auto"/>
        </w:rPr>
        <w:t>. All amounts payable under this Agreement shall be subject to any applicable clawback or recoupment policies, share trading policies and other policies that may be implemented by the Company’s Board of Directors from time to time, including the Forfeiture Policy.</w:t>
      </w:r>
    </w:p>
    <w:p>
      <w:pPr>
        <w:spacing w:after="0" w:line="211" w:lineRule="exact"/>
        <w:rPr>
          <w:rFonts w:ascii="Arial" w:cs="Arial" w:eastAsia="Arial" w:hAnsi="Arial"/>
          <w:sz w:val="22"/>
          <w:szCs w:val="22"/>
          <w:color w:val="auto"/>
        </w:rPr>
      </w:pPr>
    </w:p>
    <w:p>
      <w:pPr>
        <w:ind w:right="140" w:firstLine="8"/>
        <w:spacing w:after="0" w:line="268" w:lineRule="auto"/>
        <w:tabs>
          <w:tab w:leader="none" w:pos="917" w:val="left"/>
        </w:tabs>
        <w:numPr>
          <w:ilvl w:val="0"/>
          <w:numId w:val="47"/>
        </w:numPr>
        <w:rPr>
          <w:rFonts w:ascii="Arial" w:cs="Arial" w:eastAsia="Arial" w:hAnsi="Arial"/>
          <w:sz w:val="20"/>
          <w:szCs w:val="20"/>
          <w:color w:val="auto"/>
        </w:rPr>
      </w:pPr>
      <w:r>
        <w:rPr>
          <w:rFonts w:ascii="Arial" w:cs="Arial" w:eastAsia="Arial" w:hAnsi="Arial"/>
          <w:sz w:val="20"/>
          <w:szCs w:val="20"/>
          <w:color w:val="auto"/>
        </w:rPr>
        <w:t>Stock Certificates. The Grantee hereby (a) acknowledges that the Common Stock issued with respect to a vested Performance Share Unit upon its settlement may be held in book entry form on the books of Registrar and Transfer Company (or another institution specified by the Company), and (b) agrees to sign such other powers and take such other actions as the Company may reasonably request to accomplish the transfer.</w:t>
      </w:r>
    </w:p>
    <w:p>
      <w:pPr>
        <w:spacing w:after="0" w:line="186" w:lineRule="exact"/>
        <w:rPr>
          <w:rFonts w:ascii="Arial" w:cs="Arial" w:eastAsia="Arial" w:hAnsi="Arial"/>
          <w:sz w:val="20"/>
          <w:szCs w:val="20"/>
          <w:color w:val="auto"/>
        </w:rPr>
      </w:pPr>
    </w:p>
    <w:p>
      <w:pPr>
        <w:ind w:firstLine="8"/>
        <w:spacing w:after="0"/>
        <w:tabs>
          <w:tab w:leader="none" w:pos="917" w:val="left"/>
        </w:tabs>
        <w:numPr>
          <w:ilvl w:val="0"/>
          <w:numId w:val="47"/>
        </w:numPr>
        <w:rPr>
          <w:rFonts w:ascii="Arial" w:cs="Arial" w:eastAsia="Arial" w:hAnsi="Arial"/>
          <w:sz w:val="22"/>
          <w:szCs w:val="22"/>
          <w:color w:val="auto"/>
        </w:rPr>
      </w:pPr>
      <w:r>
        <w:rPr>
          <w:rFonts w:ascii="Arial" w:cs="Arial" w:eastAsia="Arial" w:hAnsi="Arial"/>
          <w:sz w:val="22"/>
          <w:szCs w:val="22"/>
          <w:color w:val="auto"/>
        </w:rPr>
        <w:t>Nontransferability. Performance Share Units may not be sold, transferred, pledged, assigned, or otherwise alienated or hypothecated by the Grantee other than by will or by the laws of descent and distribution. This Agreement shall bind and inure to the benefit of successors and assignees of the Company.</w:t>
      </w:r>
    </w:p>
    <w:p>
      <w:pPr>
        <w:spacing w:after="0" w:line="211" w:lineRule="exact"/>
        <w:rPr>
          <w:rFonts w:ascii="Arial" w:cs="Arial" w:eastAsia="Arial" w:hAnsi="Arial"/>
          <w:sz w:val="22"/>
          <w:szCs w:val="22"/>
          <w:color w:val="auto"/>
        </w:rPr>
      </w:pPr>
    </w:p>
    <w:p>
      <w:pPr>
        <w:ind w:right="60" w:firstLine="8"/>
        <w:spacing w:after="0" w:line="299" w:lineRule="auto"/>
        <w:tabs>
          <w:tab w:leader="none" w:pos="917" w:val="left"/>
        </w:tabs>
        <w:numPr>
          <w:ilvl w:val="0"/>
          <w:numId w:val="47"/>
        </w:numPr>
        <w:rPr>
          <w:rFonts w:ascii="Arial" w:cs="Arial" w:eastAsia="Arial" w:hAnsi="Arial"/>
          <w:sz w:val="20"/>
          <w:szCs w:val="20"/>
          <w:color w:val="auto"/>
        </w:rPr>
      </w:pPr>
      <w:r>
        <w:rPr>
          <w:rFonts w:ascii="Arial" w:cs="Arial" w:eastAsia="Arial" w:hAnsi="Arial"/>
          <w:sz w:val="20"/>
          <w:szCs w:val="20"/>
          <w:color w:val="auto"/>
        </w:rPr>
        <w:t>Governing Law. The validity, construction, interpretation and enforceability of this Agreement shall be determined and governed by the laws of the State of New York without giving effect to the principles of conflicts of laws.</w:t>
      </w:r>
    </w:p>
    <w:p>
      <w:pPr>
        <w:spacing w:after="0" w:line="155" w:lineRule="exact"/>
        <w:rPr>
          <w:rFonts w:ascii="Arial" w:cs="Arial" w:eastAsia="Arial" w:hAnsi="Arial"/>
          <w:sz w:val="20"/>
          <w:szCs w:val="20"/>
          <w:color w:val="auto"/>
        </w:rPr>
      </w:pPr>
    </w:p>
    <w:p>
      <w:pPr>
        <w:ind w:right="120" w:firstLine="8"/>
        <w:spacing w:after="0" w:line="250" w:lineRule="auto"/>
        <w:tabs>
          <w:tab w:leader="none" w:pos="917" w:val="left"/>
        </w:tabs>
        <w:numPr>
          <w:ilvl w:val="0"/>
          <w:numId w:val="47"/>
        </w:numPr>
        <w:rPr>
          <w:rFonts w:ascii="Arial" w:cs="Arial" w:eastAsia="Arial" w:hAnsi="Arial"/>
          <w:sz w:val="22"/>
          <w:szCs w:val="22"/>
          <w:color w:val="auto"/>
        </w:rPr>
      </w:pPr>
      <w:r>
        <w:rPr>
          <w:rFonts w:ascii="Arial" w:cs="Arial" w:eastAsia="Arial" w:hAnsi="Arial"/>
          <w:sz w:val="22"/>
          <w:szCs w:val="22"/>
          <w:color w:val="auto"/>
        </w:rPr>
        <w:t>Headings. The headings of the sections hereof are provided for convenience only and are not to serve as a basis for interpretation or construction, and shall not constitute a part, of this Agreement.</w:t>
      </w:r>
    </w:p>
    <w:p>
      <w:pPr>
        <w:sectPr>
          <w:pgSz w:w="11900" w:h="16838" w:orient="portrait"/>
          <w:cols w:equalWidth="0" w:num="1">
            <w:col w:w="10900"/>
          </w:cols>
          <w:pgMar w:left="320" w:top="347" w:right="679" w:bottom="1440" w:gutter="0" w:footer="0" w:header="0"/>
        </w:sectPr>
      </w:pPr>
    </w:p>
    <w:bookmarkStart w:id="96" w:name="page97"/>
    <w:bookmarkEnd w:id="96"/>
    <w:p>
      <w:pPr>
        <w:jc w:val="right"/>
        <w:spacing w:after="0"/>
        <w:rPr>
          <w:sz w:val="20"/>
          <w:szCs w:val="20"/>
          <w:color w:val="auto"/>
        </w:rPr>
      </w:pPr>
      <w:r>
        <w:rPr>
          <w:rFonts w:ascii="Arial" w:cs="Arial" w:eastAsia="Arial" w:hAnsi="Arial"/>
          <w:sz w:val="22"/>
          <w:szCs w:val="22"/>
          <w:b w:val="1"/>
          <w:bCs w:val="1"/>
          <w:color w:val="auto"/>
        </w:rPr>
        <w:t>Exhibit 10.2</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NO. 3</w:t>
      </w:r>
    </w:p>
    <w:p>
      <w:pPr>
        <w:jc w:val="center"/>
        <w:spacing w:after="0" w:line="230" w:lineRule="auto"/>
        <w:rPr>
          <w:sz w:val="20"/>
          <w:szCs w:val="20"/>
          <w:color w:val="auto"/>
        </w:rPr>
      </w:pPr>
      <w:r>
        <w:rPr>
          <w:rFonts w:ascii="Arial" w:cs="Arial" w:eastAsia="Arial" w:hAnsi="Arial"/>
          <w:sz w:val="22"/>
          <w:szCs w:val="22"/>
          <w:b w:val="1"/>
          <w:bCs w:val="1"/>
          <w:color w:val="auto"/>
        </w:rPr>
        <w:t>TO THE</w:t>
      </w:r>
    </w:p>
    <w:p>
      <w:pPr>
        <w:jc w:val="center"/>
        <w:spacing w:after="0" w:line="230" w:lineRule="auto"/>
        <w:rPr>
          <w:sz w:val="20"/>
          <w:szCs w:val="20"/>
          <w:color w:val="auto"/>
        </w:rPr>
      </w:pPr>
      <w:r>
        <w:rPr>
          <w:rFonts w:ascii="Arial" w:cs="Arial" w:eastAsia="Arial" w:hAnsi="Arial"/>
          <w:sz w:val="22"/>
          <w:szCs w:val="22"/>
          <w:b w:val="1"/>
          <w:bCs w:val="1"/>
          <w:color w:val="auto"/>
        </w:rPr>
        <w:t>M&amp;T BANK CORPORATION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SUPPLEMENTAL PENSION PLAN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(Restated Effective as of January 1, 2005)</w:t>
      </w:r>
    </w:p>
    <w:p>
      <w:pPr>
        <w:spacing w:after="0" w:line="232" w:lineRule="exact"/>
        <w:rPr>
          <w:sz w:val="20"/>
          <w:szCs w:val="20"/>
          <w:color w:val="auto"/>
        </w:rPr>
      </w:pPr>
    </w:p>
    <w:p>
      <w:pPr>
        <w:ind w:right="540" w:firstLine="864"/>
        <w:spacing w:after="0" w:line="250" w:lineRule="auto"/>
        <w:rPr>
          <w:sz w:val="20"/>
          <w:szCs w:val="20"/>
          <w:color w:val="auto"/>
        </w:rPr>
      </w:pPr>
      <w:r>
        <w:rPr>
          <w:rFonts w:ascii="Arial" w:cs="Arial" w:eastAsia="Arial" w:hAnsi="Arial"/>
          <w:sz w:val="22"/>
          <w:szCs w:val="22"/>
          <w:color w:val="auto"/>
        </w:rPr>
        <w:t>Manufacturers and Traders Trust Company (“Company”) hereby adopts this Amendment No. 3 to the M&amp;T Bank Corporation Supplemental Pension Plan (Restated Effective as of January 1, 2005) (“SPP”).</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WITNESSETH</w:t>
      </w:r>
    </w:p>
    <w:p>
      <w:pPr>
        <w:spacing w:after="0" w:line="23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WHEREAS, under Section 7.1, the Company may amend the SPP; and</w:t>
      </w:r>
    </w:p>
    <w:p>
      <w:pPr>
        <w:spacing w:after="0" w:line="232" w:lineRule="exact"/>
        <w:rPr>
          <w:sz w:val="20"/>
          <w:szCs w:val="20"/>
          <w:color w:val="auto"/>
        </w:rPr>
      </w:pPr>
    </w:p>
    <w:p>
      <w:pPr>
        <w:ind w:right="80" w:firstLine="864"/>
        <w:spacing w:after="0" w:line="299" w:lineRule="auto"/>
        <w:rPr>
          <w:sz w:val="20"/>
          <w:szCs w:val="20"/>
          <w:color w:val="auto"/>
        </w:rPr>
      </w:pPr>
      <w:r>
        <w:rPr>
          <w:rFonts w:ascii="Arial" w:cs="Arial" w:eastAsia="Arial" w:hAnsi="Arial"/>
          <w:sz w:val="20"/>
          <w:szCs w:val="20"/>
          <w:color w:val="auto"/>
        </w:rPr>
        <w:t>WHEREAS, action of the Company's Board of Directors on October 16, 2019, authorized amending the SPP to modify the eligibility provisions and to increase the limit on Compensation used to calculate benefits thereunder.</w:t>
      </w:r>
    </w:p>
    <w:p>
      <w:pPr>
        <w:spacing w:after="0" w:line="15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NOW, THEREFORE, the SPP is amended as follows, effective January 1, 2020.</w:t>
      </w:r>
    </w:p>
    <w:p>
      <w:pPr>
        <w:spacing w:after="0" w:line="226" w:lineRule="exact"/>
        <w:rPr>
          <w:sz w:val="20"/>
          <w:szCs w:val="20"/>
          <w:color w:val="auto"/>
        </w:rPr>
      </w:pPr>
    </w:p>
    <w:p>
      <w:pPr>
        <w:ind w:left="4800"/>
        <w:spacing w:after="0"/>
        <w:rPr>
          <w:sz w:val="20"/>
          <w:szCs w:val="20"/>
          <w:color w:val="auto"/>
        </w:rPr>
      </w:pPr>
      <w:r>
        <w:rPr>
          <w:rFonts w:ascii="Arial" w:cs="Arial" w:eastAsia="Arial" w:hAnsi="Arial"/>
          <w:sz w:val="22"/>
          <w:szCs w:val="22"/>
          <w:b w:val="1"/>
          <w:bCs w:val="1"/>
          <w:u w:val="single" w:color="auto"/>
          <w:color w:val="auto"/>
        </w:rPr>
        <w:t>FIRST CHANGE</w:t>
      </w:r>
    </w:p>
    <w:p>
      <w:pPr>
        <w:spacing w:after="0" w:line="23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Sections 3.1 and 3.2 are revised to read as follows:</w:t>
      </w:r>
    </w:p>
    <w:p>
      <w:pPr>
        <w:spacing w:after="0" w:line="232" w:lineRule="exact"/>
        <w:rPr>
          <w:sz w:val="20"/>
          <w:szCs w:val="20"/>
          <w:color w:val="auto"/>
        </w:rPr>
      </w:pPr>
    </w:p>
    <w:p>
      <w:pPr>
        <w:ind w:left="880" w:right="280"/>
        <w:spacing w:after="0"/>
        <w:rPr>
          <w:sz w:val="20"/>
          <w:szCs w:val="20"/>
          <w:color w:val="auto"/>
        </w:rPr>
      </w:pPr>
      <w:r>
        <w:rPr>
          <w:rFonts w:ascii="Arial" w:cs="Arial" w:eastAsia="Arial" w:hAnsi="Arial"/>
          <w:sz w:val="22"/>
          <w:szCs w:val="22"/>
          <w:color w:val="auto"/>
        </w:rPr>
        <w:t xml:space="preserve">"3.1 </w:t>
      </w:r>
      <w:r>
        <w:rPr>
          <w:rFonts w:ascii="Arial" w:cs="Arial" w:eastAsia="Arial" w:hAnsi="Arial"/>
          <w:sz w:val="22"/>
          <w:szCs w:val="22"/>
          <w:u w:val="single" w:color="auto"/>
          <w:color w:val="auto"/>
        </w:rPr>
        <w:t>Eligibility to Participate</w:t>
      </w:r>
      <w:r>
        <w:rPr>
          <w:rFonts w:ascii="Arial" w:cs="Arial" w:eastAsia="Arial" w:hAnsi="Arial"/>
          <w:sz w:val="22"/>
          <w:szCs w:val="22"/>
          <w:color w:val="auto"/>
        </w:rPr>
        <w:t>. An Employee is eligible to possibly become a Participant in this Plan under Section 3.2 only if the Employee has an Accrued Benefit under the Pension Plan that is limited by the Compensation Limitation thereunder."</w:t>
      </w:r>
    </w:p>
    <w:p>
      <w:pPr>
        <w:spacing w:after="0" w:line="212"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22"/>
          <w:szCs w:val="22"/>
          <w:u w:val="single" w:color="auto"/>
          <w:color w:val="auto"/>
        </w:rPr>
        <w:t>Commencement of Participation</w:t>
      </w:r>
      <w:r>
        <w:rPr>
          <w:rFonts w:ascii="Arial" w:cs="Arial" w:eastAsia="Arial" w:hAnsi="Arial"/>
          <w:sz w:val="22"/>
          <w:szCs w:val="22"/>
          <w:color w:val="auto"/>
        </w:rPr>
        <w:t>.</w:t>
      </w:r>
    </w:p>
    <w:p>
      <w:pPr>
        <w:spacing w:after="0" w:line="232" w:lineRule="exact"/>
        <w:rPr>
          <w:sz w:val="20"/>
          <w:szCs w:val="20"/>
          <w:color w:val="auto"/>
        </w:rPr>
      </w:pPr>
    </w:p>
    <w:p>
      <w:pPr>
        <w:ind w:left="880" w:right="220" w:firstLine="789"/>
        <w:spacing w:after="0" w:line="250" w:lineRule="auto"/>
        <w:tabs>
          <w:tab w:leader="none" w:pos="2564" w:val="left"/>
        </w:tabs>
        <w:numPr>
          <w:ilvl w:val="0"/>
          <w:numId w:val="48"/>
        </w:numPr>
        <w:rPr>
          <w:rFonts w:ascii="Arial" w:cs="Arial" w:eastAsia="Arial" w:hAnsi="Arial"/>
          <w:sz w:val="22"/>
          <w:szCs w:val="22"/>
          <w:color w:val="auto"/>
        </w:rPr>
      </w:pPr>
      <w:r>
        <w:rPr>
          <w:rFonts w:ascii="Arial" w:cs="Arial" w:eastAsia="Arial" w:hAnsi="Arial"/>
          <w:sz w:val="22"/>
          <w:szCs w:val="22"/>
          <w:color w:val="auto"/>
        </w:rPr>
        <w:t>An Employee who is a Participant in this Plan on December 31, 2019, will remain a Participant in this Plan on January 1, 2020 and thereafter, so long as they remain an Employee.</w:t>
      </w:r>
    </w:p>
    <w:p>
      <w:pPr>
        <w:spacing w:after="0" w:line="201" w:lineRule="exact"/>
        <w:rPr>
          <w:rFonts w:ascii="Arial" w:cs="Arial" w:eastAsia="Arial" w:hAnsi="Arial"/>
          <w:sz w:val="22"/>
          <w:szCs w:val="22"/>
          <w:color w:val="auto"/>
        </w:rPr>
      </w:pPr>
    </w:p>
    <w:p>
      <w:pPr>
        <w:jc w:val="both"/>
        <w:ind w:left="880" w:right="60" w:firstLine="789"/>
        <w:spacing w:after="0" w:line="237" w:lineRule="auto"/>
        <w:tabs>
          <w:tab w:leader="none" w:pos="2576" w:val="left"/>
        </w:tabs>
        <w:numPr>
          <w:ilvl w:val="0"/>
          <w:numId w:val="48"/>
        </w:numPr>
        <w:rPr>
          <w:rFonts w:ascii="Arial" w:cs="Arial" w:eastAsia="Arial" w:hAnsi="Arial"/>
          <w:sz w:val="22"/>
          <w:szCs w:val="22"/>
          <w:color w:val="auto"/>
        </w:rPr>
      </w:pPr>
      <w:r>
        <w:rPr>
          <w:rFonts w:ascii="Arial" w:cs="Arial" w:eastAsia="Arial" w:hAnsi="Arial"/>
          <w:sz w:val="22"/>
          <w:szCs w:val="22"/>
          <w:color w:val="auto"/>
        </w:rPr>
        <w:t>An Employee described in Section 3.1, but not described in subsection (a), becomes a Participant in this Plan, and begins to earn benefits hereunder, on the January 1 after the Employee is first classified by the Employer at salary grade 65 or higher. No benefits are earned under this Plan for the period before that January 1, even if the Employee is described in Section 3.1 during such period.</w:t>
      </w:r>
    </w:p>
    <w:p>
      <w:pPr>
        <w:spacing w:after="0" w:line="214" w:lineRule="exact"/>
        <w:rPr>
          <w:rFonts w:ascii="Arial" w:cs="Arial" w:eastAsia="Arial" w:hAnsi="Arial"/>
          <w:sz w:val="22"/>
          <w:szCs w:val="22"/>
          <w:color w:val="auto"/>
        </w:rPr>
      </w:pPr>
    </w:p>
    <w:p>
      <w:pPr>
        <w:jc w:val="both"/>
        <w:ind w:left="880" w:right="140" w:firstLine="789"/>
        <w:spacing w:after="0" w:line="276" w:lineRule="auto"/>
        <w:tabs>
          <w:tab w:leader="none" w:pos="2564" w:val="left"/>
        </w:tabs>
        <w:numPr>
          <w:ilvl w:val="0"/>
          <w:numId w:val="48"/>
        </w:numPr>
        <w:rPr>
          <w:rFonts w:ascii="Arial" w:cs="Arial" w:eastAsia="Arial" w:hAnsi="Arial"/>
          <w:sz w:val="20"/>
          <w:szCs w:val="20"/>
          <w:color w:val="auto"/>
        </w:rPr>
      </w:pPr>
      <w:r>
        <w:rPr>
          <w:rFonts w:ascii="Arial" w:cs="Arial" w:eastAsia="Arial" w:hAnsi="Arial"/>
          <w:sz w:val="20"/>
          <w:szCs w:val="20"/>
          <w:color w:val="auto"/>
        </w:rPr>
        <w:t>If an Employee who has become a Participant under subsection (b) thereafter has their salary grade reclassified to below 65, the Employee ceases to earn benefits hereunder effective for the Plan Year during which their salary grade is reclassified. Such an Employee remains a Participant only to the extent of the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714946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7" w:name="page98"/>
    <w:bookmarkEnd w:id="97"/>
    <w:p>
      <w:pPr>
        <w:ind w:left="880" w:right="360"/>
        <w:spacing w:after="0" w:line="250" w:lineRule="auto"/>
        <w:rPr>
          <w:sz w:val="20"/>
          <w:szCs w:val="20"/>
          <w:color w:val="auto"/>
        </w:rPr>
      </w:pPr>
      <w:r>
        <w:rPr>
          <w:rFonts w:ascii="Arial" w:cs="Arial" w:eastAsia="Arial" w:hAnsi="Arial"/>
          <w:sz w:val="22"/>
          <w:szCs w:val="22"/>
          <w:color w:val="auto"/>
        </w:rPr>
        <w:t>earned before the Plan Year during which their salary grade is reclassified. This subsection (c) does not apply to a Participant described in subsection (a)."</w:t>
      </w:r>
    </w:p>
    <w:p>
      <w:pPr>
        <w:spacing w:after="0" w:line="195"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u w:val="single" w:color="auto"/>
          <w:color w:val="auto"/>
        </w:rPr>
        <w:t>SECOND CHANGE</w:t>
      </w:r>
    </w:p>
    <w:p>
      <w:pPr>
        <w:spacing w:after="0" w:line="23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Section 4.1(a)(i) is revised to read as follows (</w:t>
      </w:r>
      <w:r>
        <w:rPr>
          <w:rFonts w:ascii="Arial" w:cs="Arial" w:eastAsia="Arial" w:hAnsi="Arial"/>
          <w:sz w:val="22"/>
          <w:szCs w:val="22"/>
          <w:b w:val="1"/>
          <w:bCs w:val="1"/>
          <w:u w:val="single" w:color="auto"/>
          <w:color w:val="auto"/>
        </w:rPr>
        <w:t>new language underlined</w:t>
      </w:r>
      <w:r>
        <w:rPr>
          <w:rFonts w:ascii="Arial" w:cs="Arial" w:eastAsia="Arial" w:hAnsi="Arial"/>
          <w:sz w:val="22"/>
          <w:szCs w:val="22"/>
          <w:color w:val="auto"/>
        </w:rPr>
        <w:t>):</w:t>
      </w:r>
    </w:p>
    <w:p>
      <w:pPr>
        <w:spacing w:after="0" w:line="238" w:lineRule="exact"/>
        <w:rPr>
          <w:sz w:val="20"/>
          <w:szCs w:val="20"/>
          <w:color w:val="auto"/>
        </w:rPr>
      </w:pPr>
    </w:p>
    <w:p>
      <w:pPr>
        <w:ind w:left="1740" w:right="640"/>
        <w:spacing w:after="0"/>
        <w:rPr>
          <w:sz w:val="20"/>
          <w:szCs w:val="20"/>
          <w:color w:val="auto"/>
        </w:rPr>
      </w:pPr>
      <w:r>
        <w:rPr>
          <w:rFonts w:ascii="Arial" w:cs="Arial" w:eastAsia="Arial" w:hAnsi="Arial"/>
          <w:sz w:val="22"/>
          <w:szCs w:val="22"/>
          <w:color w:val="auto"/>
        </w:rPr>
        <w:t>“</w:t>
      </w:r>
      <w:r>
        <w:rPr>
          <w:rFonts w:ascii="Arial" w:cs="Arial" w:eastAsia="Arial" w:hAnsi="Arial"/>
          <w:sz w:val="20"/>
          <w:szCs w:val="20"/>
          <w:color w:val="auto"/>
        </w:rPr>
        <w:t>(i) equals the annual benefit (or the lump sum Actuarial Equivalent thereof) that would have</w:t>
      </w:r>
      <w:r>
        <w:rPr>
          <w:rFonts w:ascii="Arial" w:cs="Arial" w:eastAsia="Arial" w:hAnsi="Arial"/>
          <w:sz w:val="22"/>
          <w:szCs w:val="22"/>
          <w:color w:val="auto"/>
        </w:rPr>
        <w:t xml:space="preserve"> </w:t>
      </w:r>
      <w:r>
        <w:rPr>
          <w:rFonts w:ascii="Arial" w:cs="Arial" w:eastAsia="Arial" w:hAnsi="Arial"/>
          <w:sz w:val="20"/>
          <w:szCs w:val="20"/>
          <w:color w:val="auto"/>
        </w:rPr>
        <w:t xml:space="preserve">been payable to the Participant under the Pension Plan, as of the Participant's Benefit Commencement Date assuming that (A) the Participant elected to have his accrued benefit under the Pension Plan paid in the same form of payment elected by the Participant under Article V hereof, (B) such accrued benefit was not limited by the Compensation Limitation, and (C) such accrued benefit was calculated using the Participant's Compensation, as defined herein but capped at (I) $235,840, for calendar years beginning on and after January 1, 1994, but before January 1, 2006, and (II) $ 350,000, for calendar years beginning on and after January 1, 2006 </w:t>
      </w:r>
      <w:r>
        <w:rPr>
          <w:rFonts w:ascii="Arial" w:cs="Arial" w:eastAsia="Arial" w:hAnsi="Arial"/>
          <w:sz w:val="20"/>
          <w:szCs w:val="20"/>
          <w:b w:val="1"/>
          <w:bCs w:val="1"/>
          <w:u w:val="single" w:color="auto"/>
          <w:color w:val="auto"/>
        </w:rPr>
        <w:t>but before January 1, 2020, and (III) two times the</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limit under Internal Revenue Code Section 401(a)(17) as in effect for each calendar year beginning on and after January 1, 2020,</w:t>
      </w:r>
      <w:r>
        <w:rPr>
          <w:rFonts w:ascii="Arial" w:cs="Arial" w:eastAsia="Arial" w:hAnsi="Arial"/>
          <w:sz w:val="20"/>
          <w:szCs w:val="20"/>
          <w:b w:val="1"/>
          <w:bCs w:val="1"/>
          <w:color w:val="auto"/>
        </w:rPr>
        <w:t xml:space="preserve"> </w:t>
      </w:r>
      <w:r>
        <w:rPr>
          <w:rFonts w:ascii="Arial" w:cs="Arial" w:eastAsia="Arial" w:hAnsi="Arial"/>
          <w:sz w:val="20"/>
          <w:szCs w:val="20"/>
          <w:color w:val="auto"/>
        </w:rPr>
        <w:t>rather than the Participant's compensation, as defined in the Pension</w:t>
      </w:r>
      <w:r>
        <w:rPr>
          <w:rFonts w:ascii="Arial" w:cs="Arial" w:eastAsia="Arial" w:hAnsi="Arial"/>
          <w:sz w:val="20"/>
          <w:szCs w:val="20"/>
          <w:b w:val="1"/>
          <w:bCs w:val="1"/>
          <w:color w:val="auto"/>
        </w:rPr>
        <w:t xml:space="preserve"> </w:t>
      </w:r>
      <w:r>
        <w:rPr>
          <w:rFonts w:ascii="Arial" w:cs="Arial" w:eastAsia="Arial" w:hAnsi="Arial"/>
          <w:sz w:val="20"/>
          <w:szCs w:val="20"/>
          <w:color w:val="auto"/>
        </w:rPr>
        <w:t>Plan; and</w:t>
      </w:r>
      <w:r>
        <w:rPr>
          <w:rFonts w:ascii="Arial" w:cs="Arial" w:eastAsia="Arial" w:hAnsi="Arial"/>
          <w:sz w:val="21"/>
          <w:szCs w:val="21"/>
          <w:color w:val="auto"/>
        </w:rPr>
        <w:t>”</w:t>
      </w:r>
    </w:p>
    <w:p>
      <w:pPr>
        <w:spacing w:after="0" w:line="194" w:lineRule="exact"/>
        <w:rPr>
          <w:sz w:val="20"/>
          <w:szCs w:val="20"/>
          <w:color w:val="auto"/>
        </w:rPr>
      </w:pPr>
    </w:p>
    <w:p>
      <w:pPr>
        <w:ind w:left="4760"/>
        <w:spacing w:after="0"/>
        <w:rPr>
          <w:sz w:val="20"/>
          <w:szCs w:val="20"/>
          <w:color w:val="auto"/>
        </w:rPr>
      </w:pPr>
      <w:r>
        <w:rPr>
          <w:rFonts w:ascii="Arial" w:cs="Arial" w:eastAsia="Arial" w:hAnsi="Arial"/>
          <w:sz w:val="22"/>
          <w:szCs w:val="22"/>
          <w:b w:val="1"/>
          <w:bCs w:val="1"/>
          <w:u w:val="single" w:color="auto"/>
          <w:color w:val="auto"/>
        </w:rPr>
        <w:t>THIRD CHANGE</w:t>
      </w:r>
    </w:p>
    <w:p>
      <w:pPr>
        <w:spacing w:after="0" w:line="23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A new subsection (c) is added to Section 4.1 to read as follows:</w:t>
      </w:r>
    </w:p>
    <w:p>
      <w:pPr>
        <w:spacing w:after="0" w:line="232" w:lineRule="exact"/>
        <w:rPr>
          <w:sz w:val="20"/>
          <w:szCs w:val="20"/>
          <w:color w:val="auto"/>
        </w:rPr>
      </w:pPr>
    </w:p>
    <w:p>
      <w:pPr>
        <w:ind w:left="880"/>
        <w:spacing w:after="0"/>
        <w:tabs>
          <w:tab w:leader="none" w:pos="1820" w:val="left"/>
        </w:tabs>
        <w:rPr>
          <w:sz w:val="20"/>
          <w:szCs w:val="20"/>
          <w:color w:val="auto"/>
        </w:rPr>
      </w:pPr>
      <w:r>
        <w:rPr>
          <w:rFonts w:ascii="Arial" w:cs="Arial" w:eastAsia="Arial" w:hAnsi="Arial"/>
          <w:sz w:val="20"/>
          <w:szCs w:val="20"/>
          <w:color w:val="auto"/>
        </w:rPr>
        <w:t>"(c)</w:t>
      </w:r>
      <w:r>
        <w:rPr>
          <w:sz w:val="20"/>
          <w:szCs w:val="20"/>
          <w:color w:val="auto"/>
        </w:rPr>
        <w:tab/>
      </w:r>
      <w:r>
        <w:rPr>
          <w:rFonts w:ascii="Arial" w:cs="Arial" w:eastAsia="Arial" w:hAnsi="Arial"/>
          <w:sz w:val="20"/>
          <w:szCs w:val="20"/>
          <w:color w:val="auto"/>
        </w:rPr>
        <w:t>This Section 4.1 will be applied so that the Participant only earns benefits under this Plan for Plan Years</w:t>
      </w:r>
    </w:p>
    <w:p>
      <w:pPr>
        <w:spacing w:after="0" w:line="31" w:lineRule="exact"/>
        <w:rPr>
          <w:sz w:val="20"/>
          <w:szCs w:val="20"/>
          <w:color w:val="auto"/>
        </w:rPr>
      </w:pPr>
    </w:p>
    <w:p>
      <w:pPr>
        <w:ind w:left="880"/>
        <w:spacing w:after="0"/>
        <w:rPr>
          <w:sz w:val="20"/>
          <w:szCs w:val="20"/>
          <w:color w:val="auto"/>
        </w:rPr>
      </w:pPr>
      <w:r>
        <w:rPr>
          <w:rFonts w:ascii="Arial" w:cs="Arial" w:eastAsia="Arial" w:hAnsi="Arial"/>
          <w:sz w:val="19"/>
          <w:szCs w:val="19"/>
          <w:color w:val="auto"/>
        </w:rPr>
        <w:t>beginning on and after the January 1 as of which the Participant became a Participant in accordance with Section 3.2."</w:t>
      </w:r>
    </w:p>
    <w:p>
      <w:pPr>
        <w:spacing w:after="0" w:line="249" w:lineRule="exact"/>
        <w:rPr>
          <w:sz w:val="20"/>
          <w:szCs w:val="20"/>
          <w:color w:val="auto"/>
        </w:rPr>
      </w:pPr>
    </w:p>
    <w:p>
      <w:pPr>
        <w:ind w:right="600" w:firstLine="864"/>
        <w:spacing w:after="0" w:line="250" w:lineRule="auto"/>
        <w:rPr>
          <w:sz w:val="20"/>
          <w:szCs w:val="20"/>
          <w:color w:val="auto"/>
        </w:rPr>
      </w:pPr>
      <w:r>
        <w:rPr>
          <w:rFonts w:ascii="Arial" w:cs="Arial" w:eastAsia="Arial" w:hAnsi="Arial"/>
          <w:sz w:val="22"/>
          <w:szCs w:val="22"/>
          <w:color w:val="auto"/>
        </w:rPr>
        <w:t>IN WITNESS WHEREOF, Manufacturers and Traders Trust Company has caused this Amendment No. 3 to be executed by its duly authorized officer.</w:t>
      </w:r>
    </w:p>
    <w:p>
      <w:pPr>
        <w:sectPr>
          <w:pgSz w:w="11900" w:h="16838" w:orient="portrait"/>
          <w:cols w:equalWidth="0" w:num="1">
            <w:col w:w="11080"/>
          </w:cols>
          <w:pgMar w:left="320" w:top="334" w:right="499" w:bottom="1440" w:gutter="0" w:footer="0" w:header="0"/>
        </w:sectPr>
      </w:pP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WITNESS:</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MANUFACTURERS AND TRADERS</w:t>
      </w:r>
    </w:p>
    <w:p>
      <w:pPr>
        <w:spacing w:after="0" w:line="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TRUST COMPANY</w:t>
      </w:r>
    </w:p>
    <w:p>
      <w:pPr>
        <w:spacing w:after="0" w:line="200" w:lineRule="exact"/>
        <w:rPr>
          <w:sz w:val="20"/>
          <w:szCs w:val="20"/>
          <w:color w:val="auto"/>
        </w:rPr>
      </w:pPr>
    </w:p>
    <w:p>
      <w:pPr>
        <w:sectPr>
          <w:pgSz w:w="11900" w:h="16838" w:orient="portrait"/>
          <w:cols w:equalWidth="0" w:num="2">
            <w:col w:w="1060" w:space="460"/>
            <w:col w:w="9560"/>
          </w:cols>
          <w:pgMar w:left="320" w:top="334" w:right="499" w:bottom="1440" w:gutter="0" w:footer="0" w:header="0"/>
          <w:type w:val="continuous"/>
        </w:sectPr>
      </w:pPr>
    </w:p>
    <w:p>
      <w:pPr>
        <w:spacing w:after="0" w:line="257"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w:t>
      </w:r>
    </w:p>
    <w:p>
      <w:pPr>
        <w:spacing w:after="0" w:line="8" w:lineRule="exact"/>
        <w:rPr>
          <w:sz w:val="20"/>
          <w:szCs w:val="20"/>
          <w:color w:val="auto"/>
        </w:rPr>
      </w:pPr>
    </w:p>
    <w:p>
      <w:pPr>
        <w:ind w:left="1520"/>
        <w:spacing w:after="0"/>
        <w:rPr>
          <w:sz w:val="20"/>
          <w:szCs w:val="20"/>
          <w:color w:val="auto"/>
        </w:rPr>
      </w:pPr>
      <w:r>
        <w:rPr>
          <w:rFonts w:ascii="Arial" w:cs="Arial" w:eastAsia="Arial" w:hAnsi="Arial"/>
          <w:sz w:val="20"/>
          <w:szCs w:val="20"/>
          <w:color w:val="auto"/>
        </w:rPr>
        <w:t>Ann Marie Odrobina,</w:t>
      </w:r>
    </w:p>
    <w:p>
      <w:pPr>
        <w:spacing w:after="0" w:line="13" w:lineRule="exact"/>
        <w:rPr>
          <w:sz w:val="20"/>
          <w:szCs w:val="20"/>
          <w:color w:val="auto"/>
        </w:rPr>
      </w:pPr>
    </w:p>
    <w:p>
      <w:pPr>
        <w:ind w:left="1520"/>
        <w:spacing w:after="0"/>
        <w:rPr>
          <w:sz w:val="20"/>
          <w:szCs w:val="20"/>
          <w:color w:val="auto"/>
        </w:rPr>
      </w:pPr>
      <w:r>
        <w:rPr>
          <w:rFonts w:ascii="Arial" w:cs="Arial" w:eastAsia="Arial" w:hAnsi="Arial"/>
          <w:sz w:val="19"/>
          <w:szCs w:val="19"/>
          <w:color w:val="auto"/>
        </w:rPr>
        <w:t>Group Vice President</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spacing w:after="0"/>
        <w:rPr>
          <w:sz w:val="20"/>
          <w:szCs w:val="20"/>
          <w:color w:val="auto"/>
        </w:rPr>
      </w:pPr>
      <w:r>
        <w:rPr>
          <w:rFonts w:ascii="Arial" w:cs="Arial" w:eastAsia="Arial" w:hAnsi="Arial"/>
          <w:sz w:val="19"/>
          <w:szCs w:val="19"/>
          <w:color w:val="auto"/>
        </w:rPr>
        <w:t>By: ____________________________</w:t>
      </w:r>
    </w:p>
    <w:p>
      <w:pPr>
        <w:spacing w:after="0" w:line="703" w:lineRule="exact"/>
        <w:rPr>
          <w:sz w:val="20"/>
          <w:szCs w:val="20"/>
          <w:color w:val="auto"/>
        </w:rPr>
      </w:pPr>
    </w:p>
    <w:p>
      <w:pPr>
        <w:sectPr>
          <w:pgSz w:w="11900" w:h="16838" w:orient="portrait"/>
          <w:cols w:equalWidth="0" w:num="2">
            <w:col w:w="3380" w:space="80"/>
            <w:col w:w="7620"/>
          </w:cols>
          <w:pgMar w:left="320" w:top="334" w:right="499" w:bottom="1440" w:gutter="0" w:footer="0" w:header="0"/>
          <w:type w:val="continuous"/>
        </w:sectPr>
      </w:pPr>
    </w:p>
    <w:p>
      <w:pPr>
        <w:spacing w:after="0" w:line="49" w:lineRule="exact"/>
        <w:rPr>
          <w:sz w:val="20"/>
          <w:szCs w:val="20"/>
          <w:color w:val="auto"/>
        </w:rPr>
      </w:pPr>
    </w:p>
    <w:p>
      <w:pPr>
        <w:ind w:left="1520"/>
        <w:spacing w:after="0"/>
        <w:rPr>
          <w:sz w:val="20"/>
          <w:szCs w:val="20"/>
          <w:color w:val="auto"/>
        </w:rPr>
      </w:pPr>
      <w:r>
        <w:rPr>
          <w:rFonts w:ascii="Arial" w:cs="Arial" w:eastAsia="Arial" w:hAnsi="Arial"/>
          <w:sz w:val="19"/>
          <w:szCs w:val="19"/>
          <w:color w:val="auto"/>
        </w:rPr>
        <w:t>Date: __________________________</w:t>
      </w:r>
    </w:p>
    <w:p>
      <w:pPr>
        <w:sectPr>
          <w:pgSz w:w="11900" w:h="16838" w:orient="portrait"/>
          <w:cols w:equalWidth="0" w:num="1">
            <w:col w:w="11080"/>
          </w:cols>
          <w:pgMar w:left="320" w:top="334" w:right="499" w:bottom="1440" w:gutter="0" w:footer="0" w:header="0"/>
          <w:type w:val="continuous"/>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10.3</w:t>
      </w:r>
    </w:p>
    <w:p>
      <w:pPr>
        <w:spacing w:after="0" w:line="221"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M&amp;T BANK CORPORATION</w:t>
      </w:r>
    </w:p>
    <w:p>
      <w:pPr>
        <w:spacing w:after="0" w:line="192"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LEADERSHIP RETIREMENT SAVINGS PLAN</w:t>
      </w:r>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(January 1, 2020 Restatement)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486410</wp:posOffset>
            </wp:positionV>
            <wp:extent cx="714946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99" w:name="page100"/>
    <w:bookmarkEnd w:id="99"/>
    <w:p>
      <w:pPr>
        <w:jc w:val="center"/>
        <w:ind w:right="20"/>
        <w:spacing w:after="0"/>
        <w:rPr>
          <w:sz w:val="20"/>
          <w:szCs w:val="20"/>
          <w:color w:val="auto"/>
        </w:rPr>
      </w:pPr>
      <w:r>
        <w:rPr>
          <w:rFonts w:ascii="Arial" w:cs="Arial" w:eastAsia="Arial" w:hAnsi="Arial"/>
          <w:sz w:val="18"/>
          <w:szCs w:val="18"/>
          <w:color w:val="auto"/>
        </w:rPr>
        <w:t>Table of Contents</w:t>
      </w:r>
    </w:p>
    <w:p>
      <w:pPr>
        <w:spacing w:after="0" w:line="23" w:lineRule="exact"/>
        <w:rPr>
          <w:sz w:val="20"/>
          <w:szCs w:val="20"/>
          <w:color w:val="auto"/>
        </w:rPr>
      </w:pPr>
    </w:p>
    <w:p>
      <w:pPr>
        <w:ind w:left="10820"/>
        <w:spacing w:after="0"/>
        <w:rPr>
          <w:sz w:val="20"/>
          <w:szCs w:val="20"/>
          <w:color w:val="auto"/>
        </w:rPr>
      </w:pPr>
      <w:r>
        <w:rPr>
          <w:rFonts w:ascii="Arial" w:cs="Arial" w:eastAsia="Arial" w:hAnsi="Arial"/>
          <w:sz w:val="18"/>
          <w:szCs w:val="18"/>
          <w:b w:val="1"/>
          <w:bCs w:val="1"/>
          <w:color w:val="auto"/>
        </w:rPr>
        <w:t>Page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ARTICLE I HISTORY AND PURPOSE4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ARTICLE II DEFINITIONS5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ARTICLE III ELIGIBILITY AND PARTICIPATION7</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 w:type="dxa"/>
            <w:vAlign w:val="bottom"/>
          </w:tcPr>
          <w:p>
            <w:pPr>
              <w:jc w:val="right"/>
              <w:ind w:right="230"/>
              <w:spacing w:after="0"/>
              <w:rPr>
                <w:sz w:val="20"/>
                <w:szCs w:val="20"/>
                <w:color w:val="auto"/>
              </w:rPr>
            </w:pPr>
            <w:r>
              <w:rPr>
                <w:rFonts w:ascii="Arial" w:cs="Arial" w:eastAsia="Arial" w:hAnsi="Arial"/>
                <w:sz w:val="18"/>
                <w:szCs w:val="18"/>
                <w:color w:val="auto"/>
              </w:rPr>
              <w:t>3.1</w:t>
            </w:r>
          </w:p>
        </w:tc>
        <w:tc>
          <w:tcPr>
            <w:tcW w:w="2120" w:type="dxa"/>
            <w:vAlign w:val="bottom"/>
            <w:gridSpan w:val="2"/>
          </w:tcPr>
          <w:p>
            <w:pPr>
              <w:ind w:left="320"/>
              <w:spacing w:after="0"/>
              <w:rPr>
                <w:sz w:val="20"/>
                <w:szCs w:val="20"/>
                <w:color w:val="auto"/>
              </w:rPr>
            </w:pPr>
            <w:r>
              <w:rPr>
                <w:rFonts w:ascii="Arial" w:cs="Arial" w:eastAsia="Arial" w:hAnsi="Arial"/>
                <w:sz w:val="18"/>
                <w:szCs w:val="18"/>
                <w:color w:val="auto"/>
                <w:w w:val="98"/>
              </w:rPr>
              <w:t>Eligibility to Participate</w:t>
            </w:r>
          </w:p>
        </w:tc>
        <w:tc>
          <w:tcPr>
            <w:tcW w:w="740" w:type="dxa"/>
            <w:vAlign w:val="bottom"/>
          </w:tcPr>
          <w:p>
            <w:pPr>
              <w:jc w:val="right"/>
              <w:spacing w:after="0"/>
              <w:rPr>
                <w:sz w:val="20"/>
                <w:szCs w:val="20"/>
                <w:color w:val="auto"/>
              </w:rPr>
            </w:pPr>
            <w:r>
              <w:rPr>
                <w:rFonts w:ascii="Arial" w:cs="Arial" w:eastAsia="Arial" w:hAnsi="Arial"/>
                <w:sz w:val="18"/>
                <w:szCs w:val="18"/>
                <w:color w:val="auto"/>
              </w:rPr>
              <w:t>7</w:t>
            </w:r>
          </w:p>
        </w:tc>
        <w:tc>
          <w:tcPr>
            <w:tcW w:w="880" w:type="dxa"/>
            <w:vAlign w:val="bottom"/>
          </w:tcPr>
          <w:p>
            <w:pPr>
              <w:spacing w:after="0"/>
              <w:rPr>
                <w:sz w:val="17"/>
                <w:szCs w:val="17"/>
                <w:color w:val="auto"/>
              </w:rPr>
            </w:pPr>
          </w:p>
        </w:tc>
      </w:tr>
      <w:tr>
        <w:trPr>
          <w:trHeight w:val="216"/>
        </w:trPr>
        <w:tc>
          <w:tcPr>
            <w:tcW w:w="800" w:type="dxa"/>
            <w:vAlign w:val="bottom"/>
          </w:tcPr>
          <w:p>
            <w:pPr>
              <w:jc w:val="right"/>
              <w:ind w:right="230"/>
              <w:spacing w:after="0"/>
              <w:rPr>
                <w:sz w:val="20"/>
                <w:szCs w:val="20"/>
                <w:color w:val="auto"/>
              </w:rPr>
            </w:pPr>
            <w:r>
              <w:rPr>
                <w:rFonts w:ascii="Arial" w:cs="Arial" w:eastAsia="Arial" w:hAnsi="Arial"/>
                <w:sz w:val="18"/>
                <w:szCs w:val="18"/>
                <w:color w:val="auto"/>
              </w:rPr>
              <w:t>3.2</w:t>
            </w:r>
          </w:p>
        </w:tc>
        <w:tc>
          <w:tcPr>
            <w:tcW w:w="2120" w:type="dxa"/>
            <w:vAlign w:val="bottom"/>
            <w:gridSpan w:val="2"/>
          </w:tcPr>
          <w:p>
            <w:pPr>
              <w:ind w:left="320"/>
              <w:spacing w:after="0"/>
              <w:rPr>
                <w:sz w:val="20"/>
                <w:szCs w:val="20"/>
                <w:color w:val="auto"/>
              </w:rPr>
            </w:pPr>
            <w:r>
              <w:rPr>
                <w:rFonts w:ascii="Arial" w:cs="Arial" w:eastAsia="Arial" w:hAnsi="Arial"/>
                <w:sz w:val="18"/>
                <w:szCs w:val="18"/>
                <w:color w:val="auto"/>
              </w:rPr>
              <w:t>Deferral Elections</w:t>
            </w:r>
          </w:p>
        </w:tc>
        <w:tc>
          <w:tcPr>
            <w:tcW w:w="740" w:type="dxa"/>
            <w:vAlign w:val="bottom"/>
          </w:tcPr>
          <w:p>
            <w:pPr>
              <w:ind w:left="160"/>
              <w:spacing w:after="0"/>
              <w:rPr>
                <w:sz w:val="20"/>
                <w:szCs w:val="20"/>
                <w:color w:val="auto"/>
              </w:rPr>
            </w:pPr>
            <w:r>
              <w:rPr>
                <w:rFonts w:ascii="Arial" w:cs="Arial" w:eastAsia="Arial" w:hAnsi="Arial"/>
                <w:sz w:val="18"/>
                <w:szCs w:val="18"/>
                <w:color w:val="auto"/>
              </w:rPr>
              <w:t>7</w:t>
            </w:r>
          </w:p>
        </w:tc>
        <w:tc>
          <w:tcPr>
            <w:tcW w:w="880" w:type="dxa"/>
            <w:vAlign w:val="bottom"/>
          </w:tcPr>
          <w:p>
            <w:pPr>
              <w:spacing w:after="0"/>
              <w:rPr>
                <w:sz w:val="18"/>
                <w:szCs w:val="18"/>
                <w:color w:val="auto"/>
              </w:rPr>
            </w:pPr>
          </w:p>
        </w:tc>
      </w:tr>
      <w:tr>
        <w:trPr>
          <w:trHeight w:val="230"/>
        </w:trPr>
        <w:tc>
          <w:tcPr>
            <w:tcW w:w="800" w:type="dxa"/>
            <w:vAlign w:val="bottom"/>
          </w:tcPr>
          <w:p>
            <w:pPr>
              <w:jc w:val="right"/>
              <w:ind w:right="230"/>
              <w:spacing w:after="0"/>
              <w:rPr>
                <w:sz w:val="20"/>
                <w:szCs w:val="20"/>
                <w:color w:val="auto"/>
              </w:rPr>
            </w:pPr>
            <w:r>
              <w:rPr>
                <w:rFonts w:ascii="Arial" w:cs="Arial" w:eastAsia="Arial" w:hAnsi="Arial"/>
                <w:sz w:val="18"/>
                <w:szCs w:val="18"/>
                <w:color w:val="auto"/>
              </w:rPr>
              <w:t>3.3</w:t>
            </w:r>
          </w:p>
        </w:tc>
        <w:tc>
          <w:tcPr>
            <w:tcW w:w="2120" w:type="dxa"/>
            <w:vAlign w:val="bottom"/>
            <w:gridSpan w:val="2"/>
          </w:tcPr>
          <w:p>
            <w:pPr>
              <w:ind w:left="320"/>
              <w:spacing w:after="0"/>
              <w:rPr>
                <w:sz w:val="20"/>
                <w:szCs w:val="20"/>
                <w:color w:val="auto"/>
              </w:rPr>
            </w:pPr>
            <w:r>
              <w:rPr>
                <w:rFonts w:ascii="Arial" w:cs="Arial" w:eastAsia="Arial" w:hAnsi="Arial"/>
                <w:sz w:val="18"/>
                <w:szCs w:val="18"/>
                <w:color w:val="auto"/>
              </w:rPr>
              <w:t>Payment Elections</w:t>
            </w:r>
          </w:p>
        </w:tc>
        <w:tc>
          <w:tcPr>
            <w:tcW w:w="740" w:type="dxa"/>
            <w:vAlign w:val="bottom"/>
          </w:tcPr>
          <w:p>
            <w:pPr>
              <w:jc w:val="right"/>
              <w:ind w:right="370"/>
              <w:spacing w:after="0"/>
              <w:rPr>
                <w:sz w:val="20"/>
                <w:szCs w:val="20"/>
                <w:color w:val="auto"/>
              </w:rPr>
            </w:pPr>
            <w:r>
              <w:rPr>
                <w:rFonts w:ascii="Arial" w:cs="Arial" w:eastAsia="Arial" w:hAnsi="Arial"/>
                <w:sz w:val="18"/>
                <w:szCs w:val="18"/>
                <w:color w:val="auto"/>
              </w:rPr>
              <w:t>7</w:t>
            </w:r>
          </w:p>
        </w:tc>
        <w:tc>
          <w:tcPr>
            <w:tcW w:w="880" w:type="dxa"/>
            <w:vAlign w:val="bottom"/>
          </w:tcPr>
          <w:p>
            <w:pPr>
              <w:spacing w:after="0"/>
              <w:rPr>
                <w:sz w:val="20"/>
                <w:szCs w:val="20"/>
                <w:color w:val="auto"/>
              </w:rPr>
            </w:pPr>
          </w:p>
        </w:tc>
      </w:tr>
      <w:tr>
        <w:trPr>
          <w:trHeight w:val="417"/>
        </w:trPr>
        <w:tc>
          <w:tcPr>
            <w:tcW w:w="4540" w:type="dxa"/>
            <w:vAlign w:val="bottom"/>
            <w:gridSpan w:val="5"/>
          </w:tcPr>
          <w:p>
            <w:pPr>
              <w:jc w:val="right"/>
              <w:spacing w:after="0"/>
              <w:rPr>
                <w:sz w:val="20"/>
                <w:szCs w:val="20"/>
                <w:color w:val="auto"/>
              </w:rPr>
            </w:pPr>
            <w:r>
              <w:rPr>
                <w:rFonts w:ascii="Arial" w:cs="Arial" w:eastAsia="Arial" w:hAnsi="Arial"/>
                <w:sz w:val="18"/>
                <w:szCs w:val="18"/>
                <w:color w:val="auto"/>
                <w:w w:val="96"/>
              </w:rPr>
              <w:t>ARTICLE IV CREDITS TO PLAN ACCOUNTS; VESTING9</w:t>
            </w:r>
          </w:p>
        </w:tc>
      </w:tr>
      <w:tr>
        <w:trPr>
          <w:trHeight w:val="216"/>
        </w:trPr>
        <w:tc>
          <w:tcPr>
            <w:tcW w:w="800" w:type="dxa"/>
            <w:vAlign w:val="bottom"/>
          </w:tcPr>
          <w:p>
            <w:pPr>
              <w:jc w:val="right"/>
              <w:ind w:right="230"/>
              <w:spacing w:after="0"/>
              <w:rPr>
                <w:sz w:val="20"/>
                <w:szCs w:val="20"/>
                <w:color w:val="auto"/>
              </w:rPr>
            </w:pPr>
            <w:r>
              <w:rPr>
                <w:rFonts w:ascii="Arial" w:cs="Arial" w:eastAsia="Arial" w:hAnsi="Arial"/>
                <w:sz w:val="18"/>
                <w:szCs w:val="18"/>
                <w:color w:val="auto"/>
              </w:rPr>
              <w:t>4.1</w:t>
            </w:r>
          </w:p>
        </w:tc>
        <w:tc>
          <w:tcPr>
            <w:tcW w:w="2120" w:type="dxa"/>
            <w:vAlign w:val="bottom"/>
            <w:gridSpan w:val="2"/>
          </w:tcPr>
          <w:p>
            <w:pPr>
              <w:ind w:left="320"/>
              <w:spacing w:after="0"/>
              <w:rPr>
                <w:sz w:val="20"/>
                <w:szCs w:val="20"/>
                <w:color w:val="auto"/>
              </w:rPr>
            </w:pPr>
            <w:r>
              <w:rPr>
                <w:rFonts w:ascii="Arial" w:cs="Arial" w:eastAsia="Arial" w:hAnsi="Arial"/>
                <w:sz w:val="18"/>
                <w:szCs w:val="18"/>
                <w:color w:val="auto"/>
              </w:rPr>
              <w:t>Matching Credit</w:t>
            </w:r>
          </w:p>
        </w:tc>
        <w:tc>
          <w:tcPr>
            <w:tcW w:w="740" w:type="dxa"/>
            <w:vAlign w:val="bottom"/>
          </w:tcPr>
          <w:p>
            <w:pPr>
              <w:jc w:val="right"/>
              <w:ind w:right="490"/>
              <w:spacing w:after="0"/>
              <w:rPr>
                <w:sz w:val="20"/>
                <w:szCs w:val="20"/>
                <w:color w:val="auto"/>
              </w:rPr>
            </w:pPr>
            <w:r>
              <w:rPr>
                <w:rFonts w:ascii="Arial" w:cs="Arial" w:eastAsia="Arial" w:hAnsi="Arial"/>
                <w:sz w:val="18"/>
                <w:szCs w:val="18"/>
                <w:color w:val="auto"/>
              </w:rPr>
              <w:t>9</w:t>
            </w:r>
          </w:p>
        </w:tc>
        <w:tc>
          <w:tcPr>
            <w:tcW w:w="880" w:type="dxa"/>
            <w:vAlign w:val="bottom"/>
          </w:tcPr>
          <w:p>
            <w:pPr>
              <w:spacing w:after="0"/>
              <w:rPr>
                <w:sz w:val="18"/>
                <w:szCs w:val="18"/>
                <w:color w:val="auto"/>
              </w:rPr>
            </w:pPr>
          </w:p>
        </w:tc>
      </w:tr>
      <w:tr>
        <w:trPr>
          <w:trHeight w:val="216"/>
        </w:trPr>
        <w:tc>
          <w:tcPr>
            <w:tcW w:w="800" w:type="dxa"/>
            <w:vAlign w:val="bottom"/>
          </w:tcPr>
          <w:p>
            <w:pPr>
              <w:jc w:val="right"/>
              <w:ind w:right="230"/>
              <w:spacing w:after="0"/>
              <w:rPr>
                <w:sz w:val="20"/>
                <w:szCs w:val="20"/>
                <w:color w:val="auto"/>
              </w:rPr>
            </w:pPr>
            <w:r>
              <w:rPr>
                <w:rFonts w:ascii="Arial" w:cs="Arial" w:eastAsia="Arial" w:hAnsi="Arial"/>
                <w:sz w:val="18"/>
                <w:szCs w:val="18"/>
                <w:color w:val="auto"/>
              </w:rPr>
              <w:t>4.2</w:t>
            </w:r>
          </w:p>
        </w:tc>
        <w:tc>
          <w:tcPr>
            <w:tcW w:w="2860" w:type="dxa"/>
            <w:vAlign w:val="bottom"/>
            <w:gridSpan w:val="3"/>
          </w:tcPr>
          <w:p>
            <w:pPr>
              <w:ind w:left="320"/>
              <w:spacing w:after="0"/>
              <w:rPr>
                <w:sz w:val="20"/>
                <w:szCs w:val="20"/>
                <w:color w:val="auto"/>
              </w:rPr>
            </w:pPr>
            <w:r>
              <w:rPr>
                <w:rFonts w:ascii="Arial" w:cs="Arial" w:eastAsia="Arial" w:hAnsi="Arial"/>
                <w:sz w:val="18"/>
                <w:szCs w:val="18"/>
                <w:color w:val="auto"/>
                <w:w w:val="99"/>
              </w:rPr>
              <w:t>Retirement Accumulation Credit</w:t>
            </w: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9</w:t>
            </w:r>
          </w:p>
        </w:tc>
      </w:tr>
      <w:tr>
        <w:trPr>
          <w:trHeight w:val="216"/>
        </w:trPr>
        <w:tc>
          <w:tcPr>
            <w:tcW w:w="800" w:type="dxa"/>
            <w:vAlign w:val="bottom"/>
          </w:tcPr>
          <w:p>
            <w:pPr>
              <w:jc w:val="right"/>
              <w:ind w:right="230"/>
              <w:spacing w:after="0"/>
              <w:rPr>
                <w:sz w:val="20"/>
                <w:szCs w:val="20"/>
                <w:color w:val="auto"/>
              </w:rPr>
            </w:pPr>
            <w:r>
              <w:rPr>
                <w:rFonts w:ascii="Arial" w:cs="Arial" w:eastAsia="Arial" w:hAnsi="Arial"/>
                <w:sz w:val="18"/>
                <w:szCs w:val="18"/>
                <w:color w:val="auto"/>
              </w:rPr>
              <w:t>4.3</w:t>
            </w:r>
          </w:p>
        </w:tc>
        <w:tc>
          <w:tcPr>
            <w:tcW w:w="2120" w:type="dxa"/>
            <w:vAlign w:val="bottom"/>
            <w:gridSpan w:val="2"/>
          </w:tcPr>
          <w:p>
            <w:pPr>
              <w:ind w:left="320"/>
              <w:spacing w:after="0"/>
              <w:rPr>
                <w:sz w:val="20"/>
                <w:szCs w:val="20"/>
                <w:color w:val="auto"/>
              </w:rPr>
            </w:pPr>
            <w:r>
              <w:rPr>
                <w:rFonts w:ascii="Arial" w:cs="Arial" w:eastAsia="Arial" w:hAnsi="Arial"/>
                <w:sz w:val="18"/>
                <w:szCs w:val="18"/>
                <w:color w:val="auto"/>
              </w:rPr>
              <w:t>Discretionary Credit</w:t>
            </w:r>
          </w:p>
        </w:tc>
        <w:tc>
          <w:tcPr>
            <w:tcW w:w="740" w:type="dxa"/>
            <w:vAlign w:val="bottom"/>
          </w:tcPr>
          <w:p>
            <w:pPr>
              <w:jc w:val="right"/>
              <w:ind w:right="150"/>
              <w:spacing w:after="0"/>
              <w:rPr>
                <w:sz w:val="20"/>
                <w:szCs w:val="20"/>
                <w:color w:val="auto"/>
              </w:rPr>
            </w:pPr>
            <w:r>
              <w:rPr>
                <w:rFonts w:ascii="Arial" w:cs="Arial" w:eastAsia="Arial" w:hAnsi="Arial"/>
                <w:sz w:val="18"/>
                <w:szCs w:val="18"/>
                <w:color w:val="auto"/>
              </w:rPr>
              <w:t>10</w:t>
            </w:r>
          </w:p>
        </w:tc>
        <w:tc>
          <w:tcPr>
            <w:tcW w:w="880" w:type="dxa"/>
            <w:vAlign w:val="bottom"/>
          </w:tcPr>
          <w:p>
            <w:pPr>
              <w:spacing w:after="0"/>
              <w:rPr>
                <w:sz w:val="18"/>
                <w:szCs w:val="18"/>
                <w:color w:val="auto"/>
              </w:rPr>
            </w:pPr>
          </w:p>
        </w:tc>
      </w:tr>
      <w:tr>
        <w:trPr>
          <w:trHeight w:val="216"/>
        </w:trPr>
        <w:tc>
          <w:tcPr>
            <w:tcW w:w="800" w:type="dxa"/>
            <w:vAlign w:val="bottom"/>
          </w:tcPr>
          <w:p>
            <w:pPr>
              <w:jc w:val="right"/>
              <w:ind w:right="230"/>
              <w:spacing w:after="0"/>
              <w:rPr>
                <w:sz w:val="20"/>
                <w:szCs w:val="20"/>
                <w:color w:val="auto"/>
              </w:rPr>
            </w:pPr>
            <w:r>
              <w:rPr>
                <w:rFonts w:ascii="Arial" w:cs="Arial" w:eastAsia="Arial" w:hAnsi="Arial"/>
                <w:sz w:val="18"/>
                <w:szCs w:val="18"/>
                <w:color w:val="auto"/>
              </w:rPr>
              <w:t>4.4</w:t>
            </w:r>
          </w:p>
        </w:tc>
        <w:tc>
          <w:tcPr>
            <w:tcW w:w="2120" w:type="dxa"/>
            <w:vAlign w:val="bottom"/>
            <w:gridSpan w:val="2"/>
          </w:tcPr>
          <w:p>
            <w:pPr>
              <w:ind w:left="320"/>
              <w:spacing w:after="0"/>
              <w:rPr>
                <w:sz w:val="20"/>
                <w:szCs w:val="20"/>
                <w:color w:val="auto"/>
              </w:rPr>
            </w:pPr>
            <w:r>
              <w:rPr>
                <w:rFonts w:ascii="Arial" w:cs="Arial" w:eastAsia="Arial" w:hAnsi="Arial"/>
                <w:sz w:val="18"/>
                <w:szCs w:val="18"/>
                <w:color w:val="auto"/>
              </w:rPr>
              <w:t>Elective Deferrals</w:t>
            </w:r>
          </w:p>
        </w:tc>
        <w:tc>
          <w:tcPr>
            <w:tcW w:w="740" w:type="dxa"/>
            <w:vAlign w:val="bottom"/>
          </w:tcPr>
          <w:p>
            <w:pPr>
              <w:ind w:left="140"/>
              <w:spacing w:after="0"/>
              <w:rPr>
                <w:sz w:val="20"/>
                <w:szCs w:val="20"/>
                <w:color w:val="auto"/>
              </w:rPr>
            </w:pPr>
            <w:r>
              <w:rPr>
                <w:rFonts w:ascii="Arial" w:cs="Arial" w:eastAsia="Arial" w:hAnsi="Arial"/>
                <w:sz w:val="18"/>
                <w:szCs w:val="18"/>
                <w:color w:val="auto"/>
              </w:rPr>
              <w:t>10</w:t>
            </w:r>
          </w:p>
        </w:tc>
        <w:tc>
          <w:tcPr>
            <w:tcW w:w="880" w:type="dxa"/>
            <w:vAlign w:val="bottom"/>
          </w:tcPr>
          <w:p>
            <w:pPr>
              <w:spacing w:after="0"/>
              <w:rPr>
                <w:sz w:val="18"/>
                <w:szCs w:val="18"/>
                <w:color w:val="auto"/>
              </w:rPr>
            </w:pPr>
          </w:p>
        </w:tc>
      </w:tr>
      <w:tr>
        <w:trPr>
          <w:trHeight w:val="216"/>
        </w:trPr>
        <w:tc>
          <w:tcPr>
            <w:tcW w:w="800" w:type="dxa"/>
            <w:vAlign w:val="bottom"/>
          </w:tcPr>
          <w:p>
            <w:pPr>
              <w:jc w:val="right"/>
              <w:ind w:right="230"/>
              <w:spacing w:after="0"/>
              <w:rPr>
                <w:sz w:val="20"/>
                <w:szCs w:val="20"/>
                <w:color w:val="auto"/>
              </w:rPr>
            </w:pPr>
            <w:r>
              <w:rPr>
                <w:rFonts w:ascii="Arial" w:cs="Arial" w:eastAsia="Arial" w:hAnsi="Arial"/>
                <w:sz w:val="18"/>
                <w:szCs w:val="18"/>
                <w:color w:val="auto"/>
              </w:rPr>
              <w:t>4.5</w:t>
            </w:r>
          </w:p>
        </w:tc>
        <w:tc>
          <w:tcPr>
            <w:tcW w:w="2860" w:type="dxa"/>
            <w:vAlign w:val="bottom"/>
            <w:gridSpan w:val="3"/>
          </w:tcPr>
          <w:p>
            <w:pPr>
              <w:ind w:left="320"/>
              <w:spacing w:after="0"/>
              <w:rPr>
                <w:sz w:val="20"/>
                <w:szCs w:val="20"/>
                <w:color w:val="auto"/>
              </w:rPr>
            </w:pPr>
            <w:r>
              <w:rPr>
                <w:rFonts w:ascii="Arial" w:cs="Arial" w:eastAsia="Arial" w:hAnsi="Arial"/>
                <w:sz w:val="18"/>
                <w:szCs w:val="18"/>
                <w:color w:val="auto"/>
              </w:rPr>
              <w:t>No Duplication of Benefits</w:t>
            </w:r>
          </w:p>
        </w:tc>
        <w:tc>
          <w:tcPr>
            <w:tcW w:w="880" w:type="dxa"/>
            <w:vAlign w:val="bottom"/>
          </w:tcPr>
          <w:p>
            <w:pPr>
              <w:jc w:val="right"/>
              <w:ind w:right="550"/>
              <w:spacing w:after="0"/>
              <w:rPr>
                <w:sz w:val="20"/>
                <w:szCs w:val="20"/>
                <w:color w:val="auto"/>
              </w:rPr>
            </w:pPr>
            <w:r>
              <w:rPr>
                <w:rFonts w:ascii="Arial" w:cs="Arial" w:eastAsia="Arial" w:hAnsi="Arial"/>
                <w:sz w:val="18"/>
                <w:szCs w:val="18"/>
                <w:color w:val="auto"/>
              </w:rPr>
              <w:t>10</w:t>
            </w:r>
          </w:p>
        </w:tc>
      </w:tr>
      <w:tr>
        <w:trPr>
          <w:trHeight w:val="230"/>
        </w:trPr>
        <w:tc>
          <w:tcPr>
            <w:tcW w:w="800" w:type="dxa"/>
            <w:vAlign w:val="bottom"/>
          </w:tcPr>
          <w:p>
            <w:pPr>
              <w:jc w:val="right"/>
              <w:ind w:right="230"/>
              <w:spacing w:after="0"/>
              <w:rPr>
                <w:sz w:val="20"/>
                <w:szCs w:val="20"/>
                <w:color w:val="auto"/>
              </w:rPr>
            </w:pPr>
            <w:r>
              <w:rPr>
                <w:rFonts w:ascii="Arial" w:cs="Arial" w:eastAsia="Arial" w:hAnsi="Arial"/>
                <w:sz w:val="18"/>
                <w:szCs w:val="18"/>
                <w:color w:val="auto"/>
              </w:rPr>
              <w:t>4.6</w:t>
            </w:r>
          </w:p>
        </w:tc>
        <w:tc>
          <w:tcPr>
            <w:tcW w:w="1180" w:type="dxa"/>
            <w:vAlign w:val="bottom"/>
          </w:tcPr>
          <w:p>
            <w:pPr>
              <w:ind w:left="320"/>
              <w:spacing w:after="0"/>
              <w:rPr>
                <w:sz w:val="20"/>
                <w:szCs w:val="20"/>
                <w:color w:val="auto"/>
              </w:rPr>
            </w:pPr>
            <w:r>
              <w:rPr>
                <w:rFonts w:ascii="Arial" w:cs="Arial" w:eastAsia="Arial" w:hAnsi="Arial"/>
                <w:sz w:val="18"/>
                <w:szCs w:val="18"/>
                <w:color w:val="auto"/>
              </w:rPr>
              <w:t>Vesting</w:t>
            </w:r>
          </w:p>
        </w:tc>
        <w:tc>
          <w:tcPr>
            <w:tcW w:w="940" w:type="dxa"/>
            <w:vAlign w:val="bottom"/>
          </w:tcPr>
          <w:p>
            <w:pPr>
              <w:jc w:val="right"/>
              <w:ind w:right="350"/>
              <w:spacing w:after="0"/>
              <w:rPr>
                <w:sz w:val="20"/>
                <w:szCs w:val="20"/>
                <w:color w:val="auto"/>
              </w:rPr>
            </w:pPr>
            <w:r>
              <w:rPr>
                <w:rFonts w:ascii="Arial" w:cs="Arial" w:eastAsia="Arial" w:hAnsi="Arial"/>
                <w:sz w:val="18"/>
                <w:szCs w:val="18"/>
                <w:color w:val="auto"/>
              </w:rPr>
              <w:t>10</w:t>
            </w:r>
          </w:p>
        </w:tc>
        <w:tc>
          <w:tcPr>
            <w:tcW w:w="740" w:type="dxa"/>
            <w:vAlign w:val="bottom"/>
          </w:tcPr>
          <w:p>
            <w:pPr>
              <w:spacing w:after="0"/>
              <w:rPr>
                <w:sz w:val="20"/>
                <w:szCs w:val="20"/>
                <w:color w:val="auto"/>
              </w:rPr>
            </w:pPr>
          </w:p>
        </w:tc>
        <w:tc>
          <w:tcPr>
            <w:tcW w:w="880" w:type="dxa"/>
            <w:vAlign w:val="bottom"/>
          </w:tcPr>
          <w:p>
            <w:pPr>
              <w:spacing w:after="0"/>
              <w:rPr>
                <w:sz w:val="20"/>
                <w:szCs w:val="20"/>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ARTICLE V INDIVIDUAL ACCOUNTS, INVESTMENTS AND VALUATIONS12</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0" w:type="dxa"/>
            <w:vAlign w:val="bottom"/>
          </w:tcPr>
          <w:p>
            <w:pPr>
              <w:ind w:left="240"/>
              <w:spacing w:after="0"/>
              <w:rPr>
                <w:sz w:val="20"/>
                <w:szCs w:val="20"/>
                <w:color w:val="auto"/>
              </w:rPr>
            </w:pPr>
            <w:r>
              <w:rPr>
                <w:rFonts w:ascii="Arial" w:cs="Arial" w:eastAsia="Arial" w:hAnsi="Arial"/>
                <w:sz w:val="18"/>
                <w:szCs w:val="18"/>
                <w:color w:val="auto"/>
              </w:rPr>
              <w:t>5.1</w:t>
            </w:r>
          </w:p>
        </w:tc>
        <w:tc>
          <w:tcPr>
            <w:tcW w:w="1480" w:type="dxa"/>
            <w:vAlign w:val="bottom"/>
          </w:tcPr>
          <w:p>
            <w:pPr>
              <w:ind w:left="280"/>
              <w:spacing w:after="0"/>
              <w:rPr>
                <w:sz w:val="20"/>
                <w:szCs w:val="20"/>
                <w:color w:val="auto"/>
              </w:rPr>
            </w:pPr>
            <w:r>
              <w:rPr>
                <w:rFonts w:ascii="Arial" w:cs="Arial" w:eastAsia="Arial" w:hAnsi="Arial"/>
                <w:sz w:val="18"/>
                <w:szCs w:val="18"/>
                <w:color w:val="auto"/>
              </w:rPr>
              <w:t>Accounts</w:t>
            </w:r>
          </w:p>
        </w:tc>
        <w:tc>
          <w:tcPr>
            <w:tcW w:w="520" w:type="dxa"/>
            <w:vAlign w:val="bottom"/>
          </w:tcPr>
          <w:p>
            <w:pPr>
              <w:jc w:val="right"/>
              <w:ind w:right="130"/>
              <w:spacing w:after="0"/>
              <w:rPr>
                <w:sz w:val="20"/>
                <w:szCs w:val="20"/>
                <w:color w:val="auto"/>
              </w:rPr>
            </w:pPr>
            <w:r>
              <w:rPr>
                <w:rFonts w:ascii="Arial" w:cs="Arial" w:eastAsia="Arial" w:hAnsi="Arial"/>
                <w:sz w:val="18"/>
                <w:szCs w:val="18"/>
                <w:color w:val="auto"/>
              </w:rPr>
              <w:t>12</w:t>
            </w:r>
          </w:p>
        </w:tc>
        <w:tc>
          <w:tcPr>
            <w:tcW w:w="8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00" w:type="dxa"/>
            <w:vAlign w:val="bottom"/>
          </w:tcPr>
          <w:p>
            <w:pPr>
              <w:spacing w:after="0"/>
              <w:rPr>
                <w:sz w:val="17"/>
                <w:szCs w:val="17"/>
                <w:color w:val="auto"/>
              </w:rPr>
            </w:pPr>
          </w:p>
        </w:tc>
      </w:tr>
      <w:tr>
        <w:trPr>
          <w:trHeight w:val="216"/>
        </w:trPr>
        <w:tc>
          <w:tcPr>
            <w:tcW w:w="840" w:type="dxa"/>
            <w:vAlign w:val="bottom"/>
          </w:tcPr>
          <w:p>
            <w:pPr>
              <w:ind w:left="240"/>
              <w:spacing w:after="0"/>
              <w:rPr>
                <w:sz w:val="20"/>
                <w:szCs w:val="20"/>
                <w:color w:val="auto"/>
              </w:rPr>
            </w:pPr>
            <w:r>
              <w:rPr>
                <w:rFonts w:ascii="Arial" w:cs="Arial" w:eastAsia="Arial" w:hAnsi="Arial"/>
                <w:sz w:val="18"/>
                <w:szCs w:val="18"/>
                <w:color w:val="auto"/>
              </w:rPr>
              <w:t>5.2</w:t>
            </w:r>
          </w:p>
        </w:tc>
        <w:tc>
          <w:tcPr>
            <w:tcW w:w="2000" w:type="dxa"/>
            <w:vAlign w:val="bottom"/>
            <w:gridSpan w:val="2"/>
          </w:tcPr>
          <w:p>
            <w:pPr>
              <w:ind w:left="280"/>
              <w:spacing w:after="0"/>
              <w:rPr>
                <w:sz w:val="20"/>
                <w:szCs w:val="20"/>
                <w:color w:val="auto"/>
              </w:rPr>
            </w:pPr>
            <w:r>
              <w:rPr>
                <w:rFonts w:ascii="Arial" w:cs="Arial" w:eastAsia="Arial" w:hAnsi="Arial"/>
                <w:sz w:val="18"/>
                <w:szCs w:val="18"/>
                <w:color w:val="auto"/>
              </w:rPr>
              <w:t>Investment Elections</w:t>
            </w: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12</w:t>
            </w: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0" w:type="dxa"/>
            <w:vAlign w:val="bottom"/>
          </w:tcPr>
          <w:p>
            <w:pPr>
              <w:spacing w:after="0"/>
              <w:rPr>
                <w:sz w:val="18"/>
                <w:szCs w:val="18"/>
                <w:color w:val="auto"/>
              </w:rPr>
            </w:pPr>
          </w:p>
        </w:tc>
      </w:tr>
      <w:tr>
        <w:trPr>
          <w:trHeight w:val="216"/>
        </w:trPr>
        <w:tc>
          <w:tcPr>
            <w:tcW w:w="840" w:type="dxa"/>
            <w:vAlign w:val="bottom"/>
          </w:tcPr>
          <w:p>
            <w:pPr>
              <w:ind w:left="240"/>
              <w:spacing w:after="0"/>
              <w:rPr>
                <w:sz w:val="20"/>
                <w:szCs w:val="20"/>
                <w:color w:val="auto"/>
              </w:rPr>
            </w:pPr>
            <w:r>
              <w:rPr>
                <w:rFonts w:ascii="Arial" w:cs="Arial" w:eastAsia="Arial" w:hAnsi="Arial"/>
                <w:sz w:val="18"/>
                <w:szCs w:val="18"/>
                <w:color w:val="auto"/>
              </w:rPr>
              <w:t>5.3</w:t>
            </w:r>
          </w:p>
        </w:tc>
        <w:tc>
          <w:tcPr>
            <w:tcW w:w="2860" w:type="dxa"/>
            <w:vAlign w:val="bottom"/>
            <w:gridSpan w:val="3"/>
          </w:tcPr>
          <w:p>
            <w:pPr>
              <w:ind w:left="280"/>
              <w:spacing w:after="0"/>
              <w:rPr>
                <w:sz w:val="20"/>
                <w:szCs w:val="20"/>
                <w:color w:val="auto"/>
              </w:rPr>
            </w:pPr>
            <w:r>
              <w:rPr>
                <w:rFonts w:ascii="Arial" w:cs="Arial" w:eastAsia="Arial" w:hAnsi="Arial"/>
                <w:sz w:val="18"/>
                <w:szCs w:val="18"/>
                <w:color w:val="auto"/>
              </w:rPr>
              <w:t>Reallocation of Investments</w:t>
            </w:r>
          </w:p>
        </w:tc>
        <w:tc>
          <w:tcPr>
            <w:tcW w:w="700" w:type="dxa"/>
            <w:vAlign w:val="bottom"/>
          </w:tcPr>
          <w:p>
            <w:pPr>
              <w:jc w:val="right"/>
              <w:ind w:right="350"/>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0" w:type="dxa"/>
            <w:vAlign w:val="bottom"/>
          </w:tcPr>
          <w:p>
            <w:pPr>
              <w:spacing w:after="0"/>
              <w:rPr>
                <w:sz w:val="18"/>
                <w:szCs w:val="18"/>
                <w:color w:val="auto"/>
              </w:rPr>
            </w:pPr>
          </w:p>
        </w:tc>
      </w:tr>
      <w:tr>
        <w:trPr>
          <w:trHeight w:val="230"/>
        </w:trPr>
        <w:tc>
          <w:tcPr>
            <w:tcW w:w="840" w:type="dxa"/>
            <w:vAlign w:val="bottom"/>
          </w:tcPr>
          <w:p>
            <w:pPr>
              <w:ind w:left="240"/>
              <w:spacing w:after="0"/>
              <w:rPr>
                <w:sz w:val="20"/>
                <w:szCs w:val="20"/>
                <w:color w:val="auto"/>
              </w:rPr>
            </w:pPr>
            <w:r>
              <w:rPr>
                <w:rFonts w:ascii="Arial" w:cs="Arial" w:eastAsia="Arial" w:hAnsi="Arial"/>
                <w:sz w:val="18"/>
                <w:szCs w:val="18"/>
                <w:color w:val="auto"/>
              </w:rPr>
              <w:t>5.4</w:t>
            </w:r>
          </w:p>
        </w:tc>
        <w:tc>
          <w:tcPr>
            <w:tcW w:w="2000" w:type="dxa"/>
            <w:vAlign w:val="bottom"/>
            <w:gridSpan w:val="2"/>
          </w:tcPr>
          <w:p>
            <w:pPr>
              <w:ind w:left="280"/>
              <w:spacing w:after="0"/>
              <w:rPr>
                <w:sz w:val="20"/>
                <w:szCs w:val="20"/>
                <w:color w:val="auto"/>
              </w:rPr>
            </w:pPr>
            <w:r>
              <w:rPr>
                <w:rFonts w:ascii="Arial" w:cs="Arial" w:eastAsia="Arial" w:hAnsi="Arial"/>
                <w:sz w:val="18"/>
                <w:szCs w:val="18"/>
                <w:color w:val="auto"/>
              </w:rPr>
              <w:t>Investment Returns</w:t>
            </w:r>
          </w:p>
        </w:tc>
        <w:tc>
          <w:tcPr>
            <w:tcW w:w="860" w:type="dxa"/>
            <w:vAlign w:val="bottom"/>
          </w:tcPr>
          <w:p>
            <w:pPr>
              <w:jc w:val="right"/>
              <w:ind w:right="270"/>
              <w:spacing w:after="0"/>
              <w:rPr>
                <w:sz w:val="20"/>
                <w:szCs w:val="20"/>
                <w:color w:val="auto"/>
              </w:rPr>
            </w:pPr>
            <w:r>
              <w:rPr>
                <w:rFonts w:ascii="Arial" w:cs="Arial" w:eastAsia="Arial" w:hAnsi="Arial"/>
                <w:sz w:val="18"/>
                <w:szCs w:val="18"/>
                <w:color w:val="auto"/>
              </w:rPr>
              <w:t>12</w:t>
            </w: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0" w:type="dxa"/>
            <w:vAlign w:val="bottom"/>
          </w:tcPr>
          <w:p>
            <w:pPr>
              <w:spacing w:after="0"/>
              <w:rPr>
                <w:sz w:val="20"/>
                <w:szCs w:val="20"/>
                <w:color w:val="auto"/>
              </w:rPr>
            </w:pPr>
          </w:p>
        </w:tc>
      </w:tr>
      <w:tr>
        <w:trPr>
          <w:trHeight w:val="417"/>
        </w:trPr>
        <w:tc>
          <w:tcPr>
            <w:tcW w:w="3700" w:type="dxa"/>
            <w:vAlign w:val="bottom"/>
            <w:gridSpan w:val="4"/>
          </w:tcPr>
          <w:p>
            <w:pPr>
              <w:spacing w:after="0"/>
              <w:rPr>
                <w:sz w:val="20"/>
                <w:szCs w:val="20"/>
                <w:color w:val="auto"/>
              </w:rPr>
            </w:pPr>
            <w:r>
              <w:rPr>
                <w:rFonts w:ascii="Arial" w:cs="Arial" w:eastAsia="Arial" w:hAnsi="Arial"/>
                <w:sz w:val="18"/>
                <w:szCs w:val="18"/>
                <w:color w:val="auto"/>
              </w:rPr>
              <w:t>ARTICLE VI PAYMENT OF BENEFITS13</w:t>
            </w: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0" w:type="dxa"/>
            <w:vAlign w:val="bottom"/>
          </w:tcPr>
          <w:p>
            <w:pPr>
              <w:spacing w:after="0"/>
              <w:rPr>
                <w:sz w:val="24"/>
                <w:szCs w:val="24"/>
                <w:color w:val="auto"/>
              </w:rPr>
            </w:pPr>
          </w:p>
        </w:tc>
      </w:tr>
      <w:tr>
        <w:trPr>
          <w:trHeight w:val="216"/>
        </w:trPr>
        <w:tc>
          <w:tcPr>
            <w:tcW w:w="840" w:type="dxa"/>
            <w:vAlign w:val="bottom"/>
          </w:tcPr>
          <w:p>
            <w:pPr>
              <w:ind w:left="240"/>
              <w:spacing w:after="0"/>
              <w:rPr>
                <w:sz w:val="20"/>
                <w:szCs w:val="20"/>
                <w:color w:val="auto"/>
              </w:rPr>
            </w:pPr>
            <w:r>
              <w:rPr>
                <w:rFonts w:ascii="Arial" w:cs="Arial" w:eastAsia="Arial" w:hAnsi="Arial"/>
                <w:sz w:val="18"/>
                <w:szCs w:val="18"/>
                <w:color w:val="auto"/>
              </w:rPr>
              <w:t>6.1</w:t>
            </w:r>
          </w:p>
        </w:tc>
        <w:tc>
          <w:tcPr>
            <w:tcW w:w="2860" w:type="dxa"/>
            <w:vAlign w:val="bottom"/>
            <w:gridSpan w:val="3"/>
          </w:tcPr>
          <w:p>
            <w:pPr>
              <w:ind w:left="280"/>
              <w:spacing w:after="0"/>
              <w:rPr>
                <w:sz w:val="20"/>
                <w:szCs w:val="20"/>
                <w:color w:val="auto"/>
              </w:rPr>
            </w:pPr>
            <w:r>
              <w:rPr>
                <w:rFonts w:ascii="Arial" w:cs="Arial" w:eastAsia="Arial" w:hAnsi="Arial"/>
                <w:sz w:val="18"/>
                <w:szCs w:val="18"/>
                <w:color w:val="auto"/>
              </w:rPr>
              <w:t>Commencement of Benefits</w:t>
            </w:r>
          </w:p>
        </w:tc>
        <w:tc>
          <w:tcPr>
            <w:tcW w:w="700" w:type="dxa"/>
            <w:vAlign w:val="bottom"/>
          </w:tcPr>
          <w:p>
            <w:pPr>
              <w:jc w:val="right"/>
              <w:ind w:right="350"/>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0" w:type="dxa"/>
            <w:vAlign w:val="bottom"/>
          </w:tcPr>
          <w:p>
            <w:pPr>
              <w:spacing w:after="0"/>
              <w:rPr>
                <w:sz w:val="18"/>
                <w:szCs w:val="18"/>
                <w:color w:val="auto"/>
              </w:rPr>
            </w:pPr>
          </w:p>
        </w:tc>
      </w:tr>
      <w:tr>
        <w:trPr>
          <w:trHeight w:val="216"/>
        </w:trPr>
        <w:tc>
          <w:tcPr>
            <w:tcW w:w="840" w:type="dxa"/>
            <w:vAlign w:val="bottom"/>
          </w:tcPr>
          <w:p>
            <w:pPr>
              <w:ind w:left="240"/>
              <w:spacing w:after="0"/>
              <w:rPr>
                <w:sz w:val="20"/>
                <w:szCs w:val="20"/>
                <w:color w:val="auto"/>
              </w:rPr>
            </w:pPr>
            <w:r>
              <w:rPr>
                <w:rFonts w:ascii="Arial" w:cs="Arial" w:eastAsia="Arial" w:hAnsi="Arial"/>
                <w:sz w:val="18"/>
                <w:szCs w:val="18"/>
                <w:color w:val="auto"/>
              </w:rPr>
              <w:t>6.2</w:t>
            </w:r>
          </w:p>
        </w:tc>
        <w:tc>
          <w:tcPr>
            <w:tcW w:w="3860" w:type="dxa"/>
            <w:vAlign w:val="bottom"/>
            <w:gridSpan w:val="5"/>
          </w:tcPr>
          <w:p>
            <w:pPr>
              <w:ind w:left="280"/>
              <w:spacing w:after="0"/>
              <w:rPr>
                <w:sz w:val="20"/>
                <w:szCs w:val="20"/>
                <w:color w:val="auto"/>
              </w:rPr>
            </w:pPr>
            <w:r>
              <w:rPr>
                <w:rFonts w:ascii="Arial" w:cs="Arial" w:eastAsia="Arial" w:hAnsi="Arial"/>
                <w:sz w:val="18"/>
                <w:szCs w:val="18"/>
                <w:color w:val="auto"/>
                <w:w w:val="91"/>
              </w:rPr>
              <w:t>Payment on Account of Separation From Service</w:t>
            </w:r>
          </w:p>
        </w:tc>
        <w:tc>
          <w:tcPr>
            <w:tcW w:w="560" w:type="dxa"/>
            <w:vAlign w:val="bottom"/>
          </w:tcPr>
          <w:p>
            <w:pPr>
              <w:spacing w:after="0"/>
              <w:rPr>
                <w:sz w:val="18"/>
                <w:szCs w:val="18"/>
                <w:color w:val="auto"/>
              </w:rPr>
            </w:pPr>
          </w:p>
        </w:tc>
        <w:tc>
          <w:tcPr>
            <w:tcW w:w="6000" w:type="dxa"/>
            <w:vAlign w:val="bottom"/>
          </w:tcPr>
          <w:p>
            <w:pPr>
              <w:jc w:val="right"/>
              <w:ind w:right="5690"/>
              <w:spacing w:after="0"/>
              <w:rPr>
                <w:sz w:val="20"/>
                <w:szCs w:val="20"/>
                <w:color w:val="auto"/>
              </w:rPr>
            </w:pPr>
            <w:r>
              <w:rPr>
                <w:rFonts w:ascii="Arial" w:cs="Arial" w:eastAsia="Arial" w:hAnsi="Arial"/>
                <w:sz w:val="18"/>
                <w:szCs w:val="18"/>
                <w:color w:val="auto"/>
                <w:w w:val="99"/>
              </w:rPr>
              <w:t>13</w:t>
            </w:r>
          </w:p>
        </w:tc>
      </w:tr>
      <w:tr>
        <w:trPr>
          <w:trHeight w:val="216"/>
        </w:trPr>
        <w:tc>
          <w:tcPr>
            <w:tcW w:w="840" w:type="dxa"/>
            <w:vAlign w:val="bottom"/>
          </w:tcPr>
          <w:p>
            <w:pPr>
              <w:ind w:left="240"/>
              <w:spacing w:after="0"/>
              <w:rPr>
                <w:sz w:val="20"/>
                <w:szCs w:val="20"/>
                <w:color w:val="auto"/>
              </w:rPr>
            </w:pPr>
            <w:r>
              <w:rPr>
                <w:rFonts w:ascii="Arial" w:cs="Arial" w:eastAsia="Arial" w:hAnsi="Arial"/>
                <w:sz w:val="18"/>
                <w:szCs w:val="18"/>
                <w:color w:val="auto"/>
              </w:rPr>
              <w:t>6.3</w:t>
            </w:r>
          </w:p>
        </w:tc>
        <w:tc>
          <w:tcPr>
            <w:tcW w:w="3860" w:type="dxa"/>
            <w:vAlign w:val="bottom"/>
            <w:gridSpan w:val="5"/>
          </w:tcPr>
          <w:p>
            <w:pPr>
              <w:ind w:left="280"/>
              <w:spacing w:after="0"/>
              <w:rPr>
                <w:sz w:val="20"/>
                <w:szCs w:val="20"/>
                <w:color w:val="auto"/>
              </w:rPr>
            </w:pPr>
            <w:r>
              <w:rPr>
                <w:rFonts w:ascii="Arial" w:cs="Arial" w:eastAsia="Arial" w:hAnsi="Arial"/>
                <w:sz w:val="18"/>
                <w:szCs w:val="18"/>
                <w:color w:val="auto"/>
                <w:w w:val="90"/>
              </w:rPr>
              <w:t>Accelerated Payments Due to Financial Hardship</w:t>
            </w:r>
          </w:p>
        </w:tc>
        <w:tc>
          <w:tcPr>
            <w:tcW w:w="560" w:type="dxa"/>
            <w:vAlign w:val="bottom"/>
          </w:tcPr>
          <w:p>
            <w:pPr>
              <w:spacing w:after="0"/>
              <w:rPr>
                <w:sz w:val="18"/>
                <w:szCs w:val="18"/>
                <w:color w:val="auto"/>
              </w:rPr>
            </w:pPr>
          </w:p>
        </w:tc>
        <w:tc>
          <w:tcPr>
            <w:tcW w:w="6000" w:type="dxa"/>
            <w:vAlign w:val="bottom"/>
          </w:tcPr>
          <w:p>
            <w:pPr>
              <w:jc w:val="right"/>
              <w:ind w:right="5670"/>
              <w:spacing w:after="0"/>
              <w:rPr>
                <w:sz w:val="20"/>
                <w:szCs w:val="20"/>
                <w:color w:val="auto"/>
              </w:rPr>
            </w:pPr>
            <w:r>
              <w:rPr>
                <w:rFonts w:ascii="Arial" w:cs="Arial" w:eastAsia="Arial" w:hAnsi="Arial"/>
                <w:sz w:val="18"/>
                <w:szCs w:val="18"/>
                <w:color w:val="auto"/>
              </w:rPr>
              <w:t>14</w:t>
            </w:r>
          </w:p>
        </w:tc>
      </w:tr>
      <w:tr>
        <w:trPr>
          <w:trHeight w:val="216"/>
        </w:trPr>
        <w:tc>
          <w:tcPr>
            <w:tcW w:w="840" w:type="dxa"/>
            <w:vAlign w:val="bottom"/>
          </w:tcPr>
          <w:p>
            <w:pPr>
              <w:ind w:left="240"/>
              <w:spacing w:after="0"/>
              <w:rPr>
                <w:sz w:val="20"/>
                <w:szCs w:val="20"/>
                <w:color w:val="auto"/>
              </w:rPr>
            </w:pPr>
            <w:r>
              <w:rPr>
                <w:rFonts w:ascii="Arial" w:cs="Arial" w:eastAsia="Arial" w:hAnsi="Arial"/>
                <w:sz w:val="18"/>
                <w:szCs w:val="18"/>
                <w:color w:val="auto"/>
              </w:rPr>
              <w:t>6.4</w:t>
            </w:r>
          </w:p>
        </w:tc>
        <w:tc>
          <w:tcPr>
            <w:tcW w:w="2000" w:type="dxa"/>
            <w:vAlign w:val="bottom"/>
            <w:gridSpan w:val="2"/>
          </w:tcPr>
          <w:p>
            <w:pPr>
              <w:ind w:left="280"/>
              <w:spacing w:after="0"/>
              <w:rPr>
                <w:sz w:val="20"/>
                <w:szCs w:val="20"/>
                <w:color w:val="auto"/>
              </w:rPr>
            </w:pPr>
            <w:r>
              <w:rPr>
                <w:rFonts w:ascii="Arial" w:cs="Arial" w:eastAsia="Arial" w:hAnsi="Arial"/>
                <w:sz w:val="18"/>
                <w:szCs w:val="18"/>
                <w:color w:val="auto"/>
              </w:rPr>
              <w:t>Mandatory Cashouts</w:t>
            </w:r>
          </w:p>
        </w:tc>
        <w:tc>
          <w:tcPr>
            <w:tcW w:w="860" w:type="dxa"/>
            <w:vAlign w:val="bottom"/>
          </w:tcPr>
          <w:p>
            <w:pPr>
              <w:jc w:val="right"/>
              <w:ind w:right="170"/>
              <w:spacing w:after="0"/>
              <w:rPr>
                <w:sz w:val="20"/>
                <w:szCs w:val="20"/>
                <w:color w:val="auto"/>
              </w:rPr>
            </w:pPr>
            <w:r>
              <w:rPr>
                <w:rFonts w:ascii="Arial" w:cs="Arial" w:eastAsia="Arial" w:hAnsi="Arial"/>
                <w:sz w:val="18"/>
                <w:szCs w:val="18"/>
                <w:color w:val="auto"/>
              </w:rPr>
              <w:t>14</w:t>
            </w: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0" w:type="dxa"/>
            <w:vAlign w:val="bottom"/>
          </w:tcPr>
          <w:p>
            <w:pPr>
              <w:spacing w:after="0"/>
              <w:rPr>
                <w:sz w:val="18"/>
                <w:szCs w:val="18"/>
                <w:color w:val="auto"/>
              </w:rPr>
            </w:pPr>
          </w:p>
        </w:tc>
      </w:tr>
      <w:tr>
        <w:trPr>
          <w:trHeight w:val="216"/>
        </w:trPr>
        <w:tc>
          <w:tcPr>
            <w:tcW w:w="840" w:type="dxa"/>
            <w:vAlign w:val="bottom"/>
          </w:tcPr>
          <w:p>
            <w:pPr>
              <w:ind w:left="240"/>
              <w:spacing w:after="0"/>
              <w:rPr>
                <w:sz w:val="20"/>
                <w:szCs w:val="20"/>
                <w:color w:val="auto"/>
              </w:rPr>
            </w:pPr>
            <w:r>
              <w:rPr>
                <w:rFonts w:ascii="Arial" w:cs="Arial" w:eastAsia="Arial" w:hAnsi="Arial"/>
                <w:sz w:val="18"/>
                <w:szCs w:val="18"/>
                <w:color w:val="auto"/>
              </w:rPr>
              <w:t>6.5</w:t>
            </w:r>
          </w:p>
        </w:tc>
        <w:tc>
          <w:tcPr>
            <w:tcW w:w="3560" w:type="dxa"/>
            <w:vAlign w:val="bottom"/>
            <w:gridSpan w:val="4"/>
          </w:tcPr>
          <w:p>
            <w:pPr>
              <w:ind w:left="280"/>
              <w:spacing w:after="0"/>
              <w:rPr>
                <w:sz w:val="20"/>
                <w:szCs w:val="20"/>
                <w:color w:val="auto"/>
              </w:rPr>
            </w:pPr>
            <w:r>
              <w:rPr>
                <w:rFonts w:ascii="Arial" w:cs="Arial" w:eastAsia="Arial" w:hAnsi="Arial"/>
                <w:sz w:val="18"/>
                <w:szCs w:val="18"/>
                <w:color w:val="auto"/>
              </w:rPr>
              <w:t>Discretionary Delay in Benefit Payments</w:t>
            </w:r>
          </w:p>
        </w:tc>
        <w:tc>
          <w:tcPr>
            <w:tcW w:w="300" w:type="dxa"/>
            <w:vAlign w:val="bottom"/>
          </w:tcPr>
          <w:p>
            <w:pPr>
              <w:spacing w:after="0"/>
              <w:rPr>
                <w:sz w:val="18"/>
                <w:szCs w:val="18"/>
                <w:color w:val="auto"/>
              </w:rPr>
            </w:pPr>
          </w:p>
        </w:tc>
        <w:tc>
          <w:tcPr>
            <w:tcW w:w="560" w:type="dxa"/>
            <w:vAlign w:val="bottom"/>
          </w:tcPr>
          <w:p>
            <w:pPr>
              <w:jc w:val="right"/>
              <w:ind w:right="270"/>
              <w:spacing w:after="0"/>
              <w:rPr>
                <w:sz w:val="20"/>
                <w:szCs w:val="20"/>
                <w:color w:val="auto"/>
              </w:rPr>
            </w:pPr>
            <w:r>
              <w:rPr>
                <w:rFonts w:ascii="Arial" w:cs="Arial" w:eastAsia="Arial" w:hAnsi="Arial"/>
                <w:sz w:val="18"/>
                <w:szCs w:val="18"/>
                <w:color w:val="auto"/>
                <w:w w:val="89"/>
              </w:rPr>
              <w:t>14</w:t>
            </w:r>
          </w:p>
        </w:tc>
        <w:tc>
          <w:tcPr>
            <w:tcW w:w="6000" w:type="dxa"/>
            <w:vAlign w:val="bottom"/>
          </w:tcPr>
          <w:p>
            <w:pPr>
              <w:spacing w:after="0"/>
              <w:rPr>
                <w:sz w:val="18"/>
                <w:szCs w:val="18"/>
                <w:color w:val="auto"/>
              </w:rPr>
            </w:pPr>
          </w:p>
        </w:tc>
      </w:tr>
      <w:tr>
        <w:trPr>
          <w:trHeight w:val="216"/>
        </w:trPr>
        <w:tc>
          <w:tcPr>
            <w:tcW w:w="840" w:type="dxa"/>
            <w:vAlign w:val="bottom"/>
          </w:tcPr>
          <w:p>
            <w:pPr>
              <w:ind w:left="240"/>
              <w:spacing w:after="0"/>
              <w:rPr>
                <w:sz w:val="20"/>
                <w:szCs w:val="20"/>
                <w:color w:val="auto"/>
              </w:rPr>
            </w:pPr>
            <w:r>
              <w:rPr>
                <w:rFonts w:ascii="Arial" w:cs="Arial" w:eastAsia="Arial" w:hAnsi="Arial"/>
                <w:sz w:val="18"/>
                <w:szCs w:val="18"/>
                <w:color w:val="auto"/>
              </w:rPr>
              <w:t>6.6</w:t>
            </w:r>
          </w:p>
        </w:tc>
        <w:tc>
          <w:tcPr>
            <w:tcW w:w="2860" w:type="dxa"/>
            <w:vAlign w:val="bottom"/>
            <w:gridSpan w:val="3"/>
          </w:tcPr>
          <w:p>
            <w:pPr>
              <w:ind w:left="280"/>
              <w:spacing w:after="0"/>
              <w:rPr>
                <w:sz w:val="20"/>
                <w:szCs w:val="20"/>
                <w:color w:val="auto"/>
              </w:rPr>
            </w:pPr>
            <w:r>
              <w:rPr>
                <w:rFonts w:ascii="Arial" w:cs="Arial" w:eastAsia="Arial" w:hAnsi="Arial"/>
                <w:sz w:val="18"/>
                <w:szCs w:val="18"/>
                <w:color w:val="auto"/>
              </w:rPr>
              <w:t>Payment on Death or Disability</w:t>
            </w: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0" w:type="dxa"/>
            <w:vAlign w:val="bottom"/>
          </w:tcPr>
          <w:p>
            <w:pPr>
              <w:spacing w:after="0"/>
              <w:rPr>
                <w:sz w:val="18"/>
                <w:szCs w:val="18"/>
                <w:color w:val="auto"/>
              </w:rPr>
            </w:pPr>
          </w:p>
        </w:tc>
      </w:tr>
      <w:tr>
        <w:trPr>
          <w:trHeight w:val="230"/>
        </w:trPr>
        <w:tc>
          <w:tcPr>
            <w:tcW w:w="840" w:type="dxa"/>
            <w:vAlign w:val="bottom"/>
          </w:tcPr>
          <w:p>
            <w:pPr>
              <w:ind w:left="240"/>
              <w:spacing w:after="0"/>
              <w:rPr>
                <w:sz w:val="20"/>
                <w:szCs w:val="20"/>
                <w:color w:val="auto"/>
              </w:rPr>
            </w:pPr>
            <w:r>
              <w:rPr>
                <w:rFonts w:ascii="Arial" w:cs="Arial" w:eastAsia="Arial" w:hAnsi="Arial"/>
                <w:sz w:val="18"/>
                <w:szCs w:val="18"/>
                <w:color w:val="auto"/>
              </w:rPr>
              <w:t>6.7</w:t>
            </w:r>
          </w:p>
        </w:tc>
        <w:tc>
          <w:tcPr>
            <w:tcW w:w="2000" w:type="dxa"/>
            <w:vAlign w:val="bottom"/>
            <w:gridSpan w:val="2"/>
          </w:tcPr>
          <w:p>
            <w:pPr>
              <w:ind w:left="280"/>
              <w:spacing w:after="0"/>
              <w:rPr>
                <w:sz w:val="20"/>
                <w:szCs w:val="20"/>
                <w:color w:val="auto"/>
              </w:rPr>
            </w:pPr>
            <w:r>
              <w:rPr>
                <w:rFonts w:ascii="Arial" w:cs="Arial" w:eastAsia="Arial" w:hAnsi="Arial"/>
                <w:sz w:val="18"/>
                <w:szCs w:val="18"/>
                <w:color w:val="auto"/>
                <w:w w:val="96"/>
              </w:rPr>
              <w:t>Payment by Employer</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14</w:t>
            </w: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0" w:type="dxa"/>
            <w:vAlign w:val="bottom"/>
          </w:tcPr>
          <w:p>
            <w:pPr>
              <w:spacing w:after="0"/>
              <w:rPr>
                <w:sz w:val="20"/>
                <w:szCs w:val="20"/>
                <w:color w:val="auto"/>
              </w:rPr>
            </w:pPr>
          </w:p>
        </w:tc>
      </w:tr>
      <w:tr>
        <w:trPr>
          <w:trHeight w:val="417"/>
        </w:trPr>
        <w:tc>
          <w:tcPr>
            <w:tcW w:w="2840" w:type="dxa"/>
            <w:vAlign w:val="bottom"/>
            <w:gridSpan w:val="3"/>
          </w:tcPr>
          <w:p>
            <w:pPr>
              <w:spacing w:after="0"/>
              <w:rPr>
                <w:sz w:val="20"/>
                <w:szCs w:val="20"/>
                <w:color w:val="auto"/>
              </w:rPr>
            </w:pPr>
            <w:r>
              <w:rPr>
                <w:rFonts w:ascii="Arial" w:cs="Arial" w:eastAsia="Arial" w:hAnsi="Arial"/>
                <w:sz w:val="18"/>
                <w:szCs w:val="18"/>
                <w:color w:val="auto"/>
                <w:w w:val="99"/>
              </w:rPr>
              <w:t>ARTICLE VII ADMINISTRATION15</w:t>
            </w: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0" w:type="dxa"/>
            <w:vAlign w:val="bottom"/>
          </w:tcPr>
          <w:p>
            <w:pPr>
              <w:spacing w:after="0"/>
              <w:rPr>
                <w:sz w:val="24"/>
                <w:szCs w:val="24"/>
                <w:color w:val="auto"/>
              </w:rPr>
            </w:pPr>
          </w:p>
        </w:tc>
      </w:tr>
      <w:tr>
        <w:trPr>
          <w:trHeight w:val="216"/>
        </w:trPr>
        <w:tc>
          <w:tcPr>
            <w:tcW w:w="840" w:type="dxa"/>
            <w:vAlign w:val="bottom"/>
          </w:tcPr>
          <w:p>
            <w:pPr>
              <w:ind w:left="240"/>
              <w:spacing w:after="0"/>
              <w:rPr>
                <w:sz w:val="20"/>
                <w:szCs w:val="20"/>
                <w:color w:val="auto"/>
              </w:rPr>
            </w:pPr>
            <w:r>
              <w:rPr>
                <w:rFonts w:ascii="Arial" w:cs="Arial" w:eastAsia="Arial" w:hAnsi="Arial"/>
                <w:sz w:val="18"/>
                <w:szCs w:val="18"/>
                <w:color w:val="auto"/>
              </w:rPr>
              <w:t>7.1</w:t>
            </w:r>
          </w:p>
        </w:tc>
        <w:tc>
          <w:tcPr>
            <w:tcW w:w="1480" w:type="dxa"/>
            <w:vAlign w:val="bottom"/>
          </w:tcPr>
          <w:p>
            <w:pPr>
              <w:ind w:left="280"/>
              <w:spacing w:after="0"/>
              <w:rPr>
                <w:sz w:val="20"/>
                <w:szCs w:val="20"/>
                <w:color w:val="auto"/>
              </w:rPr>
            </w:pPr>
            <w:r>
              <w:rPr>
                <w:rFonts w:ascii="Arial" w:cs="Arial" w:eastAsia="Arial" w:hAnsi="Arial"/>
                <w:sz w:val="18"/>
                <w:szCs w:val="18"/>
                <w:color w:val="auto"/>
              </w:rPr>
              <w:t>Administration</w:t>
            </w:r>
          </w:p>
        </w:tc>
        <w:tc>
          <w:tcPr>
            <w:tcW w:w="520" w:type="dxa"/>
            <w:vAlign w:val="bottom"/>
          </w:tcPr>
          <w:p>
            <w:pPr>
              <w:spacing w:after="0"/>
              <w:rPr>
                <w:sz w:val="18"/>
                <w:szCs w:val="18"/>
                <w:color w:val="auto"/>
              </w:rPr>
            </w:pPr>
          </w:p>
        </w:tc>
        <w:tc>
          <w:tcPr>
            <w:tcW w:w="860" w:type="dxa"/>
            <w:vAlign w:val="bottom"/>
          </w:tcPr>
          <w:p>
            <w:pPr>
              <w:jc w:val="right"/>
              <w:ind w:right="570"/>
              <w:spacing w:after="0"/>
              <w:rPr>
                <w:sz w:val="20"/>
                <w:szCs w:val="20"/>
                <w:color w:val="auto"/>
              </w:rPr>
            </w:pPr>
            <w:r>
              <w:rPr>
                <w:rFonts w:ascii="Arial" w:cs="Arial" w:eastAsia="Arial" w:hAnsi="Arial"/>
                <w:sz w:val="18"/>
                <w:szCs w:val="18"/>
                <w:color w:val="auto"/>
                <w:w w:val="89"/>
              </w:rPr>
              <w:t>15</w:t>
            </w: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0" w:type="dxa"/>
            <w:vAlign w:val="bottom"/>
          </w:tcPr>
          <w:p>
            <w:pPr>
              <w:spacing w:after="0"/>
              <w:rPr>
                <w:sz w:val="18"/>
                <w:szCs w:val="18"/>
                <w:color w:val="auto"/>
              </w:rPr>
            </w:pPr>
          </w:p>
        </w:tc>
      </w:tr>
      <w:tr>
        <w:trPr>
          <w:trHeight w:val="230"/>
        </w:trPr>
        <w:tc>
          <w:tcPr>
            <w:tcW w:w="840" w:type="dxa"/>
            <w:vAlign w:val="bottom"/>
          </w:tcPr>
          <w:p>
            <w:pPr>
              <w:ind w:left="240"/>
              <w:spacing w:after="0"/>
              <w:rPr>
                <w:sz w:val="20"/>
                <w:szCs w:val="20"/>
                <w:color w:val="auto"/>
              </w:rPr>
            </w:pPr>
            <w:r>
              <w:rPr>
                <w:rFonts w:ascii="Arial" w:cs="Arial" w:eastAsia="Arial" w:hAnsi="Arial"/>
                <w:sz w:val="18"/>
                <w:szCs w:val="18"/>
                <w:color w:val="auto"/>
              </w:rPr>
              <w:t>7.2</w:t>
            </w:r>
          </w:p>
        </w:tc>
        <w:tc>
          <w:tcPr>
            <w:tcW w:w="2000" w:type="dxa"/>
            <w:vAlign w:val="bottom"/>
            <w:gridSpan w:val="2"/>
          </w:tcPr>
          <w:p>
            <w:pPr>
              <w:ind w:left="280"/>
              <w:spacing w:after="0"/>
              <w:rPr>
                <w:sz w:val="20"/>
                <w:szCs w:val="20"/>
                <w:color w:val="auto"/>
              </w:rPr>
            </w:pPr>
            <w:r>
              <w:rPr>
                <w:rFonts w:ascii="Arial" w:cs="Arial" w:eastAsia="Arial" w:hAnsi="Arial"/>
                <w:sz w:val="18"/>
                <w:szCs w:val="18"/>
                <w:color w:val="auto"/>
              </w:rPr>
              <w:t>Claims and Appeals</w:t>
            </w:r>
          </w:p>
        </w:tc>
        <w:tc>
          <w:tcPr>
            <w:tcW w:w="860" w:type="dxa"/>
            <w:vAlign w:val="bottom"/>
          </w:tcPr>
          <w:p>
            <w:pPr>
              <w:jc w:val="right"/>
              <w:ind w:right="210"/>
              <w:spacing w:after="0"/>
              <w:rPr>
                <w:sz w:val="20"/>
                <w:szCs w:val="20"/>
                <w:color w:val="auto"/>
              </w:rPr>
            </w:pPr>
            <w:r>
              <w:rPr>
                <w:rFonts w:ascii="Arial" w:cs="Arial" w:eastAsia="Arial" w:hAnsi="Arial"/>
                <w:sz w:val="18"/>
                <w:szCs w:val="18"/>
                <w:color w:val="auto"/>
              </w:rPr>
              <w:t>15</w:t>
            </w: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0" w:type="dxa"/>
            <w:vAlign w:val="bottom"/>
          </w:tcPr>
          <w:p>
            <w:pPr>
              <w:spacing w:after="0"/>
              <w:rPr>
                <w:sz w:val="20"/>
                <w:szCs w:val="20"/>
                <w:color w:val="auto"/>
              </w:rPr>
            </w:pPr>
          </w:p>
        </w:tc>
      </w:tr>
      <w:tr>
        <w:trPr>
          <w:trHeight w:val="417"/>
        </w:trPr>
        <w:tc>
          <w:tcPr>
            <w:tcW w:w="4400" w:type="dxa"/>
            <w:vAlign w:val="bottom"/>
            <w:gridSpan w:val="5"/>
          </w:tcPr>
          <w:p>
            <w:pPr>
              <w:spacing w:after="0"/>
              <w:rPr>
                <w:sz w:val="20"/>
                <w:szCs w:val="20"/>
                <w:color w:val="auto"/>
              </w:rPr>
            </w:pPr>
            <w:r>
              <w:rPr>
                <w:rFonts w:ascii="Arial" w:cs="Arial" w:eastAsia="Arial" w:hAnsi="Arial"/>
                <w:sz w:val="18"/>
                <w:szCs w:val="18"/>
                <w:color w:val="auto"/>
              </w:rPr>
              <w:t>ARTICLE VIII AMENDMENT AND TERMINATION16</w:t>
            </w: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0" w:type="dxa"/>
            <w:vAlign w:val="bottom"/>
          </w:tcPr>
          <w:p>
            <w:pPr>
              <w:spacing w:after="0"/>
              <w:rPr>
                <w:sz w:val="24"/>
                <w:szCs w:val="24"/>
                <w:color w:val="auto"/>
              </w:rPr>
            </w:pPr>
          </w:p>
        </w:tc>
      </w:tr>
      <w:tr>
        <w:trPr>
          <w:trHeight w:val="216"/>
        </w:trPr>
        <w:tc>
          <w:tcPr>
            <w:tcW w:w="840" w:type="dxa"/>
            <w:vAlign w:val="bottom"/>
          </w:tcPr>
          <w:p>
            <w:pPr>
              <w:ind w:left="240"/>
              <w:spacing w:after="0"/>
              <w:rPr>
                <w:sz w:val="20"/>
                <w:szCs w:val="20"/>
                <w:color w:val="auto"/>
              </w:rPr>
            </w:pPr>
            <w:r>
              <w:rPr>
                <w:rFonts w:ascii="Arial" w:cs="Arial" w:eastAsia="Arial" w:hAnsi="Arial"/>
                <w:sz w:val="18"/>
                <w:szCs w:val="18"/>
                <w:color w:val="auto"/>
              </w:rPr>
              <w:t>8.1</w:t>
            </w:r>
          </w:p>
        </w:tc>
        <w:tc>
          <w:tcPr>
            <w:tcW w:w="3560" w:type="dxa"/>
            <w:vAlign w:val="bottom"/>
            <w:gridSpan w:val="4"/>
          </w:tcPr>
          <w:p>
            <w:pPr>
              <w:ind w:left="280"/>
              <w:spacing w:after="0"/>
              <w:rPr>
                <w:sz w:val="20"/>
                <w:szCs w:val="20"/>
                <w:color w:val="auto"/>
              </w:rPr>
            </w:pPr>
            <w:r>
              <w:rPr>
                <w:rFonts w:ascii="Arial" w:cs="Arial" w:eastAsia="Arial" w:hAnsi="Arial"/>
                <w:sz w:val="18"/>
                <w:szCs w:val="18"/>
                <w:color w:val="auto"/>
              </w:rPr>
              <w:t>Amendment and Termination of Plan</w:t>
            </w:r>
          </w:p>
        </w:tc>
        <w:tc>
          <w:tcPr>
            <w:tcW w:w="300" w:type="dxa"/>
            <w:vAlign w:val="bottom"/>
          </w:tcPr>
          <w:p>
            <w:pPr>
              <w:jc w:val="right"/>
              <w:spacing w:after="0"/>
              <w:rPr>
                <w:sz w:val="20"/>
                <w:szCs w:val="20"/>
                <w:color w:val="auto"/>
              </w:rPr>
            </w:pPr>
            <w:r>
              <w:rPr>
                <w:rFonts w:ascii="Arial" w:cs="Arial" w:eastAsia="Arial" w:hAnsi="Arial"/>
                <w:sz w:val="18"/>
                <w:szCs w:val="18"/>
                <w:color w:val="auto"/>
                <w:w w:val="99"/>
              </w:rPr>
              <w:t>16</w:t>
            </w:r>
          </w:p>
        </w:tc>
        <w:tc>
          <w:tcPr>
            <w:tcW w:w="560" w:type="dxa"/>
            <w:vAlign w:val="bottom"/>
          </w:tcPr>
          <w:p>
            <w:pPr>
              <w:spacing w:after="0"/>
              <w:rPr>
                <w:sz w:val="18"/>
                <w:szCs w:val="18"/>
                <w:color w:val="auto"/>
              </w:rPr>
            </w:pPr>
          </w:p>
        </w:tc>
        <w:tc>
          <w:tcPr>
            <w:tcW w:w="6000" w:type="dxa"/>
            <w:vAlign w:val="bottom"/>
          </w:tcPr>
          <w:p>
            <w:pPr>
              <w:spacing w:after="0"/>
              <w:rPr>
                <w:sz w:val="18"/>
                <w:szCs w:val="18"/>
                <w:color w:val="auto"/>
              </w:rPr>
            </w:pPr>
          </w:p>
        </w:tc>
      </w:tr>
      <w:tr>
        <w:trPr>
          <w:trHeight w:val="230"/>
        </w:trPr>
        <w:tc>
          <w:tcPr>
            <w:tcW w:w="840" w:type="dxa"/>
            <w:vAlign w:val="bottom"/>
          </w:tcPr>
          <w:p>
            <w:pPr>
              <w:ind w:left="240"/>
              <w:spacing w:after="0"/>
              <w:rPr>
                <w:sz w:val="20"/>
                <w:szCs w:val="20"/>
                <w:color w:val="auto"/>
              </w:rPr>
            </w:pPr>
            <w:r>
              <w:rPr>
                <w:rFonts w:ascii="Arial" w:cs="Arial" w:eastAsia="Arial" w:hAnsi="Arial"/>
                <w:sz w:val="18"/>
                <w:szCs w:val="18"/>
                <w:color w:val="auto"/>
              </w:rPr>
              <w:t>8.2</w:t>
            </w:r>
          </w:p>
        </w:tc>
        <w:tc>
          <w:tcPr>
            <w:tcW w:w="3560" w:type="dxa"/>
            <w:vAlign w:val="bottom"/>
            <w:gridSpan w:val="4"/>
          </w:tcPr>
          <w:p>
            <w:pPr>
              <w:ind w:left="280"/>
              <w:spacing w:after="0"/>
              <w:rPr>
                <w:sz w:val="20"/>
                <w:szCs w:val="20"/>
                <w:color w:val="auto"/>
              </w:rPr>
            </w:pPr>
            <w:r>
              <w:rPr>
                <w:rFonts w:ascii="Arial" w:cs="Arial" w:eastAsia="Arial" w:hAnsi="Arial"/>
                <w:sz w:val="18"/>
                <w:szCs w:val="18"/>
                <w:color w:val="auto"/>
                <w:w w:val="93"/>
              </w:rPr>
              <w:t>Benefit Payments Upon Termination of Plan</w:t>
            </w:r>
          </w:p>
        </w:tc>
        <w:tc>
          <w:tcPr>
            <w:tcW w:w="300" w:type="dxa"/>
            <w:vAlign w:val="bottom"/>
          </w:tcPr>
          <w:p>
            <w:pPr>
              <w:spacing w:after="0"/>
              <w:rPr>
                <w:sz w:val="20"/>
                <w:szCs w:val="20"/>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6000" w:type="dxa"/>
            <w:vAlign w:val="bottom"/>
          </w:tcPr>
          <w:p>
            <w:pPr>
              <w:spacing w:after="0"/>
              <w:rPr>
                <w:sz w:val="20"/>
                <w:szCs w:val="20"/>
                <w:color w:val="auto"/>
              </w:rPr>
            </w:pPr>
          </w:p>
        </w:tc>
      </w:tr>
      <w:tr>
        <w:trPr>
          <w:trHeight w:val="417"/>
        </w:trPr>
        <w:tc>
          <w:tcPr>
            <w:tcW w:w="2840" w:type="dxa"/>
            <w:vAlign w:val="bottom"/>
            <w:gridSpan w:val="3"/>
          </w:tcPr>
          <w:p>
            <w:pPr>
              <w:spacing w:after="0"/>
              <w:rPr>
                <w:sz w:val="20"/>
                <w:szCs w:val="20"/>
                <w:color w:val="auto"/>
              </w:rPr>
            </w:pPr>
            <w:r>
              <w:rPr>
                <w:rFonts w:ascii="Arial" w:cs="Arial" w:eastAsia="Arial" w:hAnsi="Arial"/>
                <w:sz w:val="18"/>
                <w:szCs w:val="18"/>
                <w:color w:val="auto"/>
              </w:rPr>
              <w:t>ARTICLE IX MISCELLANEOUS17</w:t>
            </w: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0" w:type="dxa"/>
            <w:vAlign w:val="bottom"/>
          </w:tcPr>
          <w:p>
            <w:pPr>
              <w:spacing w:after="0"/>
              <w:rPr>
                <w:sz w:val="24"/>
                <w:szCs w:val="24"/>
                <w:color w:val="auto"/>
              </w:rPr>
            </w:pPr>
          </w:p>
        </w:tc>
      </w:tr>
      <w:tr>
        <w:trPr>
          <w:trHeight w:val="216"/>
        </w:trPr>
        <w:tc>
          <w:tcPr>
            <w:tcW w:w="840" w:type="dxa"/>
            <w:vAlign w:val="bottom"/>
          </w:tcPr>
          <w:p>
            <w:pPr>
              <w:ind w:left="240"/>
              <w:spacing w:after="0"/>
              <w:rPr>
                <w:sz w:val="20"/>
                <w:szCs w:val="20"/>
                <w:color w:val="auto"/>
              </w:rPr>
            </w:pPr>
            <w:r>
              <w:rPr>
                <w:rFonts w:ascii="Arial" w:cs="Arial" w:eastAsia="Arial" w:hAnsi="Arial"/>
                <w:sz w:val="18"/>
                <w:szCs w:val="18"/>
                <w:color w:val="auto"/>
              </w:rPr>
              <w:t>9.1</w:t>
            </w:r>
          </w:p>
        </w:tc>
        <w:tc>
          <w:tcPr>
            <w:tcW w:w="2860" w:type="dxa"/>
            <w:vAlign w:val="bottom"/>
            <w:gridSpan w:val="3"/>
          </w:tcPr>
          <w:p>
            <w:pPr>
              <w:ind w:left="280"/>
              <w:spacing w:after="0"/>
              <w:rPr>
                <w:sz w:val="20"/>
                <w:szCs w:val="20"/>
                <w:color w:val="auto"/>
              </w:rPr>
            </w:pPr>
            <w:r>
              <w:rPr>
                <w:rFonts w:ascii="Arial" w:cs="Arial" w:eastAsia="Arial" w:hAnsi="Arial"/>
                <w:sz w:val="18"/>
                <w:szCs w:val="18"/>
                <w:color w:val="auto"/>
                <w:w w:val="98"/>
              </w:rPr>
              <w:t>No Effect on Employment Rights</w:t>
            </w:r>
          </w:p>
        </w:tc>
        <w:tc>
          <w:tcPr>
            <w:tcW w:w="700" w:type="dxa"/>
            <w:vAlign w:val="bottom"/>
          </w:tcPr>
          <w:p>
            <w:pPr>
              <w:jc w:val="right"/>
              <w:spacing w:after="0"/>
              <w:rPr>
                <w:sz w:val="20"/>
                <w:szCs w:val="20"/>
                <w:color w:val="auto"/>
              </w:rPr>
            </w:pPr>
            <w:r>
              <w:rPr>
                <w:rFonts w:ascii="Arial" w:cs="Arial" w:eastAsia="Arial" w:hAnsi="Arial"/>
                <w:sz w:val="18"/>
                <w:szCs w:val="18"/>
                <w:color w:val="auto"/>
              </w:rPr>
              <w:t>17</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0" w:type="dxa"/>
            <w:vAlign w:val="bottom"/>
          </w:tcPr>
          <w:p>
            <w:pPr>
              <w:spacing w:after="0"/>
              <w:rPr>
                <w:sz w:val="18"/>
                <w:szCs w:val="18"/>
                <w:color w:val="auto"/>
              </w:rPr>
            </w:pPr>
          </w:p>
        </w:tc>
      </w:tr>
      <w:tr>
        <w:trPr>
          <w:trHeight w:val="216"/>
        </w:trPr>
        <w:tc>
          <w:tcPr>
            <w:tcW w:w="840" w:type="dxa"/>
            <w:vAlign w:val="bottom"/>
          </w:tcPr>
          <w:p>
            <w:pPr>
              <w:ind w:left="240"/>
              <w:spacing w:after="0"/>
              <w:rPr>
                <w:sz w:val="20"/>
                <w:szCs w:val="20"/>
                <w:color w:val="auto"/>
              </w:rPr>
            </w:pPr>
            <w:r>
              <w:rPr>
                <w:rFonts w:ascii="Arial" w:cs="Arial" w:eastAsia="Arial" w:hAnsi="Arial"/>
                <w:sz w:val="18"/>
                <w:szCs w:val="18"/>
                <w:color w:val="auto"/>
              </w:rPr>
              <w:t>9.2</w:t>
            </w:r>
          </w:p>
        </w:tc>
        <w:tc>
          <w:tcPr>
            <w:tcW w:w="1480" w:type="dxa"/>
            <w:vAlign w:val="bottom"/>
          </w:tcPr>
          <w:p>
            <w:pPr>
              <w:ind w:left="280"/>
              <w:spacing w:after="0"/>
              <w:rPr>
                <w:sz w:val="20"/>
                <w:szCs w:val="20"/>
                <w:color w:val="auto"/>
              </w:rPr>
            </w:pPr>
            <w:r>
              <w:rPr>
                <w:rFonts w:ascii="Arial" w:cs="Arial" w:eastAsia="Arial" w:hAnsi="Arial"/>
                <w:sz w:val="18"/>
                <w:szCs w:val="18"/>
                <w:color w:val="auto"/>
                <w:w w:val="99"/>
              </w:rPr>
              <w:t>Plan Unfunded</w:t>
            </w:r>
          </w:p>
        </w:tc>
        <w:tc>
          <w:tcPr>
            <w:tcW w:w="520" w:type="dxa"/>
            <w:vAlign w:val="bottom"/>
          </w:tcPr>
          <w:p>
            <w:pPr>
              <w:spacing w:after="0"/>
              <w:rPr>
                <w:sz w:val="18"/>
                <w:szCs w:val="18"/>
                <w:color w:val="auto"/>
              </w:rPr>
            </w:pPr>
          </w:p>
        </w:tc>
        <w:tc>
          <w:tcPr>
            <w:tcW w:w="860" w:type="dxa"/>
            <w:vAlign w:val="bottom"/>
          </w:tcPr>
          <w:p>
            <w:pPr>
              <w:jc w:val="right"/>
              <w:ind w:right="590"/>
              <w:spacing w:after="0"/>
              <w:rPr>
                <w:sz w:val="20"/>
                <w:szCs w:val="20"/>
                <w:color w:val="auto"/>
              </w:rPr>
            </w:pPr>
            <w:r>
              <w:rPr>
                <w:rFonts w:ascii="Arial" w:cs="Arial" w:eastAsia="Arial" w:hAnsi="Arial"/>
                <w:sz w:val="18"/>
                <w:szCs w:val="18"/>
                <w:color w:val="auto"/>
                <w:w w:val="79"/>
              </w:rPr>
              <w:t>17</w:t>
            </w: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0" w:type="dxa"/>
            <w:vAlign w:val="bottom"/>
          </w:tcPr>
          <w:p>
            <w:pPr>
              <w:spacing w:after="0"/>
              <w:rPr>
                <w:sz w:val="18"/>
                <w:szCs w:val="18"/>
                <w:color w:val="auto"/>
              </w:rPr>
            </w:pPr>
          </w:p>
        </w:tc>
      </w:tr>
      <w:tr>
        <w:trPr>
          <w:trHeight w:val="216"/>
        </w:trPr>
        <w:tc>
          <w:tcPr>
            <w:tcW w:w="840" w:type="dxa"/>
            <w:vAlign w:val="bottom"/>
          </w:tcPr>
          <w:p>
            <w:pPr>
              <w:ind w:left="240"/>
              <w:spacing w:after="0"/>
              <w:rPr>
                <w:sz w:val="20"/>
                <w:szCs w:val="20"/>
                <w:color w:val="auto"/>
              </w:rPr>
            </w:pPr>
            <w:r>
              <w:rPr>
                <w:rFonts w:ascii="Arial" w:cs="Arial" w:eastAsia="Arial" w:hAnsi="Arial"/>
                <w:sz w:val="18"/>
                <w:szCs w:val="18"/>
                <w:color w:val="auto"/>
              </w:rPr>
              <w:t>9.3</w:t>
            </w:r>
          </w:p>
        </w:tc>
        <w:tc>
          <w:tcPr>
            <w:tcW w:w="4420" w:type="dxa"/>
            <w:vAlign w:val="bottom"/>
            <w:gridSpan w:val="6"/>
          </w:tcPr>
          <w:p>
            <w:pPr>
              <w:ind w:left="280"/>
              <w:spacing w:after="0"/>
              <w:rPr>
                <w:sz w:val="20"/>
                <w:szCs w:val="20"/>
                <w:color w:val="auto"/>
              </w:rPr>
            </w:pPr>
            <w:r>
              <w:rPr>
                <w:rFonts w:ascii="Arial" w:cs="Arial" w:eastAsia="Arial" w:hAnsi="Arial"/>
                <w:sz w:val="18"/>
                <w:szCs w:val="18"/>
                <w:color w:val="auto"/>
                <w:w w:val="90"/>
              </w:rPr>
              <w:t>Binding on Employers, Employees and Their Successors</w:t>
            </w:r>
          </w:p>
        </w:tc>
        <w:tc>
          <w:tcPr>
            <w:tcW w:w="6000" w:type="dxa"/>
            <w:vAlign w:val="bottom"/>
          </w:tcPr>
          <w:p>
            <w:pPr>
              <w:jc w:val="right"/>
              <w:ind w:right="5130"/>
              <w:spacing w:after="0"/>
              <w:rPr>
                <w:sz w:val="20"/>
                <w:szCs w:val="20"/>
                <w:color w:val="auto"/>
              </w:rPr>
            </w:pPr>
            <w:r>
              <w:rPr>
                <w:rFonts w:ascii="Arial" w:cs="Arial" w:eastAsia="Arial" w:hAnsi="Arial"/>
                <w:sz w:val="18"/>
                <w:szCs w:val="18"/>
                <w:color w:val="auto"/>
              </w:rPr>
              <w:t>17</w:t>
            </w:r>
          </w:p>
        </w:tc>
      </w:tr>
      <w:tr>
        <w:trPr>
          <w:trHeight w:val="216"/>
        </w:trPr>
        <w:tc>
          <w:tcPr>
            <w:tcW w:w="840" w:type="dxa"/>
            <w:vAlign w:val="bottom"/>
          </w:tcPr>
          <w:p>
            <w:pPr>
              <w:ind w:left="240"/>
              <w:spacing w:after="0"/>
              <w:rPr>
                <w:sz w:val="20"/>
                <w:szCs w:val="20"/>
                <w:color w:val="auto"/>
              </w:rPr>
            </w:pPr>
            <w:r>
              <w:rPr>
                <w:rFonts w:ascii="Arial" w:cs="Arial" w:eastAsia="Arial" w:hAnsi="Arial"/>
                <w:sz w:val="18"/>
                <w:szCs w:val="18"/>
                <w:color w:val="auto"/>
              </w:rPr>
              <w:t>9.4</w:t>
            </w:r>
          </w:p>
        </w:tc>
        <w:tc>
          <w:tcPr>
            <w:tcW w:w="2000" w:type="dxa"/>
            <w:vAlign w:val="bottom"/>
            <w:gridSpan w:val="2"/>
          </w:tcPr>
          <w:p>
            <w:pPr>
              <w:ind w:left="280"/>
              <w:spacing w:after="0"/>
              <w:rPr>
                <w:sz w:val="20"/>
                <w:szCs w:val="20"/>
                <w:color w:val="auto"/>
              </w:rPr>
            </w:pPr>
            <w:r>
              <w:rPr>
                <w:rFonts w:ascii="Arial" w:cs="Arial" w:eastAsia="Arial" w:hAnsi="Arial"/>
                <w:sz w:val="18"/>
                <w:szCs w:val="18"/>
                <w:color w:val="auto"/>
                <w:w w:val="97"/>
              </w:rPr>
              <w:t>Spendthrift Provisions</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17</w:t>
            </w: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0" w:type="dxa"/>
            <w:vAlign w:val="bottom"/>
          </w:tcPr>
          <w:p>
            <w:pPr>
              <w:spacing w:after="0"/>
              <w:rPr>
                <w:sz w:val="18"/>
                <w:szCs w:val="18"/>
                <w:color w:val="auto"/>
              </w:rPr>
            </w:pPr>
          </w:p>
        </w:tc>
      </w:tr>
      <w:tr>
        <w:trPr>
          <w:trHeight w:val="216"/>
        </w:trPr>
        <w:tc>
          <w:tcPr>
            <w:tcW w:w="840" w:type="dxa"/>
            <w:vAlign w:val="bottom"/>
          </w:tcPr>
          <w:p>
            <w:pPr>
              <w:ind w:left="240"/>
              <w:spacing w:after="0"/>
              <w:rPr>
                <w:sz w:val="20"/>
                <w:szCs w:val="20"/>
                <w:color w:val="auto"/>
              </w:rPr>
            </w:pPr>
            <w:r>
              <w:rPr>
                <w:rFonts w:ascii="Arial" w:cs="Arial" w:eastAsia="Arial" w:hAnsi="Arial"/>
                <w:sz w:val="18"/>
                <w:szCs w:val="18"/>
                <w:color w:val="auto"/>
              </w:rPr>
              <w:t>9.5</w:t>
            </w:r>
          </w:p>
        </w:tc>
        <w:tc>
          <w:tcPr>
            <w:tcW w:w="1480" w:type="dxa"/>
            <w:vAlign w:val="bottom"/>
          </w:tcPr>
          <w:p>
            <w:pPr>
              <w:ind w:left="280"/>
              <w:spacing w:after="0"/>
              <w:rPr>
                <w:sz w:val="20"/>
                <w:szCs w:val="20"/>
                <w:color w:val="auto"/>
              </w:rPr>
            </w:pPr>
            <w:r>
              <w:rPr>
                <w:rFonts w:ascii="Arial" w:cs="Arial" w:eastAsia="Arial" w:hAnsi="Arial"/>
                <w:sz w:val="18"/>
                <w:szCs w:val="18"/>
                <w:color w:val="auto"/>
              </w:rPr>
              <w:t>Disclosure</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0" w:type="dxa"/>
            <w:vAlign w:val="bottom"/>
          </w:tcPr>
          <w:p>
            <w:pPr>
              <w:spacing w:after="0"/>
              <w:rPr>
                <w:sz w:val="18"/>
                <w:szCs w:val="18"/>
                <w:color w:val="auto"/>
              </w:rPr>
            </w:pPr>
          </w:p>
        </w:tc>
      </w:tr>
      <w:tr>
        <w:trPr>
          <w:trHeight w:val="216"/>
        </w:trPr>
        <w:tc>
          <w:tcPr>
            <w:tcW w:w="840" w:type="dxa"/>
            <w:vAlign w:val="bottom"/>
          </w:tcPr>
          <w:p>
            <w:pPr>
              <w:ind w:left="240"/>
              <w:spacing w:after="0"/>
              <w:rPr>
                <w:sz w:val="20"/>
                <w:szCs w:val="20"/>
                <w:color w:val="auto"/>
              </w:rPr>
            </w:pPr>
            <w:r>
              <w:rPr>
                <w:rFonts w:ascii="Arial" w:cs="Arial" w:eastAsia="Arial" w:hAnsi="Arial"/>
                <w:sz w:val="18"/>
                <w:szCs w:val="18"/>
                <w:color w:val="auto"/>
              </w:rPr>
              <w:t>9.6</w:t>
            </w:r>
          </w:p>
        </w:tc>
        <w:tc>
          <w:tcPr>
            <w:tcW w:w="1480" w:type="dxa"/>
            <w:vAlign w:val="bottom"/>
          </w:tcPr>
          <w:p>
            <w:pPr>
              <w:ind w:left="280"/>
              <w:spacing w:after="0"/>
              <w:rPr>
                <w:sz w:val="20"/>
                <w:szCs w:val="20"/>
                <w:color w:val="auto"/>
              </w:rPr>
            </w:pPr>
            <w:r>
              <w:rPr>
                <w:rFonts w:ascii="Arial" w:cs="Arial" w:eastAsia="Arial" w:hAnsi="Arial"/>
                <w:sz w:val="18"/>
                <w:szCs w:val="18"/>
                <w:color w:val="auto"/>
              </w:rPr>
              <w:t>State Law</w:t>
            </w:r>
          </w:p>
        </w:tc>
        <w:tc>
          <w:tcPr>
            <w:tcW w:w="520" w:type="dxa"/>
            <w:vAlign w:val="bottom"/>
          </w:tcPr>
          <w:p>
            <w:pPr>
              <w:jc w:val="right"/>
              <w:ind w:right="70"/>
              <w:spacing w:after="0"/>
              <w:rPr>
                <w:sz w:val="20"/>
                <w:szCs w:val="20"/>
                <w:color w:val="auto"/>
              </w:rPr>
            </w:pPr>
            <w:r>
              <w:rPr>
                <w:rFonts w:ascii="Arial" w:cs="Arial" w:eastAsia="Arial" w:hAnsi="Arial"/>
                <w:sz w:val="18"/>
                <w:szCs w:val="18"/>
                <w:color w:val="auto"/>
              </w:rPr>
              <w:t>17</w:t>
            </w:r>
          </w:p>
        </w:tc>
        <w:tc>
          <w:tcPr>
            <w:tcW w:w="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0" w:type="dxa"/>
            <w:vAlign w:val="bottom"/>
          </w:tcPr>
          <w:p>
            <w:pPr>
              <w:spacing w:after="0"/>
              <w:rPr>
                <w:sz w:val="18"/>
                <w:szCs w:val="18"/>
                <w:color w:val="auto"/>
              </w:rPr>
            </w:pPr>
          </w:p>
        </w:tc>
      </w:tr>
      <w:tr>
        <w:trPr>
          <w:trHeight w:val="216"/>
        </w:trPr>
        <w:tc>
          <w:tcPr>
            <w:tcW w:w="840" w:type="dxa"/>
            <w:vAlign w:val="bottom"/>
          </w:tcPr>
          <w:p>
            <w:pPr>
              <w:ind w:left="240"/>
              <w:spacing w:after="0"/>
              <w:rPr>
                <w:sz w:val="20"/>
                <w:szCs w:val="20"/>
                <w:color w:val="auto"/>
              </w:rPr>
            </w:pPr>
            <w:r>
              <w:rPr>
                <w:rFonts w:ascii="Arial" w:cs="Arial" w:eastAsia="Arial" w:hAnsi="Arial"/>
                <w:sz w:val="18"/>
                <w:szCs w:val="18"/>
                <w:color w:val="auto"/>
              </w:rPr>
              <w:t>9.7</w:t>
            </w:r>
          </w:p>
        </w:tc>
        <w:tc>
          <w:tcPr>
            <w:tcW w:w="2000" w:type="dxa"/>
            <w:vAlign w:val="bottom"/>
            <w:gridSpan w:val="2"/>
          </w:tcPr>
          <w:p>
            <w:pPr>
              <w:ind w:left="280"/>
              <w:spacing w:after="0"/>
              <w:rPr>
                <w:sz w:val="20"/>
                <w:szCs w:val="20"/>
                <w:color w:val="auto"/>
              </w:rPr>
            </w:pPr>
            <w:r>
              <w:rPr>
                <w:rFonts w:ascii="Arial" w:cs="Arial" w:eastAsia="Arial" w:hAnsi="Arial"/>
                <w:sz w:val="18"/>
                <w:szCs w:val="18"/>
                <w:color w:val="auto"/>
                <w:w w:val="93"/>
              </w:rPr>
              <w:t>Incapacity of Recipient</w:t>
            </w:r>
          </w:p>
        </w:tc>
        <w:tc>
          <w:tcPr>
            <w:tcW w:w="860" w:type="dxa"/>
            <w:vAlign w:val="bottom"/>
          </w:tcPr>
          <w:p>
            <w:pPr>
              <w:jc w:val="right"/>
              <w:spacing w:after="0"/>
              <w:rPr>
                <w:sz w:val="20"/>
                <w:szCs w:val="20"/>
                <w:color w:val="auto"/>
              </w:rPr>
            </w:pPr>
            <w:r>
              <w:rPr>
                <w:rFonts w:ascii="Arial" w:cs="Arial" w:eastAsia="Arial" w:hAnsi="Arial"/>
                <w:sz w:val="18"/>
                <w:szCs w:val="18"/>
                <w:color w:val="auto"/>
              </w:rPr>
              <w:t>17</w:t>
            </w: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0" w:type="dxa"/>
            <w:vAlign w:val="bottom"/>
          </w:tcPr>
          <w:p>
            <w:pPr>
              <w:spacing w:after="0"/>
              <w:rPr>
                <w:sz w:val="18"/>
                <w:szCs w:val="18"/>
                <w:color w:val="auto"/>
              </w:rPr>
            </w:pPr>
          </w:p>
        </w:tc>
      </w:tr>
      <w:tr>
        <w:trPr>
          <w:trHeight w:val="216"/>
        </w:trPr>
        <w:tc>
          <w:tcPr>
            <w:tcW w:w="840" w:type="dxa"/>
            <w:vAlign w:val="bottom"/>
          </w:tcPr>
          <w:p>
            <w:pPr>
              <w:ind w:left="240"/>
              <w:spacing w:after="0"/>
              <w:rPr>
                <w:sz w:val="20"/>
                <w:szCs w:val="20"/>
                <w:color w:val="auto"/>
              </w:rPr>
            </w:pPr>
            <w:r>
              <w:rPr>
                <w:rFonts w:ascii="Arial" w:cs="Arial" w:eastAsia="Arial" w:hAnsi="Arial"/>
                <w:sz w:val="18"/>
                <w:szCs w:val="18"/>
                <w:color w:val="auto"/>
              </w:rPr>
              <w:t>9.8</w:t>
            </w:r>
          </w:p>
        </w:tc>
        <w:tc>
          <w:tcPr>
            <w:tcW w:w="2000" w:type="dxa"/>
            <w:vAlign w:val="bottom"/>
            <w:gridSpan w:val="2"/>
          </w:tcPr>
          <w:p>
            <w:pPr>
              <w:ind w:left="280"/>
              <w:spacing w:after="0"/>
              <w:rPr>
                <w:sz w:val="20"/>
                <w:szCs w:val="20"/>
                <w:color w:val="auto"/>
              </w:rPr>
            </w:pPr>
            <w:r>
              <w:rPr>
                <w:rFonts w:ascii="Arial" w:cs="Arial" w:eastAsia="Arial" w:hAnsi="Arial"/>
                <w:sz w:val="18"/>
                <w:szCs w:val="18"/>
                <w:color w:val="auto"/>
              </w:rPr>
              <w:t>Unclaimed Benefit</w:t>
            </w:r>
          </w:p>
        </w:tc>
        <w:tc>
          <w:tcPr>
            <w:tcW w:w="860" w:type="dxa"/>
            <w:vAlign w:val="bottom"/>
          </w:tcPr>
          <w:p>
            <w:pPr>
              <w:jc w:val="right"/>
              <w:ind w:right="310"/>
              <w:spacing w:after="0"/>
              <w:rPr>
                <w:sz w:val="20"/>
                <w:szCs w:val="20"/>
                <w:color w:val="auto"/>
              </w:rPr>
            </w:pPr>
            <w:r>
              <w:rPr>
                <w:rFonts w:ascii="Arial" w:cs="Arial" w:eastAsia="Arial" w:hAnsi="Arial"/>
                <w:sz w:val="18"/>
                <w:szCs w:val="18"/>
                <w:color w:val="auto"/>
              </w:rPr>
              <w:t>18</w:t>
            </w: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0" w:type="dxa"/>
            <w:vAlign w:val="bottom"/>
          </w:tcPr>
          <w:p>
            <w:pPr>
              <w:spacing w:after="0"/>
              <w:rPr>
                <w:sz w:val="18"/>
                <w:szCs w:val="18"/>
                <w:color w:val="auto"/>
              </w:rPr>
            </w:pPr>
          </w:p>
        </w:tc>
      </w:tr>
      <w:tr>
        <w:trPr>
          <w:trHeight w:val="216"/>
        </w:trPr>
        <w:tc>
          <w:tcPr>
            <w:tcW w:w="840" w:type="dxa"/>
            <w:vAlign w:val="bottom"/>
          </w:tcPr>
          <w:p>
            <w:pPr>
              <w:ind w:left="240"/>
              <w:spacing w:after="0"/>
              <w:rPr>
                <w:sz w:val="20"/>
                <w:szCs w:val="20"/>
                <w:color w:val="auto"/>
              </w:rPr>
            </w:pPr>
            <w:r>
              <w:rPr>
                <w:rFonts w:ascii="Arial" w:cs="Arial" w:eastAsia="Arial" w:hAnsi="Arial"/>
                <w:sz w:val="18"/>
                <w:szCs w:val="18"/>
                <w:color w:val="auto"/>
              </w:rPr>
              <w:t>9.9</w:t>
            </w:r>
          </w:p>
        </w:tc>
        <w:tc>
          <w:tcPr>
            <w:tcW w:w="2860" w:type="dxa"/>
            <w:vAlign w:val="bottom"/>
            <w:gridSpan w:val="3"/>
          </w:tcPr>
          <w:p>
            <w:pPr>
              <w:ind w:left="280"/>
              <w:spacing w:after="0"/>
              <w:rPr>
                <w:sz w:val="20"/>
                <w:szCs w:val="20"/>
                <w:color w:val="auto"/>
              </w:rPr>
            </w:pPr>
            <w:r>
              <w:rPr>
                <w:rFonts w:ascii="Arial" w:cs="Arial" w:eastAsia="Arial" w:hAnsi="Arial"/>
                <w:sz w:val="18"/>
                <w:szCs w:val="18"/>
                <w:color w:val="auto"/>
              </w:rPr>
              <w:t>Elections, Applications, Notices</w:t>
            </w: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18</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0" w:type="dxa"/>
            <w:vAlign w:val="bottom"/>
          </w:tcPr>
          <w:p>
            <w:pPr>
              <w:spacing w:after="0"/>
              <w:rPr>
                <w:sz w:val="18"/>
                <w:szCs w:val="18"/>
                <w:color w:val="auto"/>
              </w:rPr>
            </w:pPr>
          </w:p>
        </w:tc>
      </w:tr>
      <w:tr>
        <w:trPr>
          <w:trHeight w:val="216"/>
        </w:trPr>
        <w:tc>
          <w:tcPr>
            <w:tcW w:w="840" w:type="dxa"/>
            <w:vAlign w:val="bottom"/>
          </w:tcPr>
          <w:p>
            <w:pPr>
              <w:ind w:left="240"/>
              <w:spacing w:after="0"/>
              <w:rPr>
                <w:sz w:val="20"/>
                <w:szCs w:val="20"/>
                <w:color w:val="auto"/>
              </w:rPr>
            </w:pPr>
            <w:r>
              <w:rPr>
                <w:rFonts w:ascii="Arial" w:cs="Arial" w:eastAsia="Arial" w:hAnsi="Arial"/>
                <w:sz w:val="18"/>
                <w:szCs w:val="18"/>
                <w:color w:val="auto"/>
              </w:rPr>
              <w:t>9.10</w:t>
            </w:r>
          </w:p>
        </w:tc>
        <w:tc>
          <w:tcPr>
            <w:tcW w:w="1480" w:type="dxa"/>
            <w:vAlign w:val="bottom"/>
          </w:tcPr>
          <w:p>
            <w:pPr>
              <w:ind w:left="440"/>
              <w:spacing w:after="0"/>
              <w:rPr>
                <w:sz w:val="20"/>
                <w:szCs w:val="20"/>
                <w:color w:val="auto"/>
              </w:rPr>
            </w:pPr>
            <w:r>
              <w:rPr>
                <w:rFonts w:ascii="Arial" w:cs="Arial" w:eastAsia="Arial" w:hAnsi="Arial"/>
                <w:sz w:val="18"/>
                <w:szCs w:val="18"/>
                <w:color w:val="auto"/>
              </w:rPr>
              <w:t>Severability</w:t>
            </w:r>
          </w:p>
        </w:tc>
        <w:tc>
          <w:tcPr>
            <w:tcW w:w="520" w:type="dxa"/>
            <w:vAlign w:val="bottom"/>
          </w:tcPr>
          <w:p>
            <w:pPr>
              <w:spacing w:after="0"/>
              <w:rPr>
                <w:sz w:val="18"/>
                <w:szCs w:val="18"/>
                <w:color w:val="auto"/>
              </w:rPr>
            </w:pPr>
          </w:p>
        </w:tc>
        <w:tc>
          <w:tcPr>
            <w:tcW w:w="860" w:type="dxa"/>
            <w:vAlign w:val="bottom"/>
          </w:tcPr>
          <w:p>
            <w:pPr>
              <w:jc w:val="right"/>
              <w:ind w:right="570"/>
              <w:spacing w:after="0"/>
              <w:rPr>
                <w:sz w:val="20"/>
                <w:szCs w:val="20"/>
                <w:color w:val="auto"/>
              </w:rPr>
            </w:pPr>
            <w:r>
              <w:rPr>
                <w:rFonts w:ascii="Arial" w:cs="Arial" w:eastAsia="Arial" w:hAnsi="Arial"/>
                <w:sz w:val="18"/>
                <w:szCs w:val="18"/>
                <w:color w:val="auto"/>
                <w:w w:val="89"/>
              </w:rPr>
              <w:t>18</w:t>
            </w: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0" w:type="dxa"/>
            <w:vAlign w:val="bottom"/>
          </w:tcPr>
          <w:p>
            <w:pPr>
              <w:spacing w:after="0"/>
              <w:rPr>
                <w:sz w:val="18"/>
                <w:szCs w:val="18"/>
                <w:color w:val="auto"/>
              </w:rPr>
            </w:pPr>
          </w:p>
        </w:tc>
      </w:tr>
      <w:tr>
        <w:trPr>
          <w:trHeight w:val="230"/>
        </w:trPr>
        <w:tc>
          <w:tcPr>
            <w:tcW w:w="840" w:type="dxa"/>
            <w:vAlign w:val="bottom"/>
          </w:tcPr>
          <w:p>
            <w:pPr>
              <w:ind w:left="240"/>
              <w:spacing w:after="0"/>
              <w:rPr>
                <w:sz w:val="20"/>
                <w:szCs w:val="20"/>
                <w:color w:val="auto"/>
              </w:rPr>
            </w:pPr>
            <w:r>
              <w:rPr>
                <w:rFonts w:ascii="Arial" w:cs="Arial" w:eastAsia="Arial" w:hAnsi="Arial"/>
                <w:sz w:val="18"/>
                <w:szCs w:val="18"/>
                <w:color w:val="auto"/>
              </w:rPr>
              <w:t>9.11</w:t>
            </w:r>
          </w:p>
        </w:tc>
        <w:tc>
          <w:tcPr>
            <w:tcW w:w="1480" w:type="dxa"/>
            <w:vAlign w:val="bottom"/>
          </w:tcPr>
          <w:p>
            <w:pPr>
              <w:ind w:left="440"/>
              <w:spacing w:after="0"/>
              <w:rPr>
                <w:sz w:val="20"/>
                <w:szCs w:val="20"/>
                <w:color w:val="auto"/>
              </w:rPr>
            </w:pPr>
            <w:r>
              <w:rPr>
                <w:rFonts w:ascii="Arial" w:cs="Arial" w:eastAsia="Arial" w:hAnsi="Arial"/>
                <w:sz w:val="18"/>
                <w:szCs w:val="18"/>
                <w:color w:val="auto"/>
              </w:rPr>
              <w:t>Headings</w:t>
            </w:r>
          </w:p>
        </w:tc>
        <w:tc>
          <w:tcPr>
            <w:tcW w:w="1380" w:type="dxa"/>
            <w:vAlign w:val="bottom"/>
            <w:gridSpan w:val="2"/>
          </w:tcPr>
          <w:p>
            <w:pPr>
              <w:jc w:val="right"/>
              <w:ind w:right="750"/>
              <w:spacing w:after="0"/>
              <w:rPr>
                <w:sz w:val="20"/>
                <w:szCs w:val="20"/>
                <w:color w:val="auto"/>
              </w:rPr>
            </w:pPr>
            <w:r>
              <w:rPr>
                <w:rFonts w:ascii="Arial" w:cs="Arial" w:eastAsia="Arial" w:hAnsi="Arial"/>
                <w:sz w:val="18"/>
                <w:szCs w:val="18"/>
                <w:color w:val="auto"/>
              </w:rPr>
              <w:t>18</w:t>
            </w: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0" w:type="dxa"/>
            <w:vAlign w:val="bottom"/>
          </w:tcPr>
          <w:p>
            <w:pPr>
              <w:spacing w:after="0"/>
              <w:rPr>
                <w:sz w:val="20"/>
                <w:szCs w:val="20"/>
                <w:color w:val="auto"/>
              </w:rPr>
            </w:pPr>
          </w:p>
        </w:tc>
      </w:tr>
      <w:tr>
        <w:trPr>
          <w:trHeight w:val="431"/>
        </w:trPr>
        <w:tc>
          <w:tcPr>
            <w:tcW w:w="8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0" w:type="dxa"/>
            <w:vAlign w:val="bottom"/>
          </w:tcPr>
          <w:p>
            <w:pPr>
              <w:jc w:val="right"/>
              <w:ind w:right="5510"/>
              <w:spacing w:after="0"/>
              <w:rPr>
                <w:sz w:val="20"/>
                <w:szCs w:val="20"/>
                <w:color w:val="auto"/>
              </w:rPr>
            </w:pPr>
            <w:r>
              <w:rPr>
                <w:rFonts w:ascii="Arial" w:cs="Arial" w:eastAsia="Arial" w:hAnsi="Arial"/>
                <w:sz w:val="18"/>
                <w:szCs w:val="18"/>
                <w:color w:val="auto"/>
              </w:rPr>
              <w:t>2</w:t>
            </w:r>
          </w:p>
        </w:tc>
      </w:tr>
      <w:tr>
        <w:trPr>
          <w:trHeight w:val="331"/>
        </w:trPr>
        <w:tc>
          <w:tcPr>
            <w:tcW w:w="84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6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7146290</wp:posOffset>
            </wp:positionH>
            <wp:positionV relativeFrom="paragraph">
              <wp:posOffset>-7620</wp:posOffset>
            </wp:positionV>
            <wp:extent cx="825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25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60"/>
          </w:cols>
          <w:pgMar w:left="320" w:top="354" w:right="319" w:bottom="1440" w:gutter="0" w:footer="0" w:header="0"/>
        </w:sectPr>
      </w:pPr>
    </w:p>
    <w:bookmarkStart w:id="100" w:name="page101"/>
    <w:bookmarkEnd w:id="100"/>
    <w:p>
      <w:pPr>
        <w:spacing w:after="0"/>
        <w:tabs>
          <w:tab w:leader="none" w:pos="1040" w:val="left"/>
          <w:tab w:leader="none" w:pos="4660" w:val="left"/>
        </w:tabs>
        <w:rPr>
          <w:sz w:val="20"/>
          <w:szCs w:val="20"/>
          <w:color w:val="auto"/>
        </w:rPr>
      </w:pPr>
      <w:r>
        <w:rPr>
          <w:rFonts w:ascii="Arial" w:cs="Arial" w:eastAsia="Arial" w:hAnsi="Arial"/>
          <w:sz w:val="18"/>
          <w:szCs w:val="18"/>
          <w:color w:val="auto"/>
        </w:rPr>
        <w:t>9.12</w:t>
      </w:r>
      <w:r>
        <w:rPr>
          <w:sz w:val="20"/>
          <w:szCs w:val="20"/>
          <w:color w:val="auto"/>
        </w:rPr>
        <w:tab/>
      </w:r>
      <w:r>
        <w:rPr>
          <w:rFonts w:ascii="Arial" w:cs="Arial" w:eastAsia="Arial" w:hAnsi="Arial"/>
          <w:sz w:val="18"/>
          <w:szCs w:val="18"/>
          <w:color w:val="auto"/>
        </w:rPr>
        <w:t>Compliance with Code Section 409A</w:t>
      </w:r>
      <w:r>
        <w:rPr>
          <w:sz w:val="20"/>
          <w:szCs w:val="20"/>
          <w:color w:val="auto"/>
        </w:rPr>
        <w:tab/>
      </w:r>
      <w:r>
        <w:rPr>
          <w:rFonts w:ascii="Arial" w:cs="Arial" w:eastAsia="Arial" w:hAnsi="Arial"/>
          <w:sz w:val="16"/>
          <w:szCs w:val="16"/>
          <w:color w:val="auto"/>
        </w:rPr>
        <w:t>18</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right"/>
        <w:ind w:right="44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220345</wp:posOffset>
            </wp:positionV>
            <wp:extent cx="714946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899"/>
          </w:cols>
          <w:pgMar w:left="560" w:top="341" w:right="1440" w:bottom="1440" w:gutter="0" w:footer="0" w:header="0"/>
        </w:sectPr>
      </w:pPr>
    </w:p>
    <w:bookmarkStart w:id="101" w:name="page102"/>
    <w:bookmarkEnd w:id="101"/>
    <w:p>
      <w:pPr>
        <w:jc w:val="center"/>
        <w:ind w:right="-179"/>
        <w:spacing w:after="0"/>
        <w:rPr>
          <w:sz w:val="20"/>
          <w:szCs w:val="20"/>
          <w:color w:val="auto"/>
        </w:rPr>
      </w:pPr>
      <w:r>
        <w:rPr>
          <w:rFonts w:ascii="Arial" w:cs="Arial" w:eastAsia="Arial" w:hAnsi="Arial"/>
          <w:sz w:val="22"/>
          <w:szCs w:val="22"/>
          <w:color w:val="010000"/>
        </w:rPr>
        <w:t>ARTICLE I</w:t>
      </w:r>
    </w:p>
    <w:p>
      <w:pPr>
        <w:jc w:val="center"/>
        <w:ind w:right="-179"/>
        <w:spacing w:after="0"/>
        <w:rPr>
          <w:sz w:val="20"/>
          <w:szCs w:val="20"/>
          <w:color w:val="auto"/>
        </w:rPr>
      </w:pPr>
      <w:r>
        <w:rPr>
          <w:rFonts w:ascii="Arial" w:cs="Arial" w:eastAsia="Arial" w:hAnsi="Arial"/>
          <w:sz w:val="22"/>
          <w:szCs w:val="22"/>
          <w:color w:val="auto"/>
        </w:rPr>
        <w:t>HISTORY AND PURPOSE</w:t>
      </w:r>
    </w:p>
    <w:p>
      <w:pPr>
        <w:spacing w:after="0" w:line="390" w:lineRule="exact"/>
        <w:rPr>
          <w:sz w:val="20"/>
          <w:szCs w:val="20"/>
          <w:color w:val="auto"/>
        </w:rPr>
      </w:pPr>
    </w:p>
    <w:p>
      <w:pPr>
        <w:spacing w:after="0" w:line="222" w:lineRule="auto"/>
        <w:rPr>
          <w:sz w:val="20"/>
          <w:szCs w:val="20"/>
          <w:color w:val="auto"/>
        </w:rPr>
      </w:pPr>
      <w:r>
        <w:rPr>
          <w:rFonts w:ascii="Arial" w:cs="Arial" w:eastAsia="Arial" w:hAnsi="Arial"/>
          <w:sz w:val="22"/>
          <w:szCs w:val="22"/>
          <w:color w:val="auto"/>
        </w:rPr>
        <w:t>This M&amp;T Bank Corporation Leadership Retirement Savings Plan was previously known as the Supplemental Retirement Savings Plan. The Plan is maintained by the Manufacturers and Traders Trust Company to provide additional retirement benefits to select management and highly compensated employees of the Company and certain of its affiliates, contributions on whose behalf under the M&amp;T Bank Corporation Retirement Savings Plan (the "RSP") are subject to certain limitations imposed by the Internal Revenue Code (the "Code"). The Plan was amended and/or restated several times for compliance with Code Section 409A and to make other changes, the most recent restatement being effective as of January 1, 2013. The Company now wishes to further amend and restate the Plan, effective as of January 1, 2020, to make changes to the Plan’s design and its name.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60"/>
          </w:cols>
          <w:pgMar w:left="320" w:top="328" w:right="519" w:bottom="1440" w:gutter="0" w:footer="0" w:header="0"/>
        </w:sectPr>
      </w:pPr>
    </w:p>
    <w:bookmarkStart w:id="102" w:name="page103"/>
    <w:bookmarkEnd w:id="102"/>
    <w:p>
      <w:pPr>
        <w:jc w:val="center"/>
        <w:ind w:right="-59"/>
        <w:spacing w:after="0"/>
        <w:rPr>
          <w:sz w:val="20"/>
          <w:szCs w:val="20"/>
          <w:color w:val="auto"/>
        </w:rPr>
      </w:pPr>
      <w:r>
        <w:rPr>
          <w:rFonts w:ascii="Arial" w:cs="Arial" w:eastAsia="Arial" w:hAnsi="Arial"/>
          <w:sz w:val="22"/>
          <w:szCs w:val="22"/>
          <w:color w:val="010000"/>
        </w:rPr>
        <w:t>ARTICLE II</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DEFINITIONS</w:t>
      </w:r>
    </w:p>
    <w:p>
      <w:pPr>
        <w:spacing w:after="0" w:line="200" w:lineRule="exact"/>
        <w:rPr>
          <w:sz w:val="20"/>
          <w:szCs w:val="20"/>
          <w:color w:val="auto"/>
        </w:rPr>
      </w:pPr>
    </w:p>
    <w:p>
      <w:pPr>
        <w:spacing w:after="0" w:line="203" w:lineRule="exact"/>
        <w:rPr>
          <w:sz w:val="20"/>
          <w:szCs w:val="20"/>
          <w:color w:val="auto"/>
        </w:rPr>
      </w:pPr>
    </w:p>
    <w:p>
      <w:pPr>
        <w:ind w:right="200" w:firstLine="858"/>
        <w:spacing w:after="0" w:line="262" w:lineRule="auto"/>
        <w:rPr>
          <w:sz w:val="20"/>
          <w:szCs w:val="20"/>
          <w:color w:val="auto"/>
        </w:rPr>
      </w:pPr>
      <w:r>
        <w:rPr>
          <w:rFonts w:ascii="Arial" w:cs="Arial" w:eastAsia="Arial" w:hAnsi="Arial"/>
          <w:sz w:val="20"/>
          <w:szCs w:val="20"/>
          <w:color w:val="auto"/>
        </w:rPr>
        <w:t>When used herein, the following words have the meanings indicated unless a different meaning is clearly required by the context. All other terms used herein with initial capital letters that are not defined below have the meanings given them under the RSP unless otherwise specified herein or as otherwise qualified by the context in which the term is used.</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Account</w:t>
      </w:r>
      <w:r>
        <w:rPr>
          <w:rFonts w:ascii="Arial" w:cs="Arial" w:eastAsia="Arial" w:hAnsi="Arial"/>
          <w:sz w:val="22"/>
          <w:szCs w:val="22"/>
          <w:color w:val="auto"/>
        </w:rPr>
        <w:t xml:space="preserve"> – the account maintained for a Participant under Section 5.1.</w:t>
      </w:r>
    </w:p>
    <w:p>
      <w:pPr>
        <w:spacing w:after="0" w:line="192" w:lineRule="exact"/>
        <w:rPr>
          <w:sz w:val="20"/>
          <w:szCs w:val="20"/>
          <w:color w:val="auto"/>
        </w:rPr>
      </w:pPr>
    </w:p>
    <w:p>
      <w:pPr>
        <w:ind w:right="420"/>
        <w:spacing w:after="0" w:line="231" w:lineRule="auto"/>
        <w:rPr>
          <w:sz w:val="20"/>
          <w:szCs w:val="20"/>
          <w:color w:val="auto"/>
        </w:rPr>
      </w:pPr>
      <w:r>
        <w:rPr>
          <w:rFonts w:ascii="Arial" w:cs="Arial" w:eastAsia="Arial" w:hAnsi="Arial"/>
          <w:sz w:val="22"/>
          <w:szCs w:val="22"/>
          <w:u w:val="single" w:color="auto"/>
          <w:color w:val="auto"/>
        </w:rPr>
        <w:t>Beneficiary</w:t>
      </w:r>
      <w:r>
        <w:rPr>
          <w:rFonts w:ascii="Arial" w:cs="Arial" w:eastAsia="Arial" w:hAnsi="Arial"/>
          <w:sz w:val="22"/>
          <w:szCs w:val="22"/>
          <w:color w:val="auto"/>
        </w:rPr>
        <w:t xml:space="preserve"> – the person entitled to distribution of a Participant's Account after the Participant's death. A Participant's Beneficiary under this Plan is the person designated (or otherwise determined) as the Participant's beneficiary under the RSP.</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Committee</w:t>
      </w:r>
      <w:r>
        <w:rPr>
          <w:rFonts w:ascii="Arial" w:cs="Arial" w:eastAsia="Arial" w:hAnsi="Arial"/>
          <w:sz w:val="22"/>
          <w:szCs w:val="22"/>
          <w:color w:val="auto"/>
        </w:rPr>
        <w:t xml:space="preserve"> – see Article VII.</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Company</w:t>
      </w:r>
      <w:r>
        <w:rPr>
          <w:rFonts w:ascii="Arial" w:cs="Arial" w:eastAsia="Arial" w:hAnsi="Arial"/>
          <w:sz w:val="22"/>
          <w:szCs w:val="22"/>
          <w:color w:val="auto"/>
        </w:rPr>
        <w:t xml:space="preserve"> – Manufacturers and Traders Trust Company, or any successor.</w:t>
      </w:r>
    </w:p>
    <w:p>
      <w:pPr>
        <w:spacing w:after="0" w:line="192" w:lineRule="exact"/>
        <w:rPr>
          <w:sz w:val="20"/>
          <w:szCs w:val="20"/>
          <w:color w:val="auto"/>
        </w:rPr>
      </w:pPr>
    </w:p>
    <w:p>
      <w:pPr>
        <w:ind w:right="200"/>
        <w:spacing w:after="0" w:line="285" w:lineRule="auto"/>
        <w:rPr>
          <w:sz w:val="20"/>
          <w:szCs w:val="20"/>
          <w:color w:val="auto"/>
        </w:rPr>
      </w:pPr>
      <w:r>
        <w:rPr>
          <w:rFonts w:ascii="Arial" w:cs="Arial" w:eastAsia="Arial" w:hAnsi="Arial"/>
          <w:sz w:val="20"/>
          <w:szCs w:val="20"/>
          <w:u w:val="single" w:color="auto"/>
          <w:color w:val="auto"/>
        </w:rPr>
        <w:t>Compensation</w:t>
      </w:r>
      <w:r>
        <w:rPr>
          <w:rFonts w:ascii="Arial" w:cs="Arial" w:eastAsia="Arial" w:hAnsi="Arial"/>
          <w:sz w:val="20"/>
          <w:szCs w:val="20"/>
          <w:color w:val="auto"/>
        </w:rPr>
        <w:t xml:space="preserve"> – has the meaning given in the RSP, without regard to the Compensation Limitation, plus amounts deferred by a Participant under this Plan and any other nonqualified deferred compensation plan maintained by any Employer.</w:t>
      </w:r>
    </w:p>
    <w:p>
      <w:pPr>
        <w:spacing w:after="0" w:line="115" w:lineRule="exact"/>
        <w:rPr>
          <w:sz w:val="20"/>
          <w:szCs w:val="20"/>
          <w:color w:val="auto"/>
        </w:rPr>
      </w:pPr>
    </w:p>
    <w:p>
      <w:pPr>
        <w:ind w:right="40"/>
        <w:spacing w:after="0" w:line="238" w:lineRule="auto"/>
        <w:rPr>
          <w:sz w:val="20"/>
          <w:szCs w:val="20"/>
          <w:color w:val="auto"/>
        </w:rPr>
      </w:pPr>
      <w:r>
        <w:rPr>
          <w:rFonts w:ascii="Arial" w:cs="Arial" w:eastAsia="Arial" w:hAnsi="Arial"/>
          <w:sz w:val="22"/>
          <w:szCs w:val="22"/>
          <w:u w:val="single" w:color="auto"/>
          <w:color w:val="auto"/>
        </w:rPr>
        <w:t>Compensation Limitation</w:t>
      </w:r>
      <w:r>
        <w:rPr>
          <w:rFonts w:ascii="Arial" w:cs="Arial" w:eastAsia="Arial" w:hAnsi="Arial"/>
          <w:sz w:val="22"/>
          <w:szCs w:val="22"/>
          <w:color w:val="auto"/>
        </w:rPr>
        <w:t xml:space="preserve"> – the annual compensation limitation under Code Section 401(a)(17), as in effect for any calendar year and as determined for the RSP.</w:t>
      </w:r>
    </w:p>
    <w:p>
      <w:pPr>
        <w:spacing w:after="0" w:line="172" w:lineRule="exact"/>
        <w:rPr>
          <w:sz w:val="20"/>
          <w:szCs w:val="20"/>
          <w:color w:val="auto"/>
        </w:rPr>
      </w:pPr>
    </w:p>
    <w:p>
      <w:pPr>
        <w:spacing w:after="0" w:line="231" w:lineRule="auto"/>
        <w:rPr>
          <w:sz w:val="20"/>
          <w:szCs w:val="20"/>
          <w:color w:val="auto"/>
        </w:rPr>
      </w:pPr>
      <w:r>
        <w:rPr>
          <w:rFonts w:ascii="Arial" w:cs="Arial" w:eastAsia="Arial" w:hAnsi="Arial"/>
          <w:sz w:val="22"/>
          <w:szCs w:val="22"/>
          <w:u w:val="single" w:color="auto"/>
          <w:color w:val="auto"/>
        </w:rPr>
        <w:t>Disability</w:t>
      </w:r>
      <w:r>
        <w:rPr>
          <w:rFonts w:ascii="Arial" w:cs="Arial" w:eastAsia="Arial" w:hAnsi="Arial"/>
          <w:sz w:val="22"/>
          <w:szCs w:val="22"/>
          <w:color w:val="auto"/>
        </w:rPr>
        <w:t xml:space="preserve"> – exists when a Participant is determined (a) to be totally disabled by the Social Security Administration, or (b) to have a "disability" under the Employer's long-term disability plan. A Disability must also satisfy the requirements for being a disability under Code Section 409A.</w:t>
      </w:r>
    </w:p>
    <w:p>
      <w:pPr>
        <w:spacing w:after="0" w:line="173" w:lineRule="exact"/>
        <w:rPr>
          <w:sz w:val="20"/>
          <w:szCs w:val="20"/>
          <w:color w:val="auto"/>
        </w:rPr>
      </w:pPr>
    </w:p>
    <w:p>
      <w:pPr>
        <w:ind w:right="100"/>
        <w:spacing w:after="0" w:line="238" w:lineRule="auto"/>
        <w:rPr>
          <w:sz w:val="20"/>
          <w:szCs w:val="20"/>
          <w:color w:val="auto"/>
        </w:rPr>
      </w:pPr>
      <w:r>
        <w:rPr>
          <w:rFonts w:ascii="Arial" w:cs="Arial" w:eastAsia="Arial" w:hAnsi="Arial"/>
          <w:sz w:val="22"/>
          <w:szCs w:val="22"/>
          <w:u w:val="single" w:color="auto"/>
          <w:color w:val="auto"/>
        </w:rPr>
        <w:t>Employee</w:t>
      </w:r>
      <w:r>
        <w:rPr>
          <w:rFonts w:ascii="Arial" w:cs="Arial" w:eastAsia="Arial" w:hAnsi="Arial"/>
          <w:sz w:val="22"/>
          <w:szCs w:val="22"/>
          <w:color w:val="auto"/>
        </w:rPr>
        <w:t xml:space="preserve"> – a common law employee of an Employer who (1) is classified by the Employer at salary grade 61 or higher, or (2) was classified by the Employer at the Senior Vice President level or higher on October 31, 2019.</w:t>
      </w:r>
    </w:p>
    <w:p>
      <w:pPr>
        <w:spacing w:after="0" w:line="172" w:lineRule="exact"/>
        <w:rPr>
          <w:sz w:val="20"/>
          <w:szCs w:val="20"/>
          <w:color w:val="auto"/>
        </w:rPr>
      </w:pPr>
    </w:p>
    <w:p>
      <w:pPr>
        <w:ind w:right="480"/>
        <w:spacing w:after="0" w:line="238" w:lineRule="auto"/>
        <w:rPr>
          <w:sz w:val="20"/>
          <w:szCs w:val="20"/>
          <w:color w:val="auto"/>
        </w:rPr>
      </w:pPr>
      <w:r>
        <w:rPr>
          <w:rFonts w:ascii="Arial" w:cs="Arial" w:eastAsia="Arial" w:hAnsi="Arial"/>
          <w:sz w:val="22"/>
          <w:szCs w:val="22"/>
          <w:u w:val="single" w:color="auto"/>
          <w:color w:val="auto"/>
        </w:rPr>
        <w:t>Employer</w:t>
      </w:r>
      <w:r>
        <w:rPr>
          <w:rFonts w:ascii="Arial" w:cs="Arial" w:eastAsia="Arial" w:hAnsi="Arial"/>
          <w:sz w:val="22"/>
          <w:szCs w:val="22"/>
          <w:color w:val="auto"/>
        </w:rPr>
        <w:t xml:space="preserve"> – Manufacturers and Traders Trust Company and any affiliate that has adopted the RSP and is an "Employer" as defined thereunder.</w:t>
      </w:r>
    </w:p>
    <w:p>
      <w:pPr>
        <w:spacing w:after="0" w:line="172" w:lineRule="exact"/>
        <w:rPr>
          <w:sz w:val="20"/>
          <w:szCs w:val="20"/>
          <w:color w:val="auto"/>
        </w:rPr>
      </w:pPr>
    </w:p>
    <w:p>
      <w:pPr>
        <w:ind w:right="720"/>
        <w:spacing w:after="0" w:line="238" w:lineRule="auto"/>
        <w:rPr>
          <w:sz w:val="20"/>
          <w:szCs w:val="20"/>
          <w:color w:val="auto"/>
        </w:rPr>
      </w:pPr>
      <w:r>
        <w:rPr>
          <w:rFonts w:ascii="Arial" w:cs="Arial" w:eastAsia="Arial" w:hAnsi="Arial"/>
          <w:sz w:val="22"/>
          <w:szCs w:val="22"/>
          <w:u w:val="single" w:color="auto"/>
          <w:color w:val="auto"/>
        </w:rPr>
        <w:t>Grandfathered Account Balance</w:t>
      </w:r>
      <w:r>
        <w:rPr>
          <w:rFonts w:ascii="Arial" w:cs="Arial" w:eastAsia="Arial" w:hAnsi="Arial"/>
          <w:sz w:val="22"/>
          <w:szCs w:val="22"/>
          <w:color w:val="auto"/>
        </w:rPr>
        <w:t xml:space="preserve"> – a Participant's vested Account balance as of December 31, 2004, as adjusted for earnings and losses.</w:t>
      </w:r>
    </w:p>
    <w:p>
      <w:pPr>
        <w:spacing w:after="0" w:line="172" w:lineRule="exact"/>
        <w:rPr>
          <w:sz w:val="20"/>
          <w:szCs w:val="20"/>
          <w:color w:val="auto"/>
        </w:rPr>
      </w:pPr>
    </w:p>
    <w:p>
      <w:pPr>
        <w:ind w:right="600"/>
        <w:spacing w:after="0" w:line="238" w:lineRule="auto"/>
        <w:rPr>
          <w:sz w:val="20"/>
          <w:szCs w:val="20"/>
          <w:color w:val="auto"/>
        </w:rPr>
      </w:pPr>
      <w:r>
        <w:rPr>
          <w:rFonts w:ascii="Arial" w:cs="Arial" w:eastAsia="Arial" w:hAnsi="Arial"/>
          <w:sz w:val="22"/>
          <w:szCs w:val="22"/>
          <w:u w:val="single" w:color="auto"/>
          <w:color w:val="auto"/>
        </w:rPr>
        <w:t>Participant</w:t>
      </w:r>
      <w:r>
        <w:rPr>
          <w:rFonts w:ascii="Arial" w:cs="Arial" w:eastAsia="Arial" w:hAnsi="Arial"/>
          <w:sz w:val="22"/>
          <w:szCs w:val="22"/>
          <w:color w:val="auto"/>
        </w:rPr>
        <w:t xml:space="preserve"> – an Employee who has become a Participant under Section 3.1, including a former Employee who still has an Account balance under this Plan.</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Plan</w:t>
      </w:r>
      <w:r>
        <w:rPr>
          <w:rFonts w:ascii="Arial" w:cs="Arial" w:eastAsia="Arial" w:hAnsi="Arial"/>
          <w:sz w:val="22"/>
          <w:szCs w:val="22"/>
          <w:color w:val="auto"/>
        </w:rPr>
        <w:t xml:space="preserve"> – the M&amp;T Bank Corporation Leadership Retirement Savings Plan, as contained herein, as amended.</w:t>
      </w:r>
    </w:p>
    <w:p>
      <w:pPr>
        <w:spacing w:after="0" w:line="1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550" w:right="399" w:bottom="1440" w:gutter="0" w:footer="0" w:header="0"/>
        </w:sectPr>
      </w:pPr>
    </w:p>
    <w:bookmarkStart w:id="103" w:name="page104"/>
    <w:bookmarkEnd w:id="103"/>
    <w:p>
      <w:pPr>
        <w:spacing w:after="0"/>
        <w:rPr>
          <w:sz w:val="20"/>
          <w:szCs w:val="20"/>
          <w:color w:val="auto"/>
        </w:rPr>
      </w:pPr>
      <w:r>
        <w:rPr>
          <w:rFonts w:ascii="Arial" w:cs="Arial" w:eastAsia="Arial" w:hAnsi="Arial"/>
          <w:sz w:val="22"/>
          <w:szCs w:val="22"/>
          <w:u w:val="single" w:color="auto"/>
          <w:color w:val="auto"/>
        </w:rPr>
        <w:t>Plan Year</w:t>
      </w:r>
      <w:r>
        <w:rPr>
          <w:rFonts w:ascii="Arial" w:cs="Arial" w:eastAsia="Arial" w:hAnsi="Arial"/>
          <w:sz w:val="22"/>
          <w:szCs w:val="22"/>
          <w:color w:val="auto"/>
        </w:rPr>
        <w:t xml:space="preserve"> – the calendar year.</w:t>
      </w:r>
    </w:p>
    <w:p>
      <w:pPr>
        <w:spacing w:after="0" w:line="192" w:lineRule="exact"/>
        <w:rPr>
          <w:sz w:val="20"/>
          <w:szCs w:val="20"/>
          <w:color w:val="auto"/>
        </w:rPr>
      </w:pPr>
    </w:p>
    <w:p>
      <w:pPr>
        <w:spacing w:after="0" w:line="238" w:lineRule="auto"/>
        <w:rPr>
          <w:sz w:val="20"/>
          <w:szCs w:val="20"/>
          <w:color w:val="auto"/>
        </w:rPr>
      </w:pPr>
      <w:r>
        <w:rPr>
          <w:rFonts w:ascii="Arial" w:cs="Arial" w:eastAsia="Arial" w:hAnsi="Arial"/>
          <w:sz w:val="22"/>
          <w:szCs w:val="22"/>
          <w:u w:val="single" w:color="auto"/>
          <w:color w:val="auto"/>
        </w:rPr>
        <w:t>Post-2004 Account Balance</w:t>
      </w:r>
      <w:r>
        <w:rPr>
          <w:rFonts w:ascii="Arial" w:cs="Arial" w:eastAsia="Arial" w:hAnsi="Arial"/>
          <w:sz w:val="22"/>
          <w:szCs w:val="22"/>
          <w:color w:val="auto"/>
        </w:rPr>
        <w:t xml:space="preserve"> – that portion of a Participant's Account attributable to amounts credited as of a date after December 31, 2004, as adjusted for earnings and losses.</w:t>
      </w:r>
    </w:p>
    <w:p>
      <w:pPr>
        <w:spacing w:after="0" w:line="172" w:lineRule="exact"/>
        <w:rPr>
          <w:sz w:val="20"/>
          <w:szCs w:val="20"/>
          <w:color w:val="auto"/>
        </w:rPr>
      </w:pPr>
    </w:p>
    <w:p>
      <w:pPr>
        <w:ind w:right="120"/>
        <w:spacing w:after="0" w:line="231" w:lineRule="auto"/>
        <w:rPr>
          <w:sz w:val="20"/>
          <w:szCs w:val="20"/>
          <w:color w:val="auto"/>
        </w:rPr>
      </w:pPr>
      <w:r>
        <w:rPr>
          <w:rFonts w:ascii="Arial" w:cs="Arial" w:eastAsia="Arial" w:hAnsi="Arial"/>
          <w:sz w:val="22"/>
          <w:szCs w:val="22"/>
          <w:u w:val="single" w:color="auto"/>
          <w:color w:val="auto"/>
        </w:rPr>
        <w:t>Separation from Service</w:t>
      </w:r>
      <w:r>
        <w:rPr>
          <w:rFonts w:ascii="Arial" w:cs="Arial" w:eastAsia="Arial" w:hAnsi="Arial"/>
          <w:sz w:val="22"/>
          <w:szCs w:val="22"/>
          <w:color w:val="auto"/>
        </w:rPr>
        <w:t xml:space="preserve"> – a Participant's separation from service (within the meaning of regulations under Code Section 409A) with</w:t>
      </w:r>
      <w:r>
        <w:rPr>
          <w:rFonts w:ascii="Arial" w:cs="Arial" w:eastAsia="Arial" w:hAnsi="Arial"/>
          <w:sz w:val="18"/>
          <w:szCs w:val="18"/>
          <w:color w:val="auto"/>
        </w:rPr>
        <w:t>-</w:t>
      </w:r>
      <w:r>
        <w:rPr>
          <w:rFonts w:ascii="Arial" w:cs="Arial" w:eastAsia="Arial" w:hAnsi="Arial"/>
          <w:sz w:val="22"/>
          <w:szCs w:val="22"/>
          <w:color w:val="auto"/>
        </w:rPr>
        <w:t>the Participant's Employer and all entities with which the Participant's Employer would be considered a single employer under Code Section 414(b) or (c).</w:t>
      </w:r>
    </w:p>
    <w:p>
      <w:pPr>
        <w:spacing w:after="0" w:line="173" w:lineRule="exact"/>
        <w:rPr>
          <w:sz w:val="20"/>
          <w:szCs w:val="20"/>
          <w:color w:val="auto"/>
        </w:rPr>
      </w:pPr>
    </w:p>
    <w:p>
      <w:pPr>
        <w:ind w:right="320"/>
        <w:spacing w:after="0" w:line="238" w:lineRule="auto"/>
        <w:rPr>
          <w:sz w:val="20"/>
          <w:szCs w:val="20"/>
          <w:color w:val="auto"/>
        </w:rPr>
      </w:pPr>
      <w:r>
        <w:rPr>
          <w:rFonts w:ascii="Arial" w:cs="Arial" w:eastAsia="Arial" w:hAnsi="Arial"/>
          <w:sz w:val="22"/>
          <w:szCs w:val="22"/>
          <w:color w:val="auto"/>
        </w:rPr>
        <w:t>Any terms used herein in the masculine will be read and construed in the feminine where they would so apply, and any terms used in the singular will be read and construed in the plural, or vice versa, if appropriate.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20"/>
          </w:cols>
          <w:pgMar w:left="320" w:top="550" w:right="459" w:bottom="1440" w:gutter="0" w:footer="0" w:header="0"/>
        </w:sectPr>
      </w:pPr>
    </w:p>
    <w:bookmarkStart w:id="104" w:name="page105"/>
    <w:bookmarkEnd w:id="104"/>
    <w:p>
      <w:pPr>
        <w:jc w:val="center"/>
        <w:ind w:right="-59"/>
        <w:spacing w:after="0"/>
        <w:rPr>
          <w:sz w:val="20"/>
          <w:szCs w:val="20"/>
          <w:color w:val="auto"/>
        </w:rPr>
      </w:pPr>
      <w:r>
        <w:rPr>
          <w:rFonts w:ascii="Arial" w:cs="Arial" w:eastAsia="Arial" w:hAnsi="Arial"/>
          <w:sz w:val="22"/>
          <w:szCs w:val="22"/>
          <w:color w:val="010000"/>
        </w:rPr>
        <w:t>ARTICLE III</w:t>
      </w:r>
    </w:p>
    <w:p>
      <w:pPr>
        <w:jc w:val="center"/>
        <w:ind w:right="-59"/>
        <w:spacing w:after="0"/>
        <w:rPr>
          <w:sz w:val="20"/>
          <w:szCs w:val="20"/>
          <w:color w:val="auto"/>
        </w:rPr>
      </w:pPr>
      <w:r>
        <w:rPr>
          <w:rFonts w:ascii="Arial" w:cs="Arial" w:eastAsia="Arial" w:hAnsi="Arial"/>
          <w:sz w:val="22"/>
          <w:szCs w:val="22"/>
          <w:color w:val="auto"/>
        </w:rPr>
        <w:t>ELIGIBILITY AND PARTICIPATION</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010000"/>
        </w:rPr>
        <w:t>3.1</w:t>
      </w:r>
      <w:r>
        <w:rPr>
          <w:rFonts w:ascii="Arial" w:cs="Arial" w:eastAsia="Arial" w:hAnsi="Arial"/>
          <w:sz w:val="22"/>
          <w:szCs w:val="22"/>
          <w:u w:val="single" w:color="auto"/>
          <w:color w:val="000000"/>
        </w:rPr>
        <w:t>Eligibility to Participate</w:t>
      </w:r>
    </w:p>
    <w:p>
      <w:pPr>
        <w:spacing w:after="0" w:line="205" w:lineRule="exact"/>
        <w:rPr>
          <w:sz w:val="20"/>
          <w:szCs w:val="20"/>
          <w:color w:val="auto"/>
        </w:rPr>
      </w:pPr>
    </w:p>
    <w:p>
      <w:pPr>
        <w:ind w:left="160" w:hanging="152"/>
        <w:spacing w:after="0"/>
        <w:tabs>
          <w:tab w:leader="none" w:pos="160" w:val="left"/>
        </w:tabs>
        <w:numPr>
          <w:ilvl w:val="0"/>
          <w:numId w:val="49"/>
        </w:numPr>
        <w:rPr>
          <w:rFonts w:ascii="Arial" w:cs="Arial" w:eastAsia="Arial" w:hAnsi="Arial"/>
          <w:sz w:val="22"/>
          <w:szCs w:val="22"/>
          <w:u w:val="single" w:color="auto"/>
          <w:color w:val="auto"/>
        </w:rPr>
      </w:pPr>
      <w:r>
        <w:rPr>
          <w:rFonts w:ascii="Arial" w:cs="Arial" w:eastAsia="Arial" w:hAnsi="Arial"/>
          <w:sz w:val="22"/>
          <w:szCs w:val="22"/>
          <w:color w:val="auto"/>
        </w:rPr>
        <w:t>An Employee will become a Participant if the Employee has amounts credited to their Account under Article IV.</w:t>
      </w:r>
    </w:p>
    <w:p>
      <w:pPr>
        <w:spacing w:after="0" w:line="205" w:lineRule="exact"/>
        <w:rPr>
          <w:rFonts w:ascii="Arial" w:cs="Arial" w:eastAsia="Arial" w:hAnsi="Arial"/>
          <w:sz w:val="22"/>
          <w:szCs w:val="22"/>
          <w:u w:val="single" w:color="auto"/>
          <w:color w:val="auto"/>
        </w:rPr>
      </w:pPr>
    </w:p>
    <w:p>
      <w:pPr>
        <w:spacing w:after="0"/>
        <w:rPr>
          <w:rFonts w:ascii="Arial" w:cs="Arial" w:eastAsia="Arial" w:hAnsi="Arial"/>
          <w:sz w:val="22"/>
          <w:szCs w:val="22"/>
          <w:u w:val="single" w:color="auto"/>
          <w:color w:val="auto"/>
        </w:rPr>
      </w:pPr>
      <w:r>
        <w:rPr>
          <w:rFonts w:ascii="Arial" w:cs="Arial" w:eastAsia="Arial" w:hAnsi="Arial"/>
          <w:sz w:val="22"/>
          <w:szCs w:val="22"/>
          <w:color w:val="010000"/>
        </w:rPr>
        <w:t>3.2</w:t>
      </w:r>
      <w:r>
        <w:rPr>
          <w:rFonts w:ascii="Arial" w:cs="Arial" w:eastAsia="Arial" w:hAnsi="Arial"/>
          <w:sz w:val="22"/>
          <w:szCs w:val="22"/>
          <w:u w:val="single" w:color="auto"/>
          <w:color w:val="000000"/>
        </w:rPr>
        <w:t>Deferral Elections</w:t>
      </w:r>
    </w:p>
    <w:p>
      <w:pPr>
        <w:spacing w:after="0" w:line="205" w:lineRule="exact"/>
        <w:rPr>
          <w:rFonts w:ascii="Arial" w:cs="Arial" w:eastAsia="Arial" w:hAnsi="Arial"/>
          <w:sz w:val="22"/>
          <w:szCs w:val="22"/>
          <w:u w:val="single" w:color="auto"/>
          <w:color w:val="auto"/>
        </w:rPr>
      </w:pPr>
    </w:p>
    <w:p>
      <w:pPr>
        <w:spacing w:after="0"/>
        <w:tabs>
          <w:tab w:leader="none" w:pos="0" w:val="left"/>
        </w:tabs>
        <w:numPr>
          <w:ilvl w:val="0"/>
          <w:numId w:val="49"/>
        </w:numPr>
        <w:rPr>
          <w:rFonts w:ascii="Arial" w:cs="Arial" w:eastAsia="Arial" w:hAnsi="Arial"/>
          <w:sz w:val="22"/>
          <w:szCs w:val="22"/>
          <w:color w:val="auto"/>
        </w:rPr>
      </w:pPr>
    </w:p>
    <w:p>
      <w:pPr>
        <w:spacing w:after="0" w:line="205" w:lineRule="exact"/>
        <w:rPr>
          <w:rFonts w:ascii="Arial" w:cs="Arial" w:eastAsia="Arial" w:hAnsi="Arial"/>
          <w:sz w:val="22"/>
          <w:szCs w:val="22"/>
          <w:color w:val="auto"/>
        </w:rPr>
      </w:pPr>
    </w:p>
    <w:p>
      <w:pPr>
        <w:ind w:right="180" w:firstLine="871"/>
        <w:spacing w:after="0" w:line="276" w:lineRule="auto"/>
        <w:tabs>
          <w:tab w:leader="none" w:pos="1750" w:val="left"/>
        </w:tabs>
        <w:numPr>
          <w:ilvl w:val="1"/>
          <w:numId w:val="49"/>
        </w:numPr>
        <w:rPr>
          <w:rFonts w:ascii="Arial" w:cs="Arial" w:eastAsia="Arial" w:hAnsi="Arial"/>
          <w:sz w:val="20"/>
          <w:szCs w:val="20"/>
          <w:color w:val="auto"/>
        </w:rPr>
      </w:pPr>
      <w:r>
        <w:rPr>
          <w:rFonts w:ascii="Arial" w:cs="Arial" w:eastAsia="Arial" w:hAnsi="Arial"/>
          <w:sz w:val="20"/>
          <w:szCs w:val="20"/>
          <w:color w:val="auto"/>
        </w:rPr>
        <w:t>For each Plan Year, an eligible Employee may elect to defer any whole percentage up to 50% of their Compensation, and their Account will be credited with the amount deferred under Section 4.4. An Employee is only eligible to defer Compensation for a Plan Year if they are an Employee on the October 31 next preceding the Plan Year.</w:t>
      </w:r>
    </w:p>
    <w:p>
      <w:pPr>
        <w:spacing w:after="0" w:line="177" w:lineRule="exact"/>
        <w:rPr>
          <w:rFonts w:ascii="Arial" w:cs="Arial" w:eastAsia="Arial" w:hAnsi="Arial"/>
          <w:sz w:val="20"/>
          <w:szCs w:val="20"/>
          <w:color w:val="auto"/>
        </w:rPr>
      </w:pPr>
    </w:p>
    <w:p>
      <w:pPr>
        <w:ind w:right="400" w:firstLine="871"/>
        <w:spacing w:after="0" w:line="262" w:lineRule="auto"/>
        <w:tabs>
          <w:tab w:leader="none" w:pos="1770" w:val="left"/>
        </w:tabs>
        <w:numPr>
          <w:ilvl w:val="1"/>
          <w:numId w:val="49"/>
        </w:numPr>
        <w:rPr>
          <w:rFonts w:ascii="Arial" w:cs="Arial" w:eastAsia="Arial" w:hAnsi="Arial"/>
          <w:sz w:val="20"/>
          <w:szCs w:val="20"/>
          <w:color w:val="auto"/>
        </w:rPr>
      </w:pPr>
      <w:r>
        <w:rPr>
          <w:rFonts w:ascii="Arial" w:cs="Arial" w:eastAsia="Arial" w:hAnsi="Arial"/>
          <w:sz w:val="20"/>
          <w:szCs w:val="20"/>
          <w:color w:val="auto"/>
        </w:rPr>
        <w:t>A deferral election for a Plan Year must be made prior to the beginning of the Plan Year. All deferral elections take effect for the first paydate of the Plan Year, in accordance with the default rule of T. Reg. §1.409A-2(a)</w:t>
      </w:r>
    </w:p>
    <w:p>
      <w:pPr>
        <w:spacing w:after="0" w:line="1" w:lineRule="exact"/>
        <w:rPr>
          <w:rFonts w:ascii="Arial" w:cs="Arial" w:eastAsia="Arial" w:hAnsi="Arial"/>
          <w:sz w:val="20"/>
          <w:szCs w:val="20"/>
          <w:color w:val="auto"/>
        </w:rPr>
      </w:pPr>
    </w:p>
    <w:p>
      <w:pPr>
        <w:ind w:right="320"/>
        <w:spacing w:after="0" w:line="236" w:lineRule="auto"/>
        <w:rPr>
          <w:rFonts w:ascii="Arial" w:cs="Arial" w:eastAsia="Arial" w:hAnsi="Arial"/>
          <w:sz w:val="20"/>
          <w:szCs w:val="20"/>
          <w:color w:val="auto"/>
        </w:rPr>
      </w:pPr>
      <w:r>
        <w:rPr>
          <w:rFonts w:ascii="Arial" w:cs="Arial" w:eastAsia="Arial" w:hAnsi="Arial"/>
          <w:sz w:val="22"/>
          <w:szCs w:val="22"/>
          <w:color w:val="auto"/>
        </w:rPr>
        <w:t>(13). There is no mid-Year entry for an Employee who first becomes eligible to participate during a Plan Year. A deferral election must be made in the manner prescribed by the Committee.</w:t>
      </w:r>
    </w:p>
    <w:p>
      <w:pPr>
        <w:spacing w:after="0" w:line="212" w:lineRule="exact"/>
        <w:rPr>
          <w:rFonts w:ascii="Arial" w:cs="Arial" w:eastAsia="Arial" w:hAnsi="Arial"/>
          <w:sz w:val="20"/>
          <w:szCs w:val="20"/>
          <w:color w:val="auto"/>
        </w:rPr>
      </w:pPr>
    </w:p>
    <w:p>
      <w:pPr>
        <w:ind w:right="160" w:firstLine="871"/>
        <w:spacing w:after="0" w:line="447" w:lineRule="auto"/>
        <w:tabs>
          <w:tab w:leader="none" w:pos="1758" w:val="left"/>
        </w:tabs>
        <w:numPr>
          <w:ilvl w:val="1"/>
          <w:numId w:val="49"/>
        </w:numPr>
        <w:rPr>
          <w:rFonts w:ascii="Arial" w:cs="Arial" w:eastAsia="Arial" w:hAnsi="Arial"/>
          <w:sz w:val="22"/>
          <w:szCs w:val="22"/>
          <w:color w:val="auto"/>
        </w:rPr>
      </w:pPr>
      <w:r>
        <w:rPr>
          <w:rFonts w:ascii="Arial" w:cs="Arial" w:eastAsia="Arial" w:hAnsi="Arial"/>
          <w:sz w:val="22"/>
          <w:szCs w:val="22"/>
          <w:color w:val="auto"/>
        </w:rPr>
        <w:t xml:space="preserve">A deferral election for a Plan Year is irrevocable and may not be changed once the Plan Year has begun. </w:t>
      </w:r>
      <w:r>
        <w:rPr>
          <w:rFonts w:ascii="Arial" w:cs="Arial" w:eastAsia="Arial" w:hAnsi="Arial"/>
          <w:sz w:val="22"/>
          <w:szCs w:val="22"/>
          <w:color w:val="010000"/>
        </w:rPr>
        <w:t>3.3</w:t>
      </w:r>
      <w:r>
        <w:rPr>
          <w:rFonts w:ascii="Arial" w:cs="Arial" w:eastAsia="Arial" w:hAnsi="Arial"/>
          <w:sz w:val="22"/>
          <w:szCs w:val="22"/>
          <w:u w:val="single" w:color="auto"/>
          <w:color w:val="000000"/>
        </w:rPr>
        <w:t>Payment Elections</w:t>
      </w:r>
    </w:p>
    <w:p>
      <w:pPr>
        <w:spacing w:after="0" w:line="1" w:lineRule="exact"/>
        <w:rPr>
          <w:rFonts w:ascii="Arial" w:cs="Arial" w:eastAsia="Arial" w:hAnsi="Arial"/>
          <w:sz w:val="22"/>
          <w:szCs w:val="22"/>
          <w:color w:val="auto"/>
        </w:rPr>
      </w:pPr>
    </w:p>
    <w:p>
      <w:pPr>
        <w:spacing w:after="0"/>
        <w:tabs>
          <w:tab w:leader="none" w:pos="0" w:val="left"/>
        </w:tabs>
        <w:numPr>
          <w:ilvl w:val="0"/>
          <w:numId w:val="49"/>
        </w:numPr>
        <w:rPr>
          <w:rFonts w:ascii="Arial" w:cs="Arial" w:eastAsia="Arial" w:hAnsi="Arial"/>
          <w:sz w:val="22"/>
          <w:szCs w:val="22"/>
          <w:color w:val="auto"/>
        </w:rPr>
      </w:pPr>
    </w:p>
    <w:p>
      <w:pPr>
        <w:spacing w:after="0" w:line="205" w:lineRule="exact"/>
        <w:rPr>
          <w:sz w:val="20"/>
          <w:szCs w:val="20"/>
          <w:color w:val="auto"/>
        </w:rPr>
      </w:pPr>
    </w:p>
    <w:p>
      <w:pPr>
        <w:ind w:firstLine="871"/>
        <w:spacing w:after="0" w:line="264" w:lineRule="auto"/>
        <w:tabs>
          <w:tab w:leader="none" w:pos="1758" w:val="left"/>
        </w:tabs>
        <w:numPr>
          <w:ilvl w:val="0"/>
          <w:numId w:val="50"/>
        </w:numPr>
        <w:rPr>
          <w:rFonts w:ascii="Arial" w:cs="Arial" w:eastAsia="Arial" w:hAnsi="Arial"/>
          <w:sz w:val="20"/>
          <w:szCs w:val="20"/>
          <w:color w:val="auto"/>
        </w:rPr>
      </w:pPr>
      <w:r>
        <w:rPr>
          <w:rFonts w:ascii="Arial" w:cs="Arial" w:eastAsia="Arial" w:hAnsi="Arial"/>
          <w:sz w:val="20"/>
          <w:szCs w:val="20"/>
          <w:u w:val="single" w:color="auto"/>
          <w:color w:val="auto"/>
        </w:rPr>
        <w:t>409A Transition Elections</w:t>
      </w:r>
      <w:r>
        <w:rPr>
          <w:rFonts w:ascii="Arial" w:cs="Arial" w:eastAsia="Arial" w:hAnsi="Arial"/>
          <w:sz w:val="20"/>
          <w:szCs w:val="20"/>
          <w:color w:val="auto"/>
        </w:rPr>
        <w:t>. (1)An Employee who was a Participant as of December 31, 2007, could have irrevocably elected by December 31, 2008, to receive payment of their Post-2004 Account Balance either in a single lump sum or in annual installments payable over 5 or 10 years, and to receive such payment(s) either: (i) at a specified age or date; (ii) upon Separation from Service; or (iii) at the earlier of (i) or (ii). Any such election had to be made in the manner prescribed by the Committee and became effective on January 1 of the year following the year of the election.</w:t>
      </w:r>
    </w:p>
    <w:p>
      <w:pPr>
        <w:spacing w:after="0" w:line="191" w:lineRule="exact"/>
        <w:rPr>
          <w:rFonts w:ascii="Arial" w:cs="Arial" w:eastAsia="Arial" w:hAnsi="Arial"/>
          <w:sz w:val="20"/>
          <w:szCs w:val="20"/>
          <w:color w:val="auto"/>
        </w:rPr>
      </w:pPr>
    </w:p>
    <w:p>
      <w:pPr>
        <w:ind w:left="880" w:right="140" w:firstLine="789"/>
        <w:spacing w:after="0" w:line="299" w:lineRule="auto"/>
        <w:tabs>
          <w:tab w:leader="none" w:pos="2584" w:val="left"/>
        </w:tabs>
        <w:numPr>
          <w:ilvl w:val="1"/>
          <w:numId w:val="50"/>
        </w:numPr>
        <w:rPr>
          <w:rFonts w:ascii="Arial" w:cs="Arial" w:eastAsia="Arial" w:hAnsi="Arial"/>
          <w:sz w:val="20"/>
          <w:szCs w:val="20"/>
          <w:color w:val="auto"/>
        </w:rPr>
      </w:pPr>
      <w:r>
        <w:rPr>
          <w:rFonts w:ascii="Arial" w:cs="Arial" w:eastAsia="Arial" w:hAnsi="Arial"/>
          <w:sz w:val="20"/>
          <w:szCs w:val="20"/>
          <w:color w:val="auto"/>
        </w:rPr>
        <w:t>If a Participant described in paragraph (1) failed to make a timely election under paragraph (1), the Participant's Post-2004 Account Balance will be paid in accordance with Section 6.1(b) as follows:</w:t>
      </w:r>
    </w:p>
    <w:p>
      <w:pPr>
        <w:spacing w:after="0" w:line="155" w:lineRule="exact"/>
        <w:rPr>
          <w:rFonts w:ascii="Arial" w:cs="Arial" w:eastAsia="Arial" w:hAnsi="Arial"/>
          <w:sz w:val="20"/>
          <w:szCs w:val="20"/>
          <w:color w:val="auto"/>
        </w:rPr>
      </w:pPr>
    </w:p>
    <w:p>
      <w:pPr>
        <w:ind w:left="1740" w:right="580" w:firstLine="726"/>
        <w:spacing w:after="0" w:line="250" w:lineRule="auto"/>
        <w:tabs>
          <w:tab w:leader="none" w:pos="3322" w:val="left"/>
        </w:tabs>
        <w:numPr>
          <w:ilvl w:val="2"/>
          <w:numId w:val="50"/>
        </w:numPr>
        <w:rPr>
          <w:rFonts w:ascii="Arial" w:cs="Arial" w:eastAsia="Arial" w:hAnsi="Arial"/>
          <w:sz w:val="22"/>
          <w:szCs w:val="22"/>
          <w:color w:val="auto"/>
        </w:rPr>
      </w:pPr>
      <w:r>
        <w:rPr>
          <w:rFonts w:ascii="Arial" w:cs="Arial" w:eastAsia="Arial" w:hAnsi="Arial"/>
          <w:sz w:val="22"/>
          <w:szCs w:val="22"/>
          <w:color w:val="auto"/>
        </w:rPr>
        <w:t>If the Participant had an election in effect for a Grandfathered Account Balance, that election applies to the Participant's Post-2004 Account Balance.</w:t>
      </w:r>
    </w:p>
    <w:p>
      <w:pPr>
        <w:spacing w:after="0" w:line="201" w:lineRule="exact"/>
        <w:rPr>
          <w:rFonts w:ascii="Arial" w:cs="Arial" w:eastAsia="Arial" w:hAnsi="Arial"/>
          <w:sz w:val="22"/>
          <w:szCs w:val="22"/>
          <w:color w:val="auto"/>
        </w:rPr>
      </w:pPr>
    </w:p>
    <w:p>
      <w:pPr>
        <w:ind w:left="1740" w:right="140" w:firstLine="726"/>
        <w:spacing w:after="0"/>
        <w:tabs>
          <w:tab w:leader="none" w:pos="3392" w:val="left"/>
        </w:tabs>
        <w:numPr>
          <w:ilvl w:val="2"/>
          <w:numId w:val="50"/>
        </w:numPr>
        <w:rPr>
          <w:rFonts w:ascii="Arial" w:cs="Arial" w:eastAsia="Arial" w:hAnsi="Arial"/>
          <w:sz w:val="22"/>
          <w:szCs w:val="22"/>
          <w:color w:val="auto"/>
        </w:rPr>
      </w:pPr>
      <w:r>
        <w:rPr>
          <w:rFonts w:ascii="Arial" w:cs="Arial" w:eastAsia="Arial" w:hAnsi="Arial"/>
          <w:sz w:val="22"/>
          <w:szCs w:val="22"/>
          <w:color w:val="auto"/>
        </w:rPr>
        <w:t>If the Participant did not have an election in effect for a Grandfathered Account Balance, the Participant's Post-2004 Account Balance will be paid in a single lump sum upon Separation from Service.</w:t>
      </w:r>
    </w:p>
    <w:p>
      <w:pPr>
        <w:spacing w:after="0" w:line="211" w:lineRule="exact"/>
        <w:rPr>
          <w:rFonts w:ascii="Arial" w:cs="Arial" w:eastAsia="Arial" w:hAnsi="Arial"/>
          <w:sz w:val="22"/>
          <w:szCs w:val="22"/>
          <w:color w:val="auto"/>
        </w:rPr>
      </w:pPr>
    </w:p>
    <w:p>
      <w:pPr>
        <w:ind w:left="2580" w:hanging="911"/>
        <w:spacing w:after="0"/>
        <w:tabs>
          <w:tab w:leader="none" w:pos="2580" w:val="left"/>
        </w:tabs>
        <w:numPr>
          <w:ilvl w:val="1"/>
          <w:numId w:val="50"/>
        </w:numPr>
        <w:rPr>
          <w:rFonts w:ascii="Arial" w:cs="Arial" w:eastAsia="Arial" w:hAnsi="Arial"/>
          <w:sz w:val="22"/>
          <w:szCs w:val="22"/>
          <w:color w:val="auto"/>
        </w:rPr>
      </w:pPr>
      <w:r>
        <w:rPr>
          <w:rFonts w:ascii="Arial" w:cs="Arial" w:eastAsia="Arial" w:hAnsi="Arial"/>
          <w:sz w:val="22"/>
          <w:szCs w:val="22"/>
          <w:color w:val="auto"/>
        </w:rPr>
        <w:t>Elections made (or deemed made) under this subsection (a) may be</w:t>
      </w: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544" w:right="399" w:bottom="1440" w:gutter="0" w:footer="0" w:header="0"/>
        </w:sectPr>
      </w:pPr>
    </w:p>
    <w:bookmarkStart w:id="105" w:name="page106"/>
    <w:bookmarkEnd w:id="105"/>
    <w:p>
      <w:pPr>
        <w:ind w:left="880"/>
        <w:spacing w:after="0"/>
        <w:rPr>
          <w:sz w:val="20"/>
          <w:szCs w:val="20"/>
          <w:color w:val="auto"/>
        </w:rPr>
      </w:pPr>
      <w:r>
        <w:rPr>
          <w:rFonts w:ascii="Arial" w:cs="Arial" w:eastAsia="Arial" w:hAnsi="Arial"/>
          <w:sz w:val="22"/>
          <w:szCs w:val="22"/>
          <w:color w:val="auto"/>
        </w:rPr>
        <w:t>prospectively changed in accordance with subsection (c).</w:t>
      </w:r>
    </w:p>
    <w:p>
      <w:pPr>
        <w:spacing w:after="0" w:line="232" w:lineRule="exact"/>
        <w:rPr>
          <w:sz w:val="20"/>
          <w:szCs w:val="20"/>
          <w:color w:val="auto"/>
        </w:rPr>
      </w:pPr>
    </w:p>
    <w:p>
      <w:pPr>
        <w:ind w:firstLine="871"/>
        <w:spacing w:after="0" w:line="234" w:lineRule="auto"/>
        <w:tabs>
          <w:tab w:leader="none" w:pos="1762" w:val="left"/>
        </w:tabs>
        <w:numPr>
          <w:ilvl w:val="0"/>
          <w:numId w:val="51"/>
        </w:numPr>
        <w:rPr>
          <w:rFonts w:ascii="Arial" w:cs="Arial" w:eastAsia="Arial" w:hAnsi="Arial"/>
          <w:sz w:val="22"/>
          <w:szCs w:val="22"/>
          <w:color w:val="auto"/>
        </w:rPr>
      </w:pPr>
      <w:r>
        <w:rPr>
          <w:rFonts w:ascii="Arial" w:cs="Arial" w:eastAsia="Arial" w:hAnsi="Arial"/>
          <w:sz w:val="22"/>
          <w:szCs w:val="22"/>
          <w:u w:val="single" w:color="auto"/>
          <w:color w:val="auto"/>
        </w:rPr>
        <w:t>Ongoing Election Rule – New Participant</w:t>
      </w:r>
      <w:r>
        <w:rPr>
          <w:rFonts w:ascii="Arial" w:cs="Arial" w:eastAsia="Arial" w:hAnsi="Arial"/>
          <w:sz w:val="22"/>
          <w:szCs w:val="22"/>
          <w:color w:val="auto"/>
        </w:rPr>
        <w:t>. When a Participant first elects to defer to the Plan, they may irrevocably (subject to subsection (c)) elect to receive payment of their Account balance either in the form of a single lump sum or in annual installments payable over 5 or 10 years, and to receive or begin to receive such payment(s) either: (i) at a specified age or date; (ii) upon Separation from Service; or (iii) at the earlier of (i) or (ii). If the Participant fails to make a timely election under this subsection (b), the Participant's Account balance will be paid in a single lump sum upon (and on account of) Separation from Service. Elections made (or deemed made) under this subsection (b) may be prospectively changed in accordance with subsection (c).</w:t>
      </w:r>
    </w:p>
    <w:p>
      <w:pPr>
        <w:spacing w:after="0" w:line="188" w:lineRule="exact"/>
        <w:rPr>
          <w:sz w:val="20"/>
          <w:szCs w:val="20"/>
          <w:color w:val="auto"/>
        </w:rPr>
      </w:pPr>
    </w:p>
    <w:p>
      <w:pPr>
        <w:ind w:right="100" w:firstLine="858"/>
        <w:spacing w:after="0" w:line="226" w:lineRule="auto"/>
        <w:rPr>
          <w:sz w:val="20"/>
          <w:szCs w:val="20"/>
          <w:color w:val="auto"/>
        </w:rPr>
      </w:pPr>
      <w:r>
        <w:rPr>
          <w:rFonts w:ascii="Arial" w:cs="Arial" w:eastAsia="Arial" w:hAnsi="Arial"/>
          <w:sz w:val="22"/>
          <w:szCs w:val="22"/>
          <w:color w:val="auto"/>
        </w:rPr>
        <w:t xml:space="preserve">(c) </w:t>
      </w:r>
      <w:r>
        <w:rPr>
          <w:rFonts w:ascii="Arial" w:cs="Arial" w:eastAsia="Arial" w:hAnsi="Arial"/>
          <w:sz w:val="22"/>
          <w:szCs w:val="22"/>
          <w:u w:val="single" w:color="auto"/>
          <w:color w:val="auto"/>
        </w:rPr>
        <w:t>Ongoing Election Rule – Subsequent Years</w:t>
      </w:r>
      <w:r>
        <w:rPr>
          <w:rFonts w:ascii="Arial" w:cs="Arial" w:eastAsia="Arial" w:hAnsi="Arial"/>
          <w:sz w:val="22"/>
          <w:szCs w:val="22"/>
          <w:color w:val="auto"/>
        </w:rPr>
        <w:t>. Subject to Sections 6.2 through 6.6, a Participant's payment election (or deemed election) under subsections (a) or (b) of this Section 3.3 is irrevocable and may not be changed. However, a Participant may prospectively change their payment election for amounts to be credited to their Post-2004 Account Balance in Plan Years beginning after the date that the new election is made. A new election must be made before the beginning of the first Plan Year to which it applies.</w:t>
      </w:r>
    </w:p>
    <w:p>
      <w:pPr>
        <w:spacing w:after="0" w:line="171" w:lineRule="exact"/>
        <w:rPr>
          <w:sz w:val="20"/>
          <w:szCs w:val="20"/>
          <w:color w:val="auto"/>
        </w:rPr>
      </w:pPr>
    </w:p>
    <w:p>
      <w:pPr>
        <w:ind w:right="820" w:firstLine="805"/>
        <w:spacing w:after="0" w:line="237" w:lineRule="auto"/>
        <w:tabs>
          <w:tab w:leader="none" w:pos="1696" w:val="left"/>
        </w:tabs>
        <w:numPr>
          <w:ilvl w:val="0"/>
          <w:numId w:val="52"/>
        </w:numPr>
        <w:rPr>
          <w:rFonts w:ascii="Arial" w:cs="Arial" w:eastAsia="Arial" w:hAnsi="Arial"/>
          <w:sz w:val="22"/>
          <w:szCs w:val="22"/>
          <w:color w:val="auto"/>
        </w:rPr>
      </w:pPr>
      <w:r>
        <w:rPr>
          <w:rFonts w:ascii="Arial" w:cs="Arial" w:eastAsia="Arial" w:hAnsi="Arial"/>
          <w:sz w:val="22"/>
          <w:szCs w:val="22"/>
          <w:u w:val="single" w:color="auto"/>
          <w:color w:val="auto"/>
        </w:rPr>
        <w:t>Changes in Election</w:t>
      </w:r>
      <w:r>
        <w:rPr>
          <w:rFonts w:ascii="Arial" w:cs="Arial" w:eastAsia="Arial" w:hAnsi="Arial"/>
          <w:sz w:val="22"/>
          <w:szCs w:val="22"/>
          <w:color w:val="auto"/>
        </w:rPr>
        <w:t>. Notwithstanding subsection (c), a Participant who elected (or is deemed to have elected) to have any portion of their Post-2004 Account Balance paid as a lump sum may change that election to have such portion of their Post-2004 Account Balance paid in annual installments over 5 or 10 years, subject to the following:</w:t>
      </w:r>
    </w:p>
    <w:p>
      <w:pPr>
        <w:spacing w:after="0" w:line="214" w:lineRule="exact"/>
        <w:rPr>
          <w:rFonts w:ascii="Arial" w:cs="Arial" w:eastAsia="Arial" w:hAnsi="Arial"/>
          <w:sz w:val="22"/>
          <w:szCs w:val="22"/>
          <w:color w:val="auto"/>
        </w:rPr>
      </w:pPr>
    </w:p>
    <w:p>
      <w:pPr>
        <w:ind w:left="2500" w:hanging="898"/>
        <w:spacing w:after="0"/>
        <w:tabs>
          <w:tab w:leader="none" w:pos="2500" w:val="left"/>
        </w:tabs>
        <w:numPr>
          <w:ilvl w:val="1"/>
          <w:numId w:val="52"/>
        </w:numPr>
        <w:rPr>
          <w:rFonts w:ascii="Arial" w:cs="Arial" w:eastAsia="Arial" w:hAnsi="Arial"/>
          <w:sz w:val="20"/>
          <w:szCs w:val="20"/>
          <w:color w:val="auto"/>
        </w:rPr>
      </w:pPr>
      <w:r>
        <w:rPr>
          <w:rFonts w:ascii="Arial" w:cs="Arial" w:eastAsia="Arial" w:hAnsi="Arial"/>
          <w:sz w:val="20"/>
          <w:szCs w:val="20"/>
          <w:color w:val="auto"/>
        </w:rPr>
        <w:t>The election change must be made at least one year before the lump sum is scheduled to be</w:t>
      </w:r>
    </w:p>
    <w:p>
      <w:pPr>
        <w:spacing w:after="0" w:line="30" w:lineRule="exact"/>
        <w:rPr>
          <w:rFonts w:ascii="Arial" w:cs="Arial" w:eastAsia="Arial" w:hAnsi="Arial"/>
          <w:sz w:val="20"/>
          <w:szCs w:val="20"/>
          <w:color w:val="auto"/>
        </w:rPr>
      </w:pPr>
    </w:p>
    <w:p>
      <w:pPr>
        <w:ind w:left="880"/>
        <w:spacing w:after="0"/>
        <w:rPr>
          <w:rFonts w:ascii="Arial" w:cs="Arial" w:eastAsia="Arial" w:hAnsi="Arial"/>
          <w:sz w:val="20"/>
          <w:szCs w:val="20"/>
          <w:color w:val="auto"/>
        </w:rPr>
      </w:pPr>
      <w:r>
        <w:rPr>
          <w:rFonts w:ascii="Arial" w:cs="Arial" w:eastAsia="Arial" w:hAnsi="Arial"/>
          <w:sz w:val="22"/>
          <w:szCs w:val="22"/>
          <w:color w:val="auto"/>
        </w:rPr>
        <w:t>paid.</w:t>
      </w:r>
    </w:p>
    <w:p>
      <w:pPr>
        <w:spacing w:after="0" w:line="214" w:lineRule="exact"/>
        <w:rPr>
          <w:rFonts w:ascii="Arial" w:cs="Arial" w:eastAsia="Arial" w:hAnsi="Arial"/>
          <w:sz w:val="20"/>
          <w:szCs w:val="20"/>
          <w:color w:val="auto"/>
        </w:rPr>
      </w:pPr>
    </w:p>
    <w:p>
      <w:pPr>
        <w:ind w:left="880" w:right="800" w:firstLine="722"/>
        <w:spacing w:after="0" w:line="237" w:lineRule="auto"/>
        <w:tabs>
          <w:tab w:leader="none" w:pos="2510" w:val="left"/>
        </w:tabs>
        <w:numPr>
          <w:ilvl w:val="1"/>
          <w:numId w:val="52"/>
        </w:numPr>
        <w:rPr>
          <w:rFonts w:ascii="Arial" w:cs="Arial" w:eastAsia="Arial" w:hAnsi="Arial"/>
          <w:sz w:val="22"/>
          <w:szCs w:val="22"/>
          <w:color w:val="auto"/>
        </w:rPr>
      </w:pPr>
      <w:r>
        <w:rPr>
          <w:rFonts w:ascii="Arial" w:cs="Arial" w:eastAsia="Arial" w:hAnsi="Arial"/>
          <w:sz w:val="22"/>
          <w:szCs w:val="22"/>
          <w:color w:val="auto"/>
        </w:rPr>
        <w:t>If the Participant’s original payment election was to receive a lump sum (A) upon Separation from Service, or (B) upon the earlier of a specified age or date and Separation from Service, then the election change is void and does not take effect if the Participant has a Separation from Service within one year after the election change is made.</w:t>
      </w:r>
    </w:p>
    <w:p>
      <w:pPr>
        <w:spacing w:after="0" w:line="214" w:lineRule="exact"/>
        <w:rPr>
          <w:rFonts w:ascii="Arial" w:cs="Arial" w:eastAsia="Arial" w:hAnsi="Arial"/>
          <w:sz w:val="22"/>
          <w:szCs w:val="22"/>
          <w:color w:val="auto"/>
        </w:rPr>
      </w:pPr>
    </w:p>
    <w:p>
      <w:pPr>
        <w:ind w:left="2500" w:hanging="898"/>
        <w:spacing w:after="0"/>
        <w:tabs>
          <w:tab w:leader="none" w:pos="2500" w:val="left"/>
        </w:tabs>
        <w:numPr>
          <w:ilvl w:val="1"/>
          <w:numId w:val="52"/>
        </w:numPr>
        <w:rPr>
          <w:rFonts w:ascii="Arial" w:cs="Arial" w:eastAsia="Arial" w:hAnsi="Arial"/>
          <w:sz w:val="22"/>
          <w:szCs w:val="22"/>
          <w:color w:val="auto"/>
        </w:rPr>
      </w:pPr>
      <w:r>
        <w:rPr>
          <w:rFonts w:ascii="Arial" w:cs="Arial" w:eastAsia="Arial" w:hAnsi="Arial"/>
          <w:sz w:val="22"/>
          <w:szCs w:val="22"/>
          <w:color w:val="auto"/>
        </w:rPr>
        <w:t>Installment payments will begin five years after the lump sum was scheduled to be paid.</w:t>
      </w:r>
    </w:p>
    <w:p>
      <w:pPr>
        <w:spacing w:after="0" w:line="232" w:lineRule="exact"/>
        <w:rPr>
          <w:rFonts w:ascii="Arial" w:cs="Arial" w:eastAsia="Arial" w:hAnsi="Arial"/>
          <w:sz w:val="22"/>
          <w:szCs w:val="22"/>
          <w:color w:val="auto"/>
        </w:rPr>
      </w:pPr>
    </w:p>
    <w:p>
      <w:pPr>
        <w:ind w:left="2500" w:hanging="898"/>
        <w:spacing w:after="0"/>
        <w:tabs>
          <w:tab w:leader="none" w:pos="2500" w:val="left"/>
        </w:tabs>
        <w:numPr>
          <w:ilvl w:val="1"/>
          <w:numId w:val="52"/>
        </w:numPr>
        <w:rPr>
          <w:rFonts w:ascii="Arial" w:cs="Arial" w:eastAsia="Arial" w:hAnsi="Arial"/>
          <w:sz w:val="20"/>
          <w:szCs w:val="20"/>
          <w:color w:val="auto"/>
        </w:rPr>
      </w:pPr>
      <w:r>
        <w:rPr>
          <w:rFonts w:ascii="Arial" w:cs="Arial" w:eastAsia="Arial" w:hAnsi="Arial"/>
          <w:sz w:val="20"/>
          <w:szCs w:val="20"/>
          <w:color w:val="auto"/>
        </w:rPr>
        <w:t>Election changes are irrevocable, and a lump sum election cannot be reinstated under any</w:t>
      </w:r>
    </w:p>
    <w:p>
      <w:pPr>
        <w:spacing w:after="0" w:line="30" w:lineRule="exact"/>
        <w:rPr>
          <w:rFonts w:ascii="Arial" w:cs="Arial" w:eastAsia="Arial" w:hAnsi="Arial"/>
          <w:sz w:val="20"/>
          <w:szCs w:val="20"/>
          <w:color w:val="auto"/>
        </w:rPr>
      </w:pPr>
    </w:p>
    <w:p>
      <w:pPr>
        <w:ind w:left="880"/>
        <w:spacing w:after="0"/>
        <w:rPr>
          <w:rFonts w:ascii="Arial" w:cs="Arial" w:eastAsia="Arial" w:hAnsi="Arial"/>
          <w:sz w:val="20"/>
          <w:szCs w:val="20"/>
          <w:color w:val="auto"/>
        </w:rPr>
      </w:pPr>
      <w:r>
        <w:rPr>
          <w:rFonts w:ascii="Arial" w:cs="Arial" w:eastAsia="Arial" w:hAnsi="Arial"/>
          <w:sz w:val="22"/>
          <w:szCs w:val="22"/>
          <w:color w:val="auto"/>
        </w:rPr>
        <w:t>circumstances.</w:t>
      </w: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334" w:right="399" w:bottom="1440" w:gutter="0" w:footer="0" w:header="0"/>
        </w:sectPr>
      </w:pPr>
    </w:p>
    <w:bookmarkStart w:id="106" w:name="page107"/>
    <w:bookmarkEnd w:id="106"/>
    <w:p>
      <w:pPr>
        <w:jc w:val="center"/>
        <w:ind w:right="-59"/>
        <w:spacing w:after="0"/>
        <w:rPr>
          <w:sz w:val="20"/>
          <w:szCs w:val="20"/>
          <w:color w:val="auto"/>
        </w:rPr>
      </w:pPr>
      <w:r>
        <w:rPr>
          <w:rFonts w:ascii="Arial" w:cs="Arial" w:eastAsia="Arial" w:hAnsi="Arial"/>
          <w:sz w:val="22"/>
          <w:szCs w:val="22"/>
          <w:color w:val="010000"/>
        </w:rPr>
        <w:t>ARTICLE IV</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CREDITS TO PLAN ACCOUNTS; VESTING</w:t>
      </w:r>
    </w:p>
    <w:p>
      <w:pPr>
        <w:spacing w:after="0" w:line="200" w:lineRule="exact"/>
        <w:rPr>
          <w:sz w:val="20"/>
          <w:szCs w:val="20"/>
          <w:color w:val="auto"/>
        </w:rPr>
      </w:pPr>
    </w:p>
    <w:p>
      <w:pPr>
        <w:spacing w:after="0" w:line="203" w:lineRule="exact"/>
        <w:rPr>
          <w:sz w:val="20"/>
          <w:szCs w:val="20"/>
          <w:color w:val="auto"/>
        </w:rPr>
      </w:pPr>
    </w:p>
    <w:p>
      <w:pPr>
        <w:ind w:right="40" w:firstLine="864"/>
        <w:spacing w:after="0" w:line="231" w:lineRule="auto"/>
        <w:rPr>
          <w:sz w:val="20"/>
          <w:szCs w:val="20"/>
          <w:color w:val="auto"/>
        </w:rPr>
      </w:pPr>
      <w:r>
        <w:rPr>
          <w:rFonts w:ascii="Arial" w:cs="Arial" w:eastAsia="Arial" w:hAnsi="Arial"/>
          <w:sz w:val="22"/>
          <w:szCs w:val="22"/>
          <w:color w:val="auto"/>
        </w:rPr>
        <w:t>This Article IV sets forth the credits to Participant Accounts to be made for Plan Years starting January 1, 2020 and thereafter. The credits made for previous Plan Years are set forth in this Plan as it read before this January 1, 2020 Restatement.</w:t>
      </w:r>
    </w:p>
    <w:p>
      <w:pPr>
        <w:spacing w:after="0" w:line="200" w:lineRule="exact"/>
        <w:rPr>
          <w:sz w:val="20"/>
          <w:szCs w:val="20"/>
          <w:color w:val="auto"/>
        </w:rPr>
      </w:pPr>
    </w:p>
    <w:p>
      <w:pPr>
        <w:spacing w:after="0"/>
        <w:tabs>
          <w:tab w:leader="none" w:pos="920" w:val="left"/>
        </w:tabs>
        <w:rPr>
          <w:sz w:val="20"/>
          <w:szCs w:val="20"/>
          <w:color w:val="auto"/>
        </w:rPr>
      </w:pPr>
      <w:r>
        <w:rPr>
          <w:rFonts w:ascii="Arial" w:cs="Arial" w:eastAsia="Arial" w:hAnsi="Arial"/>
          <w:sz w:val="22"/>
          <w:szCs w:val="22"/>
          <w:color w:val="auto"/>
        </w:rPr>
        <w:t>4.1</w:t>
      </w:r>
      <w:r>
        <w:rPr>
          <w:sz w:val="20"/>
          <w:szCs w:val="20"/>
          <w:color w:val="auto"/>
        </w:rPr>
        <w:tab/>
      </w:r>
      <w:r>
        <w:rPr>
          <w:rFonts w:ascii="Arial" w:cs="Arial" w:eastAsia="Arial" w:hAnsi="Arial"/>
          <w:sz w:val="20"/>
          <w:szCs w:val="20"/>
          <w:u w:val="single" w:color="auto"/>
          <w:color w:val="auto"/>
        </w:rPr>
        <w:t>Matching Credit</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w:t>
      </w:r>
    </w:p>
    <w:p>
      <w:pPr>
        <w:spacing w:after="0" w:line="232" w:lineRule="exact"/>
        <w:rPr>
          <w:sz w:val="20"/>
          <w:szCs w:val="20"/>
          <w:color w:val="auto"/>
        </w:rPr>
      </w:pPr>
    </w:p>
    <w:p>
      <w:pPr>
        <w:ind w:right="340" w:firstLine="871"/>
        <w:spacing w:after="0"/>
        <w:tabs>
          <w:tab w:leader="none" w:pos="1758" w:val="left"/>
        </w:tabs>
        <w:numPr>
          <w:ilvl w:val="0"/>
          <w:numId w:val="53"/>
        </w:numPr>
        <w:rPr>
          <w:rFonts w:ascii="Arial" w:cs="Arial" w:eastAsia="Arial" w:hAnsi="Arial"/>
          <w:sz w:val="22"/>
          <w:szCs w:val="22"/>
          <w:color w:val="auto"/>
        </w:rPr>
      </w:pPr>
      <w:r>
        <w:rPr>
          <w:rFonts w:ascii="Arial" w:cs="Arial" w:eastAsia="Arial" w:hAnsi="Arial"/>
          <w:sz w:val="22"/>
          <w:szCs w:val="22"/>
          <w:color w:val="auto"/>
        </w:rPr>
        <w:t>(1)Subject to paragraph (2), this Section 4.1 only applies to a Participant who is classified by the Employer at salary grade 65 or higher for the entire Plan Year. If a Participant is classified at less than salary grade 65 for any portion of the Plan Year, they receive no matching credit for the Plan Year.</w:t>
      </w:r>
    </w:p>
    <w:p>
      <w:pPr>
        <w:spacing w:after="0" w:line="212" w:lineRule="exact"/>
        <w:rPr>
          <w:sz w:val="20"/>
          <w:szCs w:val="20"/>
          <w:color w:val="auto"/>
        </w:rPr>
      </w:pPr>
    </w:p>
    <w:p>
      <w:pPr>
        <w:ind w:right="300" w:firstLine="1511"/>
        <w:spacing w:after="0"/>
        <w:rPr>
          <w:sz w:val="20"/>
          <w:szCs w:val="20"/>
          <w:color w:val="auto"/>
        </w:rPr>
      </w:pPr>
      <w:r>
        <w:rPr>
          <w:rFonts w:ascii="Arial" w:cs="Arial" w:eastAsia="Arial" w:hAnsi="Arial"/>
          <w:sz w:val="22"/>
          <w:szCs w:val="22"/>
          <w:color w:val="auto"/>
        </w:rPr>
        <w:t>(2)This Section 4.1 also applies to a Participant described in clause (2) of the definition of Employee (Senior Vice President or higher on October 31, 2019). Such a Participant is treated as classified at salary grade 65 or higher for the entire Plan Year.</w:t>
      </w:r>
    </w:p>
    <w:p>
      <w:pPr>
        <w:spacing w:after="0" w:line="212" w:lineRule="exact"/>
        <w:rPr>
          <w:sz w:val="20"/>
          <w:szCs w:val="20"/>
          <w:color w:val="auto"/>
        </w:rPr>
      </w:pPr>
    </w:p>
    <w:p>
      <w:pPr>
        <w:jc w:val="both"/>
        <w:ind w:firstLine="871"/>
        <w:spacing w:after="0" w:line="268" w:lineRule="auto"/>
        <w:tabs>
          <w:tab w:leader="none" w:pos="1770" w:val="left"/>
        </w:tabs>
        <w:numPr>
          <w:ilvl w:val="0"/>
          <w:numId w:val="54"/>
        </w:numPr>
        <w:rPr>
          <w:rFonts w:ascii="Arial" w:cs="Arial" w:eastAsia="Arial" w:hAnsi="Arial"/>
          <w:sz w:val="20"/>
          <w:szCs w:val="20"/>
          <w:color w:val="auto"/>
        </w:rPr>
      </w:pPr>
      <w:r>
        <w:rPr>
          <w:rFonts w:ascii="Arial" w:cs="Arial" w:eastAsia="Arial" w:hAnsi="Arial"/>
          <w:sz w:val="20"/>
          <w:szCs w:val="20"/>
          <w:color w:val="auto"/>
        </w:rPr>
        <w:t>(1)Subject to paragraphs (2) and (3), each Plan Year there will be credited to the Account of a Participant described in subsection (a) an amount equal to 100% of the Participant's elective deferrals for the Plan Year under Section 3.2 that do not exceed 5% of the Participant's Compensation for the Plan Year, taking into account only Compensation that is above one times the Compensation Limitation and below two times the Compensation Limitation for the Plan Year.</w:t>
      </w:r>
    </w:p>
    <w:p>
      <w:pPr>
        <w:spacing w:after="0" w:line="186" w:lineRule="exact"/>
        <w:rPr>
          <w:sz w:val="20"/>
          <w:szCs w:val="20"/>
          <w:color w:val="auto"/>
        </w:rPr>
      </w:pPr>
    </w:p>
    <w:p>
      <w:pPr>
        <w:ind w:right="400" w:firstLine="1511"/>
        <w:spacing w:after="0" w:line="250" w:lineRule="auto"/>
        <w:rPr>
          <w:sz w:val="20"/>
          <w:szCs w:val="20"/>
          <w:color w:val="auto"/>
        </w:rPr>
      </w:pPr>
      <w:r>
        <w:rPr>
          <w:rFonts w:ascii="Arial" w:cs="Arial" w:eastAsia="Arial" w:hAnsi="Arial"/>
          <w:sz w:val="22"/>
          <w:szCs w:val="22"/>
          <w:color w:val="auto"/>
        </w:rPr>
        <w:t>(2)No matching amount will be credited for a Plan Year unless the Participant deferred the maximum dollar amount allowed under the RSP for the Plan Year.</w:t>
      </w:r>
    </w:p>
    <w:p>
      <w:pPr>
        <w:spacing w:after="0" w:line="201" w:lineRule="exact"/>
        <w:rPr>
          <w:sz w:val="20"/>
          <w:szCs w:val="20"/>
          <w:color w:val="auto"/>
        </w:rPr>
      </w:pPr>
    </w:p>
    <w:p>
      <w:pPr>
        <w:ind w:right="160" w:firstLine="1511"/>
        <w:spacing w:after="0" w:line="236" w:lineRule="auto"/>
        <w:rPr>
          <w:sz w:val="20"/>
          <w:szCs w:val="20"/>
          <w:color w:val="auto"/>
        </w:rPr>
      </w:pPr>
      <w:r>
        <w:rPr>
          <w:rFonts w:ascii="Arial" w:cs="Arial" w:eastAsia="Arial" w:hAnsi="Arial"/>
          <w:sz w:val="22"/>
          <w:szCs w:val="22"/>
          <w:color w:val="auto"/>
        </w:rPr>
        <w:t>(3)The RSP does not provide a matching contribution for new hires until after the sixth month anniversary of their date of hire. The same six month eligibility requirement applies to matching credits under this Plan. Accordingly, in the case of a Participant who is hired during the six months preceding the first day of a Plan Year, Compensation taken into account under paragraph (1) excludes Compensation for pay dates before the first pay date that is taken into account for the matching contribution under the RSP.</w:t>
      </w:r>
    </w:p>
    <w:p>
      <w:pPr>
        <w:spacing w:after="0" w:line="186" w:lineRule="exact"/>
        <w:rPr>
          <w:sz w:val="20"/>
          <w:szCs w:val="20"/>
          <w:color w:val="auto"/>
        </w:rPr>
      </w:pPr>
    </w:p>
    <w:p>
      <w:pPr>
        <w:spacing w:after="0"/>
        <w:tabs>
          <w:tab w:leader="none" w:pos="92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20"/>
          <w:szCs w:val="20"/>
          <w:u w:val="single" w:color="auto"/>
          <w:color w:val="auto"/>
        </w:rPr>
        <w:t>Retirement Accumulation Credit</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w:t>
      </w:r>
    </w:p>
    <w:p>
      <w:pPr>
        <w:spacing w:after="0" w:line="214" w:lineRule="exact"/>
        <w:rPr>
          <w:sz w:val="20"/>
          <w:szCs w:val="20"/>
          <w:color w:val="auto"/>
        </w:rPr>
      </w:pPr>
    </w:p>
    <w:p>
      <w:pPr>
        <w:jc w:val="both"/>
        <w:ind w:right="100" w:firstLine="871"/>
        <w:spacing w:after="0" w:line="237" w:lineRule="auto"/>
        <w:tabs>
          <w:tab w:leader="none" w:pos="1758" w:val="left"/>
        </w:tabs>
        <w:numPr>
          <w:ilvl w:val="0"/>
          <w:numId w:val="55"/>
        </w:numPr>
        <w:rPr>
          <w:rFonts w:ascii="Arial" w:cs="Arial" w:eastAsia="Arial" w:hAnsi="Arial"/>
          <w:sz w:val="22"/>
          <w:szCs w:val="22"/>
          <w:color w:val="auto"/>
        </w:rPr>
      </w:pPr>
      <w:r>
        <w:rPr>
          <w:rFonts w:ascii="Arial" w:cs="Arial" w:eastAsia="Arial" w:hAnsi="Arial"/>
          <w:sz w:val="22"/>
          <w:szCs w:val="22"/>
          <w:color w:val="auto"/>
        </w:rPr>
        <w:t>(1) Subject to paragraph (2), this Section 4.2 only applies to a Participant who (A) is entitled to an RAA Contribution for the Plan Year under the RSP, and (B) is classified by the Employer at salary grade 65 or higher for the entire Plan Year. If a Participant is classified at less than salary grade 65 for any portion of the Plan Year, they receive no Retirement Accumulation credit for the Plan Year.</w:t>
      </w:r>
    </w:p>
    <w:p>
      <w:pPr>
        <w:spacing w:after="0" w:line="214" w:lineRule="exact"/>
        <w:rPr>
          <w:sz w:val="20"/>
          <w:szCs w:val="20"/>
          <w:color w:val="auto"/>
        </w:rPr>
      </w:pPr>
    </w:p>
    <w:p>
      <w:pPr>
        <w:jc w:val="both"/>
        <w:ind w:right="200" w:firstLine="1511"/>
        <w:spacing w:after="0"/>
        <w:rPr>
          <w:sz w:val="20"/>
          <w:szCs w:val="20"/>
          <w:color w:val="auto"/>
        </w:rPr>
      </w:pPr>
      <w:r>
        <w:rPr>
          <w:rFonts w:ascii="Arial" w:cs="Arial" w:eastAsia="Arial" w:hAnsi="Arial"/>
          <w:sz w:val="22"/>
          <w:szCs w:val="22"/>
          <w:color w:val="auto"/>
        </w:rPr>
        <w:t>(2)This Section 4.2 also applies to a Participant described in clause (2) of the definition of Employee (Senior Vice President or higher on October 31, 2019) who is entitled to an RAA Contribution for the Plan Year under the RSP. Such a Participant is treated as classified</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34" w:right="379" w:bottom="1440" w:gutter="0" w:footer="0" w:header="0"/>
        </w:sectPr>
      </w:pPr>
    </w:p>
    <w:bookmarkStart w:id="107" w:name="page108"/>
    <w:bookmarkEnd w:id="107"/>
    <w:p>
      <w:pPr>
        <w:spacing w:after="0"/>
        <w:rPr>
          <w:sz w:val="20"/>
          <w:szCs w:val="20"/>
          <w:color w:val="auto"/>
        </w:rPr>
      </w:pPr>
      <w:r>
        <w:rPr>
          <w:rFonts w:ascii="Arial" w:cs="Arial" w:eastAsia="Arial" w:hAnsi="Arial"/>
          <w:sz w:val="22"/>
          <w:szCs w:val="22"/>
          <w:color w:val="auto"/>
        </w:rPr>
        <w:t>at salary grade 65 or higher for the entire Plan Year.</w:t>
      </w:r>
    </w:p>
    <w:p>
      <w:pPr>
        <w:spacing w:after="0" w:line="232" w:lineRule="exact"/>
        <w:rPr>
          <w:sz w:val="20"/>
          <w:szCs w:val="20"/>
          <w:color w:val="auto"/>
        </w:rPr>
      </w:pPr>
    </w:p>
    <w:p>
      <w:pPr>
        <w:ind w:right="620" w:firstLine="871"/>
        <w:spacing w:after="0" w:line="250" w:lineRule="auto"/>
        <w:tabs>
          <w:tab w:leader="none" w:pos="1770" w:val="left"/>
        </w:tabs>
        <w:numPr>
          <w:ilvl w:val="0"/>
          <w:numId w:val="56"/>
        </w:numPr>
        <w:rPr>
          <w:rFonts w:ascii="Arial" w:cs="Arial" w:eastAsia="Arial" w:hAnsi="Arial"/>
          <w:sz w:val="22"/>
          <w:szCs w:val="22"/>
          <w:color w:val="auto"/>
        </w:rPr>
      </w:pPr>
      <w:r>
        <w:rPr>
          <w:rFonts w:ascii="Arial" w:cs="Arial" w:eastAsia="Arial" w:hAnsi="Arial"/>
          <w:sz w:val="22"/>
          <w:szCs w:val="22"/>
          <w:color w:val="auto"/>
        </w:rPr>
        <w:t>Each Plan Year there will be credited to the Account of a Participant described in subsection (a) an amount equal to the excess of (1) over (2), where:</w:t>
      </w:r>
    </w:p>
    <w:p>
      <w:pPr>
        <w:spacing w:after="0" w:line="174" w:lineRule="exact"/>
        <w:rPr>
          <w:sz w:val="20"/>
          <w:szCs w:val="20"/>
          <w:color w:val="auto"/>
        </w:rPr>
      </w:pPr>
    </w:p>
    <w:p>
      <w:pPr>
        <w:ind w:left="880" w:right="60" w:hanging="9"/>
        <w:spacing w:after="0" w:line="231" w:lineRule="auto"/>
        <w:tabs>
          <w:tab w:leader="none" w:pos="1200" w:val="left"/>
        </w:tabs>
        <w:numPr>
          <w:ilvl w:val="0"/>
          <w:numId w:val="57"/>
        </w:numPr>
        <w:rPr>
          <w:rFonts w:ascii="Arial" w:cs="Arial" w:eastAsia="Arial" w:hAnsi="Arial"/>
          <w:sz w:val="22"/>
          <w:szCs w:val="22"/>
          <w:color w:val="auto"/>
        </w:rPr>
      </w:pPr>
      <w:r>
        <w:rPr>
          <w:rFonts w:ascii="Arial" w:cs="Arial" w:eastAsia="Arial" w:hAnsi="Arial"/>
          <w:sz w:val="22"/>
          <w:szCs w:val="22"/>
          <w:color w:val="auto"/>
        </w:rPr>
        <w:t>is the RAA Contribution that would have been contributed under Section 4.6 of the RSP for the Participant for the Plan Year, assuming that the Compensation Limitation for the Plan Year is two times the Compensation Limitation that would otherwise apply for the Plan Year, and</w:t>
      </w:r>
    </w:p>
    <w:p>
      <w:pPr>
        <w:spacing w:after="0" w:line="172" w:lineRule="exact"/>
        <w:rPr>
          <w:rFonts w:ascii="Arial" w:cs="Arial" w:eastAsia="Arial" w:hAnsi="Arial"/>
          <w:sz w:val="22"/>
          <w:szCs w:val="22"/>
          <w:color w:val="auto"/>
        </w:rPr>
      </w:pPr>
    </w:p>
    <w:p>
      <w:pPr>
        <w:ind w:left="880" w:right="140" w:hanging="9"/>
        <w:spacing w:after="0" w:line="238" w:lineRule="auto"/>
        <w:tabs>
          <w:tab w:leader="none" w:pos="1200" w:val="left"/>
        </w:tabs>
        <w:numPr>
          <w:ilvl w:val="0"/>
          <w:numId w:val="57"/>
        </w:numPr>
        <w:rPr>
          <w:rFonts w:ascii="Arial" w:cs="Arial" w:eastAsia="Arial" w:hAnsi="Arial"/>
          <w:sz w:val="22"/>
          <w:szCs w:val="22"/>
          <w:color w:val="auto"/>
        </w:rPr>
      </w:pPr>
      <w:r>
        <w:rPr>
          <w:rFonts w:ascii="Arial" w:cs="Arial" w:eastAsia="Arial" w:hAnsi="Arial"/>
          <w:sz w:val="22"/>
          <w:szCs w:val="22"/>
          <w:color w:val="auto"/>
        </w:rPr>
        <w:t>is the RAA Contribution that was actually contributed under Section 4.6 of the RSP for the Participant for the Plan Year.</w:t>
      </w:r>
    </w:p>
    <w:p>
      <w:pPr>
        <w:spacing w:after="0" w:line="172"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color w:val="auto"/>
        </w:rPr>
        <w:t>4.3</w:t>
      </w:r>
      <w:r>
        <w:rPr>
          <w:sz w:val="20"/>
          <w:szCs w:val="20"/>
          <w:color w:val="auto"/>
        </w:rPr>
        <w:tab/>
      </w:r>
      <w:r>
        <w:rPr>
          <w:rFonts w:ascii="Arial" w:cs="Arial" w:eastAsia="Arial" w:hAnsi="Arial"/>
          <w:sz w:val="20"/>
          <w:szCs w:val="20"/>
          <w:u w:val="single" w:color="auto"/>
          <w:color w:val="auto"/>
        </w:rPr>
        <w:t>Discretionary Credit</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w:t>
      </w:r>
    </w:p>
    <w:p>
      <w:pPr>
        <w:spacing w:after="0" w:line="214" w:lineRule="exact"/>
        <w:rPr>
          <w:sz w:val="20"/>
          <w:szCs w:val="20"/>
          <w:color w:val="auto"/>
        </w:rPr>
      </w:pPr>
    </w:p>
    <w:p>
      <w:pPr>
        <w:ind w:firstLine="871"/>
        <w:spacing w:after="0" w:line="237" w:lineRule="auto"/>
        <w:tabs>
          <w:tab w:leader="none" w:pos="1750" w:val="left"/>
        </w:tabs>
        <w:numPr>
          <w:ilvl w:val="0"/>
          <w:numId w:val="58"/>
        </w:numPr>
        <w:rPr>
          <w:rFonts w:ascii="Arial" w:cs="Arial" w:eastAsia="Arial" w:hAnsi="Arial"/>
          <w:sz w:val="22"/>
          <w:szCs w:val="22"/>
          <w:color w:val="auto"/>
        </w:rPr>
      </w:pPr>
      <w:r>
        <w:rPr>
          <w:rFonts w:ascii="Arial" w:cs="Arial" w:eastAsia="Arial" w:hAnsi="Arial"/>
          <w:sz w:val="22"/>
          <w:szCs w:val="22"/>
          <w:color w:val="auto"/>
        </w:rPr>
        <w:t>(1)Subject to paragraph (2), this Section 4.3 only applies to a Participant who (A) is entitled to a Discretionary Contribution for the Plan Year under the RSP, and (B) is classified by the Employer at salary grade 65 or higher for the entire Plan Year. If a Participant is classified at less than salary grade 65 for any portion of the Plan Year, they receive no Discretionary credit for the Plan Year.</w:t>
      </w:r>
    </w:p>
    <w:p>
      <w:pPr>
        <w:spacing w:after="0" w:line="214" w:lineRule="exact"/>
        <w:rPr>
          <w:sz w:val="20"/>
          <w:szCs w:val="20"/>
          <w:color w:val="auto"/>
        </w:rPr>
      </w:pPr>
    </w:p>
    <w:p>
      <w:pPr>
        <w:ind w:right="280" w:firstLine="1511"/>
        <w:spacing w:after="0" w:line="276" w:lineRule="auto"/>
        <w:rPr>
          <w:sz w:val="20"/>
          <w:szCs w:val="20"/>
          <w:color w:val="auto"/>
        </w:rPr>
      </w:pPr>
      <w:r>
        <w:rPr>
          <w:rFonts w:ascii="Arial" w:cs="Arial" w:eastAsia="Arial" w:hAnsi="Arial"/>
          <w:sz w:val="20"/>
          <w:szCs w:val="20"/>
          <w:color w:val="auto"/>
        </w:rPr>
        <w:t>(2)This Section 4.3 also applies to a Participant described in clause (2) of the definition of Employee (Senior Vice President or higher on October 31, 2019) who is entitled to a Discretionary Contribution for the Plan Year under the RSP. Such a Participant is treated as classified at salary grade 65 or higher for the entire Plan Year.</w:t>
      </w:r>
    </w:p>
    <w:p>
      <w:pPr>
        <w:spacing w:after="0" w:line="177" w:lineRule="exact"/>
        <w:rPr>
          <w:sz w:val="20"/>
          <w:szCs w:val="20"/>
          <w:color w:val="auto"/>
        </w:rPr>
      </w:pPr>
    </w:p>
    <w:p>
      <w:pPr>
        <w:ind w:right="20" w:firstLine="871"/>
        <w:spacing w:after="0" w:line="236" w:lineRule="auto"/>
        <w:tabs>
          <w:tab w:leader="none" w:pos="1770" w:val="left"/>
        </w:tabs>
        <w:numPr>
          <w:ilvl w:val="0"/>
          <w:numId w:val="59"/>
        </w:numPr>
        <w:rPr>
          <w:rFonts w:ascii="Arial" w:cs="Arial" w:eastAsia="Arial" w:hAnsi="Arial"/>
          <w:sz w:val="22"/>
          <w:szCs w:val="22"/>
          <w:color w:val="auto"/>
        </w:rPr>
      </w:pPr>
      <w:r>
        <w:rPr>
          <w:rFonts w:ascii="Arial" w:cs="Arial" w:eastAsia="Arial" w:hAnsi="Arial"/>
          <w:sz w:val="22"/>
          <w:szCs w:val="22"/>
          <w:color w:val="auto"/>
        </w:rPr>
        <w:t>(1)Subject to paragraph (2), each Plan Year there will be credited to the Account of a Participant described in subsection (a) an amount equal to a specified percentage (if any) of their Compensation for the Plan Year</w:t>
      </w:r>
      <w:r>
        <w:rPr>
          <w:rFonts w:ascii="Arial" w:cs="Arial" w:eastAsia="Arial" w:hAnsi="Arial"/>
          <w:sz w:val="17"/>
          <w:szCs w:val="17"/>
          <w:color w:val="auto"/>
        </w:rPr>
        <w:t>,</w:t>
      </w:r>
      <w:r>
        <w:rPr>
          <w:rFonts w:ascii="Arial" w:cs="Arial" w:eastAsia="Arial" w:hAnsi="Arial"/>
          <w:sz w:val="22"/>
          <w:szCs w:val="22"/>
          <w:color w:val="auto"/>
        </w:rPr>
        <w:t xml:space="preserve"> taking into account only Compensation that is above one times the Compensation Limitation and below two times the Compensation Limitation for the Plan Year. The specified percentage (if any) is determined by the Company in its discretion.</w:t>
      </w:r>
    </w:p>
    <w:p>
      <w:pPr>
        <w:spacing w:after="0" w:line="213" w:lineRule="exact"/>
        <w:rPr>
          <w:sz w:val="20"/>
          <w:szCs w:val="20"/>
          <w:color w:val="auto"/>
        </w:rPr>
      </w:pPr>
    </w:p>
    <w:p>
      <w:pPr>
        <w:ind w:right="240" w:firstLine="1511"/>
        <w:spacing w:after="0" w:line="236" w:lineRule="auto"/>
        <w:rPr>
          <w:sz w:val="20"/>
          <w:szCs w:val="20"/>
          <w:color w:val="auto"/>
        </w:rPr>
      </w:pPr>
      <w:r>
        <w:rPr>
          <w:rFonts w:ascii="Arial" w:cs="Arial" w:eastAsia="Arial" w:hAnsi="Arial"/>
          <w:sz w:val="22"/>
          <w:szCs w:val="22"/>
          <w:color w:val="auto"/>
        </w:rPr>
        <w:t>(2) The RSP does not provide a Discretionary Contribution for new hires until after the sixth month anniversary of their date of hire. The same six month eligibility requirement applies to Discretionary credits under this Plan. Accordingly, in the case of a Participant who is hired during the six months preceding the first day of a Plan Year, Compensation taken into account under paragraph (1) excludes Compensation for pay dates before the first pay date that is taken into account for the Discretionary Contribution under the RSP.</w:t>
      </w:r>
    </w:p>
    <w:p>
      <w:pPr>
        <w:spacing w:after="0" w:line="186"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color w:val="auto"/>
        </w:rPr>
        <w:t>4.4</w:t>
      </w:r>
      <w:r>
        <w:rPr>
          <w:sz w:val="20"/>
          <w:szCs w:val="20"/>
          <w:color w:val="auto"/>
        </w:rPr>
        <w:tab/>
      </w:r>
      <w:r>
        <w:rPr>
          <w:rFonts w:ascii="Arial" w:cs="Arial" w:eastAsia="Arial" w:hAnsi="Arial"/>
          <w:sz w:val="19"/>
          <w:szCs w:val="19"/>
          <w:u w:val="single" w:color="auto"/>
          <w:color w:val="auto"/>
        </w:rPr>
        <w:t>Elective Deferrals</w:t>
      </w:r>
    </w:p>
    <w:p>
      <w:pPr>
        <w:spacing w:after="0" w:line="8" w:lineRule="exact"/>
        <w:rPr>
          <w:sz w:val="20"/>
          <w:szCs w:val="20"/>
          <w:color w:val="auto"/>
        </w:rPr>
      </w:pPr>
    </w:p>
    <w:p>
      <w:pPr>
        <w:ind w:left="160" w:hanging="152"/>
        <w:spacing w:after="0"/>
        <w:tabs>
          <w:tab w:leader="none" w:pos="160" w:val="left"/>
        </w:tabs>
        <w:numPr>
          <w:ilvl w:val="0"/>
          <w:numId w:val="60"/>
        </w:numPr>
        <w:rPr>
          <w:rFonts w:ascii="Arial" w:cs="Arial" w:eastAsia="Arial" w:hAnsi="Arial"/>
          <w:sz w:val="19"/>
          <w:szCs w:val="19"/>
          <w:u w:val="single" w:color="auto"/>
          <w:color w:val="auto"/>
        </w:rPr>
      </w:pPr>
      <w:r>
        <w:rPr>
          <w:rFonts w:ascii="Arial" w:cs="Arial" w:eastAsia="Arial" w:hAnsi="Arial"/>
          <w:sz w:val="19"/>
          <w:szCs w:val="19"/>
          <w:color w:val="auto"/>
        </w:rPr>
        <w:t>Each Plan Year, there will be credited to a Participant’s Account the amount the Participant elects to defer under Section 3.2.</w:t>
      </w:r>
    </w:p>
    <w:p>
      <w:pPr>
        <w:spacing w:after="0" w:line="222"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color w:val="auto"/>
        </w:rPr>
        <w:t>4.5</w:t>
      </w:r>
      <w:r>
        <w:rPr>
          <w:sz w:val="20"/>
          <w:szCs w:val="20"/>
          <w:color w:val="auto"/>
        </w:rPr>
        <w:tab/>
      </w:r>
      <w:r>
        <w:rPr>
          <w:rFonts w:ascii="Arial" w:cs="Arial" w:eastAsia="Arial" w:hAnsi="Arial"/>
          <w:sz w:val="20"/>
          <w:szCs w:val="20"/>
          <w:u w:val="single" w:color="auto"/>
          <w:color w:val="auto"/>
        </w:rPr>
        <w:t>No Duplication of Benefits</w:t>
      </w:r>
    </w:p>
    <w:p>
      <w:pPr>
        <w:spacing w:after="0" w:line="8" w:lineRule="exact"/>
        <w:rPr>
          <w:sz w:val="20"/>
          <w:szCs w:val="20"/>
          <w:color w:val="auto"/>
        </w:rPr>
      </w:pPr>
    </w:p>
    <w:p>
      <w:pPr>
        <w:ind w:right="40" w:firstLine="8"/>
        <w:spacing w:after="0" w:line="236" w:lineRule="auto"/>
        <w:tabs>
          <w:tab w:leader="none" w:pos="158" w:val="left"/>
        </w:tabs>
        <w:numPr>
          <w:ilvl w:val="0"/>
          <w:numId w:val="61"/>
        </w:numPr>
        <w:rPr>
          <w:rFonts w:ascii="Arial" w:cs="Arial" w:eastAsia="Arial" w:hAnsi="Arial"/>
          <w:sz w:val="22"/>
          <w:szCs w:val="22"/>
          <w:u w:val="single" w:color="auto"/>
          <w:color w:val="auto"/>
        </w:rPr>
      </w:pPr>
      <w:r>
        <w:rPr>
          <w:rFonts w:ascii="Arial" w:cs="Arial" w:eastAsia="Arial" w:hAnsi="Arial"/>
          <w:sz w:val="22"/>
          <w:szCs w:val="22"/>
          <w:color w:val="auto"/>
        </w:rPr>
        <w:t>The credits to a Participant's Account under this Article IV will be determined and coordinated so as to prevent any duplication of benefits under this Plan and under the RSP or any individual agreement with the Participant.</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334" w:right="399" w:bottom="1440" w:gutter="0" w:footer="0" w:header="0"/>
        </w:sectPr>
      </w:pPr>
    </w:p>
    <w:bookmarkStart w:id="108" w:name="page109"/>
    <w:bookmarkEnd w:id="108"/>
    <w:p>
      <w:pPr>
        <w:spacing w:after="0"/>
        <w:tabs>
          <w:tab w:leader="none" w:pos="900" w:val="left"/>
        </w:tabs>
        <w:rPr>
          <w:sz w:val="20"/>
          <w:szCs w:val="20"/>
          <w:color w:val="auto"/>
        </w:rPr>
      </w:pPr>
      <w:r>
        <w:rPr>
          <w:rFonts w:ascii="Arial" w:cs="Arial" w:eastAsia="Arial" w:hAnsi="Arial"/>
          <w:sz w:val="22"/>
          <w:szCs w:val="22"/>
          <w:color w:val="auto"/>
        </w:rPr>
        <w:t>4.6</w:t>
      </w:r>
      <w:r>
        <w:rPr>
          <w:sz w:val="20"/>
          <w:szCs w:val="20"/>
          <w:color w:val="auto"/>
        </w:rPr>
        <w:tab/>
      </w:r>
      <w:r>
        <w:rPr>
          <w:rFonts w:ascii="Arial" w:cs="Arial" w:eastAsia="Arial" w:hAnsi="Arial"/>
          <w:sz w:val="19"/>
          <w:szCs w:val="19"/>
          <w:u w:val="single" w:color="auto"/>
          <w:color w:val="auto"/>
        </w:rPr>
        <w:t>Vesting</w:t>
      </w:r>
    </w:p>
    <w:p>
      <w:pPr>
        <w:spacing w:after="0" w:line="8" w:lineRule="exact"/>
        <w:rPr>
          <w:sz w:val="20"/>
          <w:szCs w:val="20"/>
          <w:color w:val="auto"/>
        </w:rPr>
      </w:pPr>
    </w:p>
    <w:p>
      <w:pPr>
        <w:jc w:val="both"/>
        <w:ind w:firstLine="8"/>
        <w:spacing w:after="0" w:line="233" w:lineRule="auto"/>
        <w:tabs>
          <w:tab w:leader="none" w:pos="158" w:val="left"/>
        </w:tabs>
        <w:numPr>
          <w:ilvl w:val="0"/>
          <w:numId w:val="62"/>
        </w:numPr>
        <w:rPr>
          <w:rFonts w:ascii="Arial" w:cs="Arial" w:eastAsia="Arial" w:hAnsi="Arial"/>
          <w:sz w:val="22"/>
          <w:szCs w:val="22"/>
          <w:u w:val="single" w:color="auto"/>
          <w:color w:val="auto"/>
        </w:rPr>
      </w:pPr>
      <w:r>
        <w:rPr>
          <w:rFonts w:ascii="Arial" w:cs="Arial" w:eastAsia="Arial" w:hAnsi="Arial"/>
          <w:sz w:val="22"/>
          <w:szCs w:val="22"/>
          <w:color w:val="auto"/>
        </w:rPr>
        <w:t>The portion of a Participant's Account attributable to credits under Sections 4.1 (Match) and 4.4 (Elective Deferrals) is fully vested at all times. The portion of a Participant's Account attributable to credits under Section 4.2 (Retirement Accumulation) and Section 4.3 (Discretionary) is vested according to the same rules as apply to vesting in the Retirement Accumulation Account under the RSP.</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010000"/>
        </w:rPr>
        <w:t>ARTICLE V</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0" w:right="359" w:bottom="1440" w:gutter="0" w:footer="0" w:header="0"/>
        </w:sectPr>
      </w:pPr>
    </w:p>
    <w:bookmarkStart w:id="109" w:name="page110"/>
    <w:bookmarkEnd w:id="109"/>
    <w:p>
      <w:pPr>
        <w:jc w:val="center"/>
        <w:ind w:right="-39"/>
        <w:spacing w:after="0"/>
        <w:rPr>
          <w:sz w:val="20"/>
          <w:szCs w:val="20"/>
          <w:color w:val="auto"/>
        </w:rPr>
      </w:pPr>
      <w:r>
        <w:rPr>
          <w:rFonts w:ascii="Arial" w:cs="Arial" w:eastAsia="Arial" w:hAnsi="Arial"/>
          <w:sz w:val="22"/>
          <w:szCs w:val="22"/>
          <w:color w:val="auto"/>
        </w:rPr>
        <w:t>INDIVIDUAL ACCOUNTS, INVESTMENTS AND VALUATIONS</w:t>
      </w:r>
    </w:p>
    <w:p>
      <w:pPr>
        <w:spacing w:after="0" w:line="200" w:lineRule="exact"/>
        <w:rPr>
          <w:sz w:val="20"/>
          <w:szCs w:val="20"/>
          <w:color w:val="auto"/>
        </w:rPr>
      </w:pPr>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19"/>
          <w:szCs w:val="19"/>
          <w:u w:val="single" w:color="auto"/>
          <w:color w:val="auto"/>
        </w:rPr>
        <w:t>Accounts</w:t>
      </w:r>
    </w:p>
    <w:p>
      <w:pPr>
        <w:spacing w:after="0" w:line="8" w:lineRule="exact"/>
        <w:rPr>
          <w:sz w:val="20"/>
          <w:szCs w:val="20"/>
          <w:color w:val="auto"/>
        </w:rPr>
      </w:pPr>
    </w:p>
    <w:p>
      <w:pPr>
        <w:ind w:right="160" w:firstLine="8"/>
        <w:spacing w:after="0" w:line="257" w:lineRule="auto"/>
        <w:tabs>
          <w:tab w:leader="none" w:pos="158" w:val="left"/>
        </w:tabs>
        <w:numPr>
          <w:ilvl w:val="0"/>
          <w:numId w:val="63"/>
        </w:numPr>
        <w:rPr>
          <w:rFonts w:ascii="Arial" w:cs="Arial" w:eastAsia="Arial" w:hAnsi="Arial"/>
          <w:sz w:val="20"/>
          <w:szCs w:val="20"/>
          <w:u w:val="single" w:color="auto"/>
          <w:color w:val="auto"/>
        </w:rPr>
      </w:pPr>
      <w:r>
        <w:rPr>
          <w:rFonts w:ascii="Arial" w:cs="Arial" w:eastAsia="Arial" w:hAnsi="Arial"/>
          <w:sz w:val="20"/>
          <w:szCs w:val="20"/>
          <w:color w:val="auto"/>
        </w:rPr>
        <w:t>The provisions of the RSP concerning the maintenance of individual accounts and investment elections by Participants will apply equally under this Plan. Subaccounts will be maintained under each Account to separately reflect amounts credited under Article IV. Amounts will be credited to a Participant's Account under this Plan at substantially the same time as corresponding amounts are credited under the RSP for the Plan Year, except that matching credits under Section 4.1 will be credited as soon as administratively practicable, but not more than 90 days, after the end of the Plan Year for which the matching credits apply. If a Participant makes multiple payment elections under Section 3.3, their Account will be maintained so that the portion of the Account attributable to each payment election can be separately determined.</w:t>
      </w:r>
    </w:p>
    <w:p>
      <w:pPr>
        <w:spacing w:after="0" w:line="173"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19"/>
          <w:szCs w:val="19"/>
          <w:u w:val="single" w:color="auto"/>
          <w:color w:val="auto"/>
        </w:rPr>
        <w:t>Investment Elections</w:t>
      </w:r>
    </w:p>
    <w:p>
      <w:pPr>
        <w:spacing w:after="0" w:line="8" w:lineRule="exact"/>
        <w:rPr>
          <w:sz w:val="20"/>
          <w:szCs w:val="20"/>
          <w:color w:val="auto"/>
        </w:rPr>
      </w:pPr>
    </w:p>
    <w:p>
      <w:pPr>
        <w:ind w:right="20" w:firstLine="8"/>
        <w:spacing w:after="0" w:line="262" w:lineRule="auto"/>
        <w:tabs>
          <w:tab w:leader="none" w:pos="162" w:val="left"/>
        </w:tabs>
        <w:numPr>
          <w:ilvl w:val="0"/>
          <w:numId w:val="64"/>
        </w:numPr>
        <w:rPr>
          <w:rFonts w:ascii="Arial" w:cs="Arial" w:eastAsia="Arial" w:hAnsi="Arial"/>
          <w:sz w:val="20"/>
          <w:szCs w:val="20"/>
          <w:u w:val="single" w:color="auto"/>
          <w:color w:val="auto"/>
        </w:rPr>
      </w:pPr>
      <w:r>
        <w:rPr>
          <w:rFonts w:ascii="Arial" w:cs="Arial" w:eastAsia="Arial" w:hAnsi="Arial"/>
          <w:sz w:val="20"/>
          <w:szCs w:val="20"/>
          <w:color w:val="auto"/>
        </w:rPr>
        <w:t>Participant investment elections under the RSP for Employee Pretax Contributions will apply to all amounts credited to Participant Accounts hereunder. Such amounts will be deemed to be invested initially in the Investment Funds available under the RSP in the same proportion as reflected in elections under the RSP. Accounts hereunder will be valued in the same manner as RSP accounts, except that stock of M&amp;T Bank Corporation will be stated in dollars instead of shares.</w:t>
      </w:r>
    </w:p>
    <w:p>
      <w:pPr>
        <w:spacing w:after="0" w:line="164"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color w:val="auto"/>
        </w:rPr>
        <w:t>5.3</w:t>
      </w:r>
      <w:r>
        <w:rPr>
          <w:sz w:val="20"/>
          <w:szCs w:val="20"/>
          <w:color w:val="auto"/>
        </w:rPr>
        <w:tab/>
      </w:r>
      <w:r>
        <w:rPr>
          <w:rFonts w:ascii="Arial" w:cs="Arial" w:eastAsia="Arial" w:hAnsi="Arial"/>
          <w:sz w:val="19"/>
          <w:szCs w:val="19"/>
          <w:u w:val="single" w:color="auto"/>
          <w:color w:val="auto"/>
        </w:rPr>
        <w:t>Reallocation of Investments</w:t>
      </w:r>
    </w:p>
    <w:p>
      <w:pPr>
        <w:spacing w:after="0" w:line="8" w:lineRule="exact"/>
        <w:rPr>
          <w:sz w:val="20"/>
          <w:szCs w:val="20"/>
          <w:color w:val="auto"/>
        </w:rPr>
      </w:pPr>
    </w:p>
    <w:p>
      <w:pPr>
        <w:jc w:val="both"/>
        <w:ind w:right="80" w:firstLine="8"/>
        <w:spacing w:after="0" w:line="234" w:lineRule="auto"/>
        <w:tabs>
          <w:tab w:leader="none" w:pos="158" w:val="left"/>
        </w:tabs>
        <w:numPr>
          <w:ilvl w:val="0"/>
          <w:numId w:val="65"/>
        </w:numPr>
        <w:rPr>
          <w:rFonts w:ascii="Arial" w:cs="Arial" w:eastAsia="Arial" w:hAnsi="Arial"/>
          <w:sz w:val="22"/>
          <w:szCs w:val="22"/>
          <w:u w:val="single" w:color="auto"/>
          <w:color w:val="auto"/>
        </w:rPr>
      </w:pPr>
      <w:r>
        <w:rPr>
          <w:rFonts w:ascii="Arial" w:cs="Arial" w:eastAsia="Arial" w:hAnsi="Arial"/>
          <w:sz w:val="22"/>
          <w:szCs w:val="22"/>
          <w:color w:val="auto"/>
        </w:rPr>
        <w:t>The deemed investment of amounts already credited to a Participant's Account may be reallocated, at the Participant's election, among the available RSP Investment Funds in accordance with procedures established by the Committee. Reallocation elections hereunder are independent of reallocation elections under the RSP.</w:t>
      </w:r>
    </w:p>
    <w:p>
      <w:pPr>
        <w:spacing w:after="0" w:line="186"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color w:val="auto"/>
        </w:rPr>
        <w:t>5.4</w:t>
      </w:r>
      <w:r>
        <w:rPr>
          <w:sz w:val="20"/>
          <w:szCs w:val="20"/>
          <w:color w:val="auto"/>
        </w:rPr>
        <w:tab/>
      </w:r>
      <w:r>
        <w:rPr>
          <w:rFonts w:ascii="Arial" w:cs="Arial" w:eastAsia="Arial" w:hAnsi="Arial"/>
          <w:sz w:val="19"/>
          <w:szCs w:val="19"/>
          <w:u w:val="single" w:color="auto"/>
          <w:color w:val="auto"/>
        </w:rPr>
        <w:t>Investment Returns</w:t>
      </w:r>
    </w:p>
    <w:p>
      <w:pPr>
        <w:spacing w:after="0" w:line="8" w:lineRule="exact"/>
        <w:rPr>
          <w:sz w:val="20"/>
          <w:szCs w:val="20"/>
          <w:color w:val="auto"/>
        </w:rPr>
      </w:pPr>
    </w:p>
    <w:p>
      <w:pPr>
        <w:ind w:firstLine="8"/>
        <w:spacing w:after="0" w:line="236" w:lineRule="auto"/>
        <w:tabs>
          <w:tab w:leader="none" w:pos="150" w:val="left"/>
        </w:tabs>
        <w:numPr>
          <w:ilvl w:val="0"/>
          <w:numId w:val="66"/>
        </w:numPr>
        <w:rPr>
          <w:rFonts w:ascii="Arial" w:cs="Arial" w:eastAsia="Arial" w:hAnsi="Arial"/>
          <w:sz w:val="22"/>
          <w:szCs w:val="22"/>
          <w:u w:val="single" w:color="auto"/>
          <w:color w:val="auto"/>
        </w:rPr>
      </w:pPr>
      <w:r>
        <w:rPr>
          <w:rFonts w:ascii="Arial" w:cs="Arial" w:eastAsia="Arial" w:hAnsi="Arial"/>
          <w:sz w:val="22"/>
          <w:szCs w:val="22"/>
          <w:color w:val="auto"/>
        </w:rPr>
        <w:t>Accounts hereunder will be credited with the investment return reported by the Trust for the Investment Funds under the RSP in which the Accounts are deemed to be invested.</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010000"/>
        </w:rPr>
        <w:t>ARTICLE VI</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7" w:right="359" w:bottom="1440" w:gutter="0" w:footer="0" w:header="0"/>
        </w:sectPr>
      </w:pPr>
    </w:p>
    <w:bookmarkStart w:id="110" w:name="page111"/>
    <w:bookmarkEnd w:id="110"/>
    <w:p>
      <w:pPr>
        <w:jc w:val="center"/>
        <w:ind w:right="-19"/>
        <w:spacing w:after="0"/>
        <w:rPr>
          <w:sz w:val="20"/>
          <w:szCs w:val="20"/>
          <w:color w:val="auto"/>
        </w:rPr>
      </w:pPr>
      <w:r>
        <w:rPr>
          <w:rFonts w:ascii="Arial" w:cs="Arial" w:eastAsia="Arial" w:hAnsi="Arial"/>
          <w:sz w:val="22"/>
          <w:szCs w:val="22"/>
          <w:color w:val="auto"/>
        </w:rPr>
        <w:t>PAYMENT OF BENEFITS</w:t>
      </w:r>
    </w:p>
    <w:p>
      <w:pPr>
        <w:spacing w:after="0" w:line="200" w:lineRule="exact"/>
        <w:rPr>
          <w:sz w:val="20"/>
          <w:szCs w:val="20"/>
          <w:color w:val="auto"/>
        </w:rPr>
      </w:pPr>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color w:val="auto"/>
        </w:rPr>
        <w:t>6.1</w:t>
      </w:r>
      <w:r>
        <w:rPr>
          <w:sz w:val="20"/>
          <w:szCs w:val="20"/>
          <w:color w:val="auto"/>
        </w:rPr>
        <w:tab/>
      </w:r>
      <w:r>
        <w:rPr>
          <w:rFonts w:ascii="Arial" w:cs="Arial" w:eastAsia="Arial" w:hAnsi="Arial"/>
          <w:sz w:val="19"/>
          <w:szCs w:val="19"/>
          <w:u w:val="single" w:color="auto"/>
          <w:color w:val="auto"/>
        </w:rPr>
        <w:t>Commencement of Benefits</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5" w:lineRule="exact"/>
        <w:rPr>
          <w:sz w:val="20"/>
          <w:szCs w:val="20"/>
          <w:color w:val="auto"/>
        </w:rPr>
      </w:pPr>
    </w:p>
    <w:p>
      <w:pPr>
        <w:ind w:right="320" w:firstLine="866"/>
        <w:spacing w:after="0" w:line="238" w:lineRule="auto"/>
        <w:tabs>
          <w:tab w:leader="none" w:pos="1739" w:val="left"/>
        </w:tabs>
        <w:numPr>
          <w:ilvl w:val="1"/>
          <w:numId w:val="67"/>
        </w:numPr>
        <w:rPr>
          <w:rFonts w:ascii="Arial" w:cs="Arial" w:eastAsia="Arial" w:hAnsi="Arial"/>
          <w:sz w:val="22"/>
          <w:szCs w:val="22"/>
          <w:color w:val="auto"/>
        </w:rPr>
      </w:pPr>
      <w:r>
        <w:rPr>
          <w:rFonts w:ascii="Arial" w:cs="Arial" w:eastAsia="Arial" w:hAnsi="Arial"/>
          <w:sz w:val="22"/>
          <w:szCs w:val="22"/>
          <w:color w:val="auto"/>
        </w:rPr>
        <w:t>Payment of a Participant's Grandfathered Account Balance will be made in accordance with the terms of the Plan and the Participant’s payment election as in effect on October 3, 2004.</w:t>
      </w:r>
    </w:p>
    <w:p>
      <w:pPr>
        <w:spacing w:after="0" w:line="166" w:lineRule="exact"/>
        <w:rPr>
          <w:rFonts w:ascii="Arial" w:cs="Arial" w:eastAsia="Arial" w:hAnsi="Arial"/>
          <w:sz w:val="22"/>
          <w:szCs w:val="22"/>
          <w:color w:val="auto"/>
        </w:rPr>
      </w:pPr>
    </w:p>
    <w:p>
      <w:pPr>
        <w:ind w:left="1720" w:hanging="895"/>
        <w:spacing w:after="0"/>
        <w:tabs>
          <w:tab w:leader="none" w:pos="1720" w:val="left"/>
        </w:tabs>
        <w:numPr>
          <w:ilvl w:val="0"/>
          <w:numId w:val="68"/>
        </w:numPr>
        <w:rPr>
          <w:rFonts w:ascii="Arial" w:cs="Arial" w:eastAsia="Arial" w:hAnsi="Arial"/>
          <w:sz w:val="22"/>
          <w:szCs w:val="22"/>
          <w:color w:val="auto"/>
        </w:rPr>
      </w:pPr>
      <w:r>
        <w:rPr>
          <w:rFonts w:ascii="Arial" w:cs="Arial" w:eastAsia="Arial" w:hAnsi="Arial"/>
          <w:sz w:val="22"/>
          <w:szCs w:val="22"/>
          <w:color w:val="auto"/>
        </w:rPr>
        <w:t>Payment of a Participant's Post-2004 Account Balance will be made in the form elected by or</w:t>
      </w:r>
    </w:p>
    <w:p>
      <w:pPr>
        <w:spacing w:after="0"/>
        <w:rPr>
          <w:sz w:val="20"/>
          <w:szCs w:val="20"/>
          <w:color w:val="auto"/>
        </w:rPr>
      </w:pPr>
      <w:r>
        <w:rPr>
          <w:rFonts w:ascii="Arial" w:cs="Arial" w:eastAsia="Arial" w:hAnsi="Arial"/>
          <w:sz w:val="22"/>
          <w:szCs w:val="22"/>
          <w:color w:val="auto"/>
        </w:rPr>
        <w:t>applicable to the Participant under Section 3.3, as follows:</w:t>
      </w:r>
    </w:p>
    <w:p>
      <w:pPr>
        <w:spacing w:after="0" w:line="174" w:lineRule="exact"/>
        <w:rPr>
          <w:sz w:val="20"/>
          <w:szCs w:val="20"/>
          <w:color w:val="auto"/>
        </w:rPr>
      </w:pPr>
    </w:p>
    <w:p>
      <w:pPr>
        <w:ind w:left="880" w:right="780" w:firstLine="743"/>
        <w:spacing w:after="0" w:line="272" w:lineRule="auto"/>
        <w:tabs>
          <w:tab w:leader="none" w:pos="2530" w:val="left"/>
        </w:tabs>
        <w:numPr>
          <w:ilvl w:val="0"/>
          <w:numId w:val="69"/>
        </w:numPr>
        <w:rPr>
          <w:rFonts w:ascii="Arial" w:cs="Arial" w:eastAsia="Arial" w:hAnsi="Arial"/>
          <w:sz w:val="19"/>
          <w:szCs w:val="19"/>
          <w:color w:val="auto"/>
        </w:rPr>
      </w:pPr>
      <w:r>
        <w:rPr>
          <w:rFonts w:ascii="Arial" w:cs="Arial" w:eastAsia="Arial" w:hAnsi="Arial"/>
          <w:sz w:val="19"/>
          <w:szCs w:val="19"/>
          <w:color w:val="auto"/>
        </w:rPr>
        <w:t>If payment is made on attainment of a specified age or date, payment will be made or commence as soon as practicable (but not more than 30 days) after March 31 of the year in which the specified age or date is attained. If installment payments are elected, subsequent installments will be paid as soon as practicable (but not more than 30 days) after January 1 of each following year during the installment period.</w:t>
      </w:r>
    </w:p>
    <w:p>
      <w:pPr>
        <w:spacing w:after="0" w:line="142" w:lineRule="exact"/>
        <w:rPr>
          <w:rFonts w:ascii="Arial" w:cs="Arial" w:eastAsia="Arial" w:hAnsi="Arial"/>
          <w:sz w:val="19"/>
          <w:szCs w:val="19"/>
          <w:color w:val="auto"/>
        </w:rPr>
      </w:pPr>
    </w:p>
    <w:p>
      <w:pPr>
        <w:ind w:left="880" w:right="1260" w:firstLine="743"/>
        <w:spacing w:after="0" w:line="238" w:lineRule="auto"/>
        <w:tabs>
          <w:tab w:leader="none" w:pos="2530" w:val="left"/>
        </w:tabs>
        <w:numPr>
          <w:ilvl w:val="0"/>
          <w:numId w:val="69"/>
        </w:numPr>
        <w:rPr>
          <w:rFonts w:ascii="Arial" w:cs="Arial" w:eastAsia="Arial" w:hAnsi="Arial"/>
          <w:sz w:val="22"/>
          <w:szCs w:val="22"/>
          <w:color w:val="auto"/>
        </w:rPr>
      </w:pPr>
      <w:r>
        <w:rPr>
          <w:rFonts w:ascii="Arial" w:cs="Arial" w:eastAsia="Arial" w:hAnsi="Arial"/>
          <w:sz w:val="22"/>
          <w:szCs w:val="22"/>
          <w:color w:val="auto"/>
        </w:rPr>
        <w:t>If payment is made on account of a Separation from Service, payment will be made or commence in accordance with Section 6.2.</w:t>
      </w:r>
    </w:p>
    <w:p>
      <w:pPr>
        <w:spacing w:after="0" w:line="19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color w:val="auto"/>
        </w:rPr>
        <w:t>6.2</w:t>
      </w:r>
      <w:r>
        <w:rPr>
          <w:sz w:val="20"/>
          <w:szCs w:val="20"/>
          <w:color w:val="auto"/>
        </w:rPr>
        <w:tab/>
      </w:r>
      <w:r>
        <w:rPr>
          <w:rFonts w:ascii="Arial" w:cs="Arial" w:eastAsia="Arial" w:hAnsi="Arial"/>
          <w:sz w:val="19"/>
          <w:szCs w:val="19"/>
          <w:u w:val="single" w:color="auto"/>
          <w:color w:val="auto"/>
        </w:rPr>
        <w:t>Payment on Account of Separation From Service</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w:t>
      </w:r>
    </w:p>
    <w:p>
      <w:pPr>
        <w:spacing w:after="0" w:line="205" w:lineRule="exact"/>
        <w:rPr>
          <w:sz w:val="20"/>
          <w:szCs w:val="20"/>
          <w:color w:val="auto"/>
        </w:rPr>
      </w:pPr>
    </w:p>
    <w:p>
      <w:pPr>
        <w:ind w:firstLine="871"/>
        <w:spacing w:after="0" w:line="236" w:lineRule="auto"/>
        <w:tabs>
          <w:tab w:leader="none" w:pos="1750" w:val="left"/>
        </w:tabs>
        <w:numPr>
          <w:ilvl w:val="0"/>
          <w:numId w:val="70"/>
        </w:numPr>
        <w:rPr>
          <w:rFonts w:ascii="Arial" w:cs="Arial" w:eastAsia="Arial" w:hAnsi="Arial"/>
          <w:sz w:val="22"/>
          <w:szCs w:val="22"/>
          <w:color w:val="auto"/>
        </w:rPr>
      </w:pPr>
      <w:r>
        <w:rPr>
          <w:rFonts w:ascii="Arial" w:cs="Arial" w:eastAsia="Arial" w:hAnsi="Arial"/>
          <w:sz w:val="22"/>
          <w:szCs w:val="22"/>
          <w:color w:val="auto"/>
        </w:rPr>
        <w:t>For purposes of this Section, a Participant who is classified by the Employer at salary grade 65 or higher at the time of their Separation from Service is deemed to be a specified employee under Code Section 409A. All other Participants will be treated as specified employees under this Section only if they qualify as such at their Separation from Service in accordance with regulations under Code Section 409A. The specified employee identification date is December 31 and the effective date is the following April 1.</w:t>
      </w:r>
    </w:p>
    <w:p>
      <w:pPr>
        <w:spacing w:after="0" w:line="185" w:lineRule="exact"/>
        <w:rPr>
          <w:rFonts w:ascii="Arial" w:cs="Arial" w:eastAsia="Arial" w:hAnsi="Arial"/>
          <w:sz w:val="22"/>
          <w:szCs w:val="22"/>
          <w:color w:val="auto"/>
        </w:rPr>
      </w:pPr>
    </w:p>
    <w:p>
      <w:pPr>
        <w:ind w:right="20" w:firstLine="871"/>
        <w:spacing w:after="0" w:line="258" w:lineRule="auto"/>
        <w:tabs>
          <w:tab w:leader="none" w:pos="1762" w:val="left"/>
        </w:tabs>
        <w:numPr>
          <w:ilvl w:val="0"/>
          <w:numId w:val="70"/>
        </w:numPr>
        <w:rPr>
          <w:rFonts w:ascii="Arial" w:cs="Arial" w:eastAsia="Arial" w:hAnsi="Arial"/>
          <w:sz w:val="20"/>
          <w:szCs w:val="20"/>
          <w:color w:val="auto"/>
        </w:rPr>
      </w:pPr>
      <w:r>
        <w:rPr>
          <w:rFonts w:ascii="Arial" w:cs="Arial" w:eastAsia="Arial" w:hAnsi="Arial"/>
          <w:sz w:val="20"/>
          <w:szCs w:val="20"/>
          <w:u w:val="single" w:color="auto"/>
          <w:color w:val="auto"/>
        </w:rPr>
        <w:t>Payments to Participants Who Are Specified Employees</w:t>
      </w:r>
      <w:r>
        <w:rPr>
          <w:rFonts w:ascii="Arial" w:cs="Arial" w:eastAsia="Arial" w:hAnsi="Arial"/>
          <w:sz w:val="20"/>
          <w:szCs w:val="20"/>
          <w:color w:val="auto"/>
        </w:rPr>
        <w:t>. In accordance with regulations under Code Section 409A for payments to specified employees on account of a Separation from Service, payment of any portion of a specified employee Participant's Post-2004 Account Balance will be delayed until the earlier of (i) six months after the termination of employment or other event that constitutes the Participant's Separation from Service, or (ii) the Participant's death. Payment of any such delayed portion of the Participant's Account will be made or commence on the last business day of the quarter in which occurs the date that is six months after the Participant's Separation from Service, or the date of the Participant's death. If installment payments are elected, then subject to the six-month delay, the second installment will be paid as soon as practicable (but not more than 30 days) after January 1 of the year in which occurs the first anniversary of the Participant's Separation from Service. Subsequent installments will be paid as soon as practicable (but not more than 30 days) after January 1 of each subsequent year.</w:t>
      </w:r>
    </w:p>
    <w:p>
      <w:pPr>
        <w:spacing w:after="0" w:line="170" w:lineRule="exact"/>
        <w:rPr>
          <w:rFonts w:ascii="Arial" w:cs="Arial" w:eastAsia="Arial" w:hAnsi="Arial"/>
          <w:sz w:val="20"/>
          <w:szCs w:val="20"/>
          <w:color w:val="auto"/>
        </w:rPr>
      </w:pPr>
    </w:p>
    <w:p>
      <w:pPr>
        <w:ind w:right="420" w:firstLine="871"/>
        <w:spacing w:after="0" w:line="250" w:lineRule="auto"/>
        <w:tabs>
          <w:tab w:leader="none" w:pos="1750" w:val="left"/>
        </w:tabs>
        <w:numPr>
          <w:ilvl w:val="0"/>
          <w:numId w:val="70"/>
        </w:numPr>
        <w:rPr>
          <w:rFonts w:ascii="Arial" w:cs="Arial" w:eastAsia="Arial" w:hAnsi="Arial"/>
          <w:sz w:val="22"/>
          <w:szCs w:val="22"/>
          <w:color w:val="auto"/>
        </w:rPr>
      </w:pPr>
      <w:r>
        <w:rPr>
          <w:rFonts w:ascii="Arial" w:cs="Arial" w:eastAsia="Arial" w:hAnsi="Arial"/>
          <w:sz w:val="22"/>
          <w:szCs w:val="22"/>
          <w:u w:val="single" w:color="auto"/>
          <w:color w:val="auto"/>
        </w:rPr>
        <w:t>Payments to Participants Who Are Not Specified Employees</w:t>
      </w:r>
      <w:r>
        <w:rPr>
          <w:rFonts w:ascii="Arial" w:cs="Arial" w:eastAsia="Arial" w:hAnsi="Arial"/>
          <w:sz w:val="22"/>
          <w:szCs w:val="22"/>
          <w:color w:val="auto"/>
        </w:rPr>
        <w:t>. Payment of any portion of a non-specified employee Participant's Post-2004 Account Balance will be made or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7" w:right="359" w:bottom="1440" w:gutter="0" w:footer="0" w:header="0"/>
        </w:sectPr>
      </w:pPr>
    </w:p>
    <w:bookmarkStart w:id="111" w:name="page112"/>
    <w:bookmarkEnd w:id="111"/>
    <w:p>
      <w:pPr>
        <w:ind w:right="40"/>
        <w:spacing w:after="0" w:line="268" w:lineRule="auto"/>
        <w:rPr>
          <w:sz w:val="20"/>
          <w:szCs w:val="20"/>
          <w:color w:val="auto"/>
        </w:rPr>
      </w:pPr>
      <w:r>
        <w:rPr>
          <w:rFonts w:ascii="Arial" w:cs="Arial" w:eastAsia="Arial" w:hAnsi="Arial"/>
          <w:sz w:val="20"/>
          <w:szCs w:val="20"/>
          <w:color w:val="auto"/>
        </w:rPr>
        <w:t>commence on the last business day of the quarter in which occurs the Participant's Separation from Service. If installment payments are elected, the second installment will be paid as soon as practicable (but not more than 30 days) after January 1 of the year in which occurs the first anniversary of the Participant's Separation from Service. Subsequent installments will be paid as soon as practicable (but not more than 30 days) after January 1 of each subsequent year.</w:t>
      </w:r>
    </w:p>
    <w:p>
      <w:pPr>
        <w:spacing w:after="0" w:line="15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color w:val="auto"/>
        </w:rPr>
        <w:t>6.3</w:t>
      </w:r>
      <w:r>
        <w:rPr>
          <w:sz w:val="20"/>
          <w:szCs w:val="20"/>
          <w:color w:val="auto"/>
        </w:rPr>
        <w:tab/>
      </w:r>
      <w:r>
        <w:rPr>
          <w:rFonts w:ascii="Arial" w:cs="Arial" w:eastAsia="Arial" w:hAnsi="Arial"/>
          <w:sz w:val="19"/>
          <w:szCs w:val="19"/>
          <w:u w:val="single" w:color="auto"/>
          <w:color w:val="auto"/>
        </w:rPr>
        <w:t>Accelerated Payments Due to Financial Hardship</w:t>
      </w:r>
    </w:p>
    <w:p>
      <w:pPr>
        <w:spacing w:after="0" w:line="205" w:lineRule="exact"/>
        <w:rPr>
          <w:sz w:val="20"/>
          <w:szCs w:val="20"/>
          <w:color w:val="auto"/>
        </w:rPr>
      </w:pPr>
    </w:p>
    <w:p>
      <w:pPr>
        <w:ind w:right="80" w:firstLine="8"/>
        <w:spacing w:after="0"/>
        <w:tabs>
          <w:tab w:leader="none" w:pos="162" w:val="left"/>
        </w:tabs>
        <w:numPr>
          <w:ilvl w:val="0"/>
          <w:numId w:val="71"/>
        </w:numPr>
        <w:rPr>
          <w:rFonts w:ascii="Arial" w:cs="Arial" w:eastAsia="Arial" w:hAnsi="Arial"/>
          <w:sz w:val="22"/>
          <w:szCs w:val="22"/>
          <w:u w:val="single" w:color="auto"/>
          <w:color w:val="auto"/>
        </w:rPr>
      </w:pPr>
      <w:r>
        <w:rPr>
          <w:rFonts w:ascii="Arial" w:cs="Arial" w:eastAsia="Arial" w:hAnsi="Arial"/>
          <w:sz w:val="22"/>
          <w:szCs w:val="22"/>
          <w:color w:val="auto"/>
        </w:rPr>
        <w:t>Notwithstanding Section 6.1, payment of all or part of a Participant's Grandfathered Account Balance due to financial hardship may be made to the extent permitted under the terms of the Plan as in effect on October 3, 2004. A Participant's Post-2004 Account Balance may not be paid due to financial hardship.</w:t>
      </w:r>
    </w:p>
    <w:p>
      <w:pPr>
        <w:spacing w:after="0" w:line="185"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color w:val="auto"/>
        </w:rPr>
        <w:t>6.4</w:t>
      </w:r>
      <w:r>
        <w:rPr>
          <w:sz w:val="20"/>
          <w:szCs w:val="20"/>
          <w:color w:val="auto"/>
        </w:rPr>
        <w:tab/>
      </w:r>
      <w:r>
        <w:rPr>
          <w:rFonts w:ascii="Arial" w:cs="Arial" w:eastAsia="Arial" w:hAnsi="Arial"/>
          <w:sz w:val="19"/>
          <w:szCs w:val="19"/>
          <w:u w:val="single" w:color="auto"/>
          <w:color w:val="auto"/>
        </w:rPr>
        <w:t>Mandatory Cashouts</w:t>
      </w:r>
    </w:p>
    <w:p>
      <w:pPr>
        <w:spacing w:after="0" w:line="205" w:lineRule="exact"/>
        <w:rPr>
          <w:sz w:val="20"/>
          <w:szCs w:val="20"/>
          <w:color w:val="auto"/>
        </w:rPr>
      </w:pPr>
    </w:p>
    <w:p>
      <w:pPr>
        <w:jc w:val="both"/>
        <w:ind w:right="140" w:firstLine="8"/>
        <w:spacing w:after="0" w:line="276" w:lineRule="auto"/>
        <w:tabs>
          <w:tab w:leader="none" w:pos="162" w:val="left"/>
        </w:tabs>
        <w:numPr>
          <w:ilvl w:val="0"/>
          <w:numId w:val="72"/>
        </w:numPr>
        <w:rPr>
          <w:rFonts w:ascii="Arial" w:cs="Arial" w:eastAsia="Arial" w:hAnsi="Arial"/>
          <w:sz w:val="19"/>
          <w:szCs w:val="19"/>
          <w:u w:val="single" w:color="auto"/>
          <w:color w:val="auto"/>
        </w:rPr>
      </w:pPr>
      <w:r>
        <w:rPr>
          <w:rFonts w:ascii="Arial" w:cs="Arial" w:eastAsia="Arial" w:hAnsi="Arial"/>
          <w:sz w:val="19"/>
          <w:szCs w:val="19"/>
          <w:color w:val="auto"/>
        </w:rPr>
        <w:t>Notwithstanding Section 6.1 and subject to Sections 6.2 and 6.5, if a Participant's Post-2004 Account Balance as of the date of the Participant's Separation from Service or Disability does not exceed the applicable dollar amount under Code Section 402(g)</w:t>
      </w:r>
    </w:p>
    <w:p>
      <w:pPr>
        <w:spacing w:after="0" w:line="233" w:lineRule="auto"/>
        <w:rPr>
          <w:rFonts w:ascii="Arial" w:cs="Arial" w:eastAsia="Arial" w:hAnsi="Arial"/>
          <w:sz w:val="19"/>
          <w:szCs w:val="19"/>
          <w:u w:val="single" w:color="auto"/>
          <w:color w:val="auto"/>
        </w:rPr>
      </w:pPr>
      <w:r>
        <w:rPr>
          <w:rFonts w:ascii="Arial" w:cs="Arial" w:eastAsia="Arial" w:hAnsi="Arial"/>
          <w:sz w:val="22"/>
          <w:szCs w:val="22"/>
          <w:color w:val="auto"/>
        </w:rPr>
        <w:t>(1)(B), the Participant's entire Post-2004 Account Balance may, in the discretion of the Committee, be paid in a single lump sum as soon as practicable after the Participant's Separation from Service or Disability, but not later than the later of (i) the 15th day of the third calendar month following the Participant's Separation from Service or Disability, or (ii) December 31 of the calendar year in which the Separation from Service or Disability occurs.</w:t>
      </w:r>
    </w:p>
    <w:p>
      <w:pPr>
        <w:spacing w:after="0" w:line="186"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color w:val="auto"/>
        </w:rPr>
        <w:t>6.5</w:t>
      </w:r>
      <w:r>
        <w:rPr>
          <w:sz w:val="20"/>
          <w:szCs w:val="20"/>
          <w:color w:val="auto"/>
        </w:rPr>
        <w:tab/>
      </w:r>
      <w:r>
        <w:rPr>
          <w:rFonts w:ascii="Arial" w:cs="Arial" w:eastAsia="Arial" w:hAnsi="Arial"/>
          <w:sz w:val="19"/>
          <w:szCs w:val="19"/>
          <w:u w:val="single" w:color="auto"/>
          <w:color w:val="auto"/>
        </w:rPr>
        <w:t>Discretionary Delay in Benefit Payments</w:t>
      </w:r>
    </w:p>
    <w:p>
      <w:pPr>
        <w:spacing w:after="0" w:line="205" w:lineRule="exact"/>
        <w:rPr>
          <w:sz w:val="20"/>
          <w:szCs w:val="20"/>
          <w:color w:val="auto"/>
        </w:rPr>
      </w:pPr>
    </w:p>
    <w:p>
      <w:pPr>
        <w:ind w:right="200" w:firstLine="8"/>
        <w:spacing w:after="0" w:line="237" w:lineRule="auto"/>
        <w:tabs>
          <w:tab w:leader="none" w:pos="162" w:val="left"/>
        </w:tabs>
        <w:numPr>
          <w:ilvl w:val="0"/>
          <w:numId w:val="73"/>
        </w:numPr>
        <w:rPr>
          <w:rFonts w:ascii="Arial" w:cs="Arial" w:eastAsia="Arial" w:hAnsi="Arial"/>
          <w:sz w:val="22"/>
          <w:szCs w:val="22"/>
          <w:u w:val="single" w:color="auto"/>
          <w:color w:val="auto"/>
        </w:rPr>
      </w:pPr>
      <w:r>
        <w:rPr>
          <w:rFonts w:ascii="Arial" w:cs="Arial" w:eastAsia="Arial" w:hAnsi="Arial"/>
          <w:sz w:val="22"/>
          <w:szCs w:val="22"/>
          <w:color w:val="auto"/>
        </w:rPr>
        <w:t>Notwithstanding Sections 6.1 and 6.4, the Committee may delay payment of any portion of a Participant's Post-2004 Account Balance by reason of any event or condition permitted under Code Section 409A, including, to the extent permissible, delays relating to (i) nondeductible Compensation payments under Code Section 162(m), (ii) violations of loan agreements and (iii) violations of federal securities law and other applicable law.</w:t>
      </w:r>
    </w:p>
    <w:p>
      <w:pPr>
        <w:spacing w:after="0" w:line="187"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color w:val="auto"/>
        </w:rPr>
        <w:t>6.6</w:t>
      </w:r>
      <w:r>
        <w:rPr>
          <w:sz w:val="20"/>
          <w:szCs w:val="20"/>
          <w:color w:val="auto"/>
        </w:rPr>
        <w:tab/>
      </w:r>
      <w:r>
        <w:rPr>
          <w:rFonts w:ascii="Arial" w:cs="Arial" w:eastAsia="Arial" w:hAnsi="Arial"/>
          <w:sz w:val="19"/>
          <w:szCs w:val="19"/>
          <w:u w:val="single" w:color="auto"/>
          <w:color w:val="auto"/>
        </w:rPr>
        <w:t>Payment on Death or Disability</w:t>
      </w:r>
    </w:p>
    <w:p>
      <w:pPr>
        <w:spacing w:after="0" w:line="205" w:lineRule="exact"/>
        <w:rPr>
          <w:sz w:val="20"/>
          <w:szCs w:val="20"/>
          <w:color w:val="auto"/>
        </w:rPr>
      </w:pPr>
    </w:p>
    <w:p>
      <w:pPr>
        <w:ind w:right="260" w:firstLine="8"/>
        <w:spacing w:after="0" w:line="297" w:lineRule="auto"/>
        <w:tabs>
          <w:tab w:leader="none" w:pos="162" w:val="left"/>
        </w:tabs>
        <w:numPr>
          <w:ilvl w:val="0"/>
          <w:numId w:val="74"/>
        </w:numPr>
        <w:rPr>
          <w:rFonts w:ascii="Arial" w:cs="Arial" w:eastAsia="Arial" w:hAnsi="Arial"/>
          <w:sz w:val="19"/>
          <w:szCs w:val="19"/>
          <w:u w:val="single" w:color="auto"/>
          <w:color w:val="auto"/>
        </w:rPr>
      </w:pPr>
      <w:r>
        <w:rPr>
          <w:rFonts w:ascii="Arial" w:cs="Arial" w:eastAsia="Arial" w:hAnsi="Arial"/>
          <w:sz w:val="19"/>
          <w:szCs w:val="19"/>
          <w:color w:val="auto"/>
        </w:rPr>
        <w:t>Notwithstanding Sections 3.3 and 6.1, in the event of a Participant's death or Disability, payment of any remaining portion of the Participant's Post-2004 Account Balance will be made to the Participant or Beneficiary in a single lump sum on the last business day of the calendar quarter in which occurs the Participant's death or a determination of the Participant's Disability.</w:t>
      </w:r>
    </w:p>
    <w:p>
      <w:pPr>
        <w:spacing w:after="0" w:line="133"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color w:val="auto"/>
        </w:rPr>
        <w:t>6.7</w:t>
      </w:r>
      <w:r>
        <w:rPr>
          <w:sz w:val="20"/>
          <w:szCs w:val="20"/>
          <w:color w:val="auto"/>
        </w:rPr>
        <w:tab/>
      </w:r>
      <w:r>
        <w:rPr>
          <w:rFonts w:ascii="Arial" w:cs="Arial" w:eastAsia="Arial" w:hAnsi="Arial"/>
          <w:sz w:val="19"/>
          <w:szCs w:val="19"/>
          <w:u w:val="single" w:color="auto"/>
          <w:color w:val="auto"/>
        </w:rPr>
        <w:t>Payment by Employer</w:t>
      </w:r>
    </w:p>
    <w:p>
      <w:pPr>
        <w:spacing w:after="0" w:line="205" w:lineRule="exact"/>
        <w:rPr>
          <w:sz w:val="20"/>
          <w:szCs w:val="20"/>
          <w:color w:val="auto"/>
        </w:rPr>
      </w:pPr>
    </w:p>
    <w:p>
      <w:pPr>
        <w:ind w:left="160" w:hanging="152"/>
        <w:spacing w:after="0"/>
        <w:tabs>
          <w:tab w:leader="none" w:pos="160" w:val="left"/>
        </w:tabs>
        <w:numPr>
          <w:ilvl w:val="0"/>
          <w:numId w:val="75"/>
        </w:numPr>
        <w:rPr>
          <w:rFonts w:ascii="Arial" w:cs="Arial" w:eastAsia="Arial" w:hAnsi="Arial"/>
          <w:sz w:val="22"/>
          <w:szCs w:val="22"/>
          <w:u w:val="single" w:color="auto"/>
          <w:color w:val="auto"/>
        </w:rPr>
      </w:pPr>
      <w:r>
        <w:rPr>
          <w:rFonts w:ascii="Arial" w:cs="Arial" w:eastAsia="Arial" w:hAnsi="Arial"/>
          <w:sz w:val="22"/>
          <w:szCs w:val="22"/>
          <w:color w:val="auto"/>
        </w:rPr>
        <w:t>Benefits payable to, or on behalf of, a Participant will be paid by the Employer who last employed the Participant.</w:t>
      </w:r>
    </w:p>
    <w:p>
      <w:pPr>
        <w:spacing w:after="0" w:line="205" w:lineRule="exact"/>
        <w:rPr>
          <w:rFonts w:ascii="Arial" w:cs="Arial" w:eastAsia="Arial" w:hAnsi="Arial"/>
          <w:sz w:val="22"/>
          <w:szCs w:val="22"/>
          <w:u w:val="single" w:color="auto"/>
          <w:color w:val="auto"/>
        </w:rPr>
      </w:pPr>
    </w:p>
    <w:p>
      <w:pPr>
        <w:ind w:left="5000"/>
        <w:spacing w:after="0"/>
        <w:rPr>
          <w:rFonts w:ascii="Arial" w:cs="Arial" w:eastAsia="Arial" w:hAnsi="Arial"/>
          <w:sz w:val="22"/>
          <w:szCs w:val="22"/>
          <w:u w:val="single" w:color="auto"/>
          <w:color w:val="auto"/>
        </w:rPr>
      </w:pPr>
      <w:r>
        <w:rPr>
          <w:rFonts w:ascii="Arial" w:cs="Arial" w:eastAsia="Arial" w:hAnsi="Arial"/>
          <w:sz w:val="22"/>
          <w:szCs w:val="22"/>
          <w:color w:val="010000"/>
        </w:rPr>
        <w:t>ARTICLE VII</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112" w:name="page113"/>
    <w:bookmarkEnd w:id="112"/>
    <w:p>
      <w:pPr>
        <w:jc w:val="center"/>
        <w:ind w:right="-59"/>
        <w:spacing w:after="0"/>
        <w:rPr>
          <w:sz w:val="20"/>
          <w:szCs w:val="20"/>
          <w:color w:val="auto"/>
        </w:rPr>
      </w:pPr>
      <w:r>
        <w:rPr>
          <w:rFonts w:ascii="Arial" w:cs="Arial" w:eastAsia="Arial" w:hAnsi="Arial"/>
          <w:sz w:val="22"/>
          <w:szCs w:val="22"/>
          <w:color w:val="auto"/>
        </w:rPr>
        <w:t>ADMINISTRATION</w:t>
      </w:r>
    </w:p>
    <w:p>
      <w:pPr>
        <w:spacing w:after="0" w:line="200" w:lineRule="exact"/>
        <w:rPr>
          <w:sz w:val="20"/>
          <w:szCs w:val="20"/>
          <w:color w:val="auto"/>
        </w:rPr>
      </w:pPr>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20"/>
          <w:szCs w:val="20"/>
          <w:u w:val="single" w:color="auto"/>
          <w:color w:val="auto"/>
        </w:rPr>
        <w:t>Administration</w:t>
      </w:r>
    </w:p>
    <w:p>
      <w:pPr>
        <w:spacing w:after="0" w:line="8" w:lineRule="exact"/>
        <w:rPr>
          <w:sz w:val="20"/>
          <w:szCs w:val="20"/>
          <w:color w:val="auto"/>
        </w:rPr>
      </w:pPr>
    </w:p>
    <w:p>
      <w:pPr>
        <w:ind w:firstLine="8"/>
        <w:spacing w:after="0" w:line="256" w:lineRule="auto"/>
        <w:tabs>
          <w:tab w:leader="none" w:pos="158" w:val="left"/>
        </w:tabs>
        <w:numPr>
          <w:ilvl w:val="0"/>
          <w:numId w:val="76"/>
        </w:numPr>
        <w:rPr>
          <w:rFonts w:ascii="Arial" w:cs="Arial" w:eastAsia="Arial" w:hAnsi="Arial"/>
          <w:sz w:val="20"/>
          <w:szCs w:val="20"/>
          <w:u w:val="single" w:color="auto"/>
          <w:color w:val="auto"/>
        </w:rPr>
      </w:pPr>
      <w:r>
        <w:rPr>
          <w:rFonts w:ascii="Arial" w:cs="Arial" w:eastAsia="Arial" w:hAnsi="Arial"/>
          <w:sz w:val="20"/>
          <w:szCs w:val="20"/>
          <w:color w:val="auto"/>
        </w:rPr>
        <w:t>The M&amp;T Bank Employee Benefits Plan Committee is charged with the administration of this Plan. The Committee will have all such powers as may be necessary to administer this Plan, including discretionary authority to interpret and construe this Plan, to decide any dispute or question of fact arising hereunder, to determine the right of any Employee to participate herein, to determine the right of any Participant or Beneficiary to benefits hereunder and to adopt such administrative rules for operation of this Plan as the Committee, in its discretion, may deem advisable. No member of the Committee will be liable to any person for any action taken or omitted in connection with the interpretation and administration of this Plan unless attributable to willful misconduct or lack of good faith. The Committee is entitled to rely conclusively upon all tables, valuations, certificates, opinions and reports furnished by any actuary, accountant, controller, counsel or other person employed or engaged by the Committee or the Company with respect to this Plan. A Committee member may not participate in any action or determination relating solely to payment of the member's own Account hereunder. Except as provided in Section 7.2, decisions of the Committee made in good faith will be final, conclusive and binding upon all parties.</w:t>
      </w:r>
    </w:p>
    <w:p>
      <w:pPr>
        <w:spacing w:after="0" w:line="16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color w:val="auto"/>
        </w:rPr>
        <w:t>7.2</w:t>
      </w:r>
      <w:r>
        <w:rPr>
          <w:sz w:val="20"/>
          <w:szCs w:val="20"/>
          <w:color w:val="auto"/>
        </w:rPr>
        <w:tab/>
      </w:r>
      <w:r>
        <w:rPr>
          <w:rFonts w:ascii="Arial" w:cs="Arial" w:eastAsia="Arial" w:hAnsi="Arial"/>
          <w:sz w:val="19"/>
          <w:szCs w:val="19"/>
          <w:u w:val="single" w:color="auto"/>
          <w:color w:val="auto"/>
        </w:rPr>
        <w:t>Claims and Appeals</w:t>
      </w:r>
    </w:p>
    <w:p>
      <w:pPr>
        <w:spacing w:after="0" w:line="8" w:lineRule="exact"/>
        <w:rPr>
          <w:sz w:val="20"/>
          <w:szCs w:val="20"/>
          <w:color w:val="auto"/>
        </w:rPr>
      </w:pPr>
    </w:p>
    <w:p>
      <w:pPr>
        <w:ind w:right="400" w:firstLine="8"/>
        <w:spacing w:after="0" w:line="236" w:lineRule="auto"/>
        <w:tabs>
          <w:tab w:leader="none" w:pos="162" w:val="left"/>
        </w:tabs>
        <w:numPr>
          <w:ilvl w:val="0"/>
          <w:numId w:val="77"/>
        </w:numPr>
        <w:rPr>
          <w:rFonts w:ascii="Arial" w:cs="Arial" w:eastAsia="Arial" w:hAnsi="Arial"/>
          <w:sz w:val="22"/>
          <w:szCs w:val="22"/>
          <w:color w:val="auto"/>
        </w:rPr>
      </w:pPr>
      <w:r>
        <w:rPr>
          <w:rFonts w:ascii="Arial" w:cs="Arial" w:eastAsia="Arial" w:hAnsi="Arial"/>
          <w:sz w:val="22"/>
          <w:szCs w:val="22"/>
          <w:color w:val="auto"/>
        </w:rPr>
        <w:t>All claims for benefits, denials of claims and appeals of denials under this Plan will be handled in accordance with the claims and appeals procedures of the RSP.</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010000"/>
        </w:rPr>
        <w:t>ARTICLE VIII</w:t>
      </w: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77" w:right="379" w:bottom="1440" w:gutter="0" w:footer="0" w:header="0"/>
        </w:sectPr>
      </w:pPr>
    </w:p>
    <w:bookmarkStart w:id="113" w:name="page114"/>
    <w:bookmarkEnd w:id="113"/>
    <w:p>
      <w:pPr>
        <w:jc w:val="center"/>
        <w:ind w:right="-39"/>
        <w:spacing w:after="0"/>
        <w:rPr>
          <w:sz w:val="20"/>
          <w:szCs w:val="20"/>
          <w:color w:val="auto"/>
        </w:rPr>
      </w:pPr>
      <w:r>
        <w:rPr>
          <w:rFonts w:ascii="Arial" w:cs="Arial" w:eastAsia="Arial" w:hAnsi="Arial"/>
          <w:sz w:val="22"/>
          <w:szCs w:val="22"/>
          <w:color w:val="auto"/>
        </w:rPr>
        <w:t>AMENDMENT AND TERMINATION</w:t>
      </w:r>
    </w:p>
    <w:p>
      <w:pPr>
        <w:spacing w:after="0" w:line="200" w:lineRule="exact"/>
        <w:rPr>
          <w:sz w:val="20"/>
          <w:szCs w:val="20"/>
          <w:color w:val="auto"/>
        </w:rPr>
      </w:pPr>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color w:val="auto"/>
        </w:rPr>
        <w:t>8.1</w:t>
      </w:r>
      <w:r>
        <w:rPr>
          <w:sz w:val="20"/>
          <w:szCs w:val="20"/>
          <w:color w:val="auto"/>
        </w:rPr>
        <w:tab/>
      </w:r>
      <w:r>
        <w:rPr>
          <w:rFonts w:ascii="Arial" w:cs="Arial" w:eastAsia="Arial" w:hAnsi="Arial"/>
          <w:sz w:val="19"/>
          <w:szCs w:val="19"/>
          <w:u w:val="single" w:color="auto"/>
          <w:color w:val="auto"/>
        </w:rPr>
        <w:t>Amendment and Termination of Plan</w:t>
      </w:r>
    </w:p>
    <w:p>
      <w:pPr>
        <w:spacing w:after="0" w:line="8" w:lineRule="exact"/>
        <w:rPr>
          <w:sz w:val="20"/>
          <w:szCs w:val="20"/>
          <w:color w:val="auto"/>
        </w:rPr>
      </w:pPr>
    </w:p>
    <w:p>
      <w:pPr>
        <w:ind w:right="200" w:firstLine="8"/>
        <w:spacing w:after="0" w:line="262" w:lineRule="auto"/>
        <w:tabs>
          <w:tab w:leader="none" w:pos="158" w:val="left"/>
        </w:tabs>
        <w:numPr>
          <w:ilvl w:val="0"/>
          <w:numId w:val="78"/>
        </w:numPr>
        <w:rPr>
          <w:rFonts w:ascii="Arial" w:cs="Arial" w:eastAsia="Arial" w:hAnsi="Arial"/>
          <w:sz w:val="20"/>
          <w:szCs w:val="20"/>
          <w:u w:val="single" w:color="auto"/>
          <w:color w:val="auto"/>
        </w:rPr>
      </w:pPr>
      <w:r>
        <w:rPr>
          <w:rFonts w:ascii="Arial" w:cs="Arial" w:eastAsia="Arial" w:hAnsi="Arial"/>
          <w:sz w:val="20"/>
          <w:szCs w:val="20"/>
          <w:color w:val="auto"/>
        </w:rPr>
        <w:t>The Company may amend or terminate this Plan at any time. Any such amendment or termination will be made in writing by the Board of Directors of the Company or its designee, and will be effective as of the date specified in such writing. No amendment or termination may directly or indirectly deprive any Participant or Beneficiary of any portion of the Participant's Account balance as of the date of amendment or termination without the written consent of the Participant or Beneficiary.</w:t>
      </w:r>
    </w:p>
    <w:p>
      <w:pPr>
        <w:spacing w:after="0" w:line="164"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color w:val="auto"/>
        </w:rPr>
        <w:t>8.2</w:t>
      </w:r>
      <w:r>
        <w:rPr>
          <w:sz w:val="20"/>
          <w:szCs w:val="20"/>
          <w:color w:val="auto"/>
        </w:rPr>
        <w:tab/>
      </w:r>
      <w:r>
        <w:rPr>
          <w:rFonts w:ascii="Arial" w:cs="Arial" w:eastAsia="Arial" w:hAnsi="Arial"/>
          <w:sz w:val="19"/>
          <w:szCs w:val="19"/>
          <w:u w:val="single" w:color="auto"/>
          <w:color w:val="auto"/>
        </w:rPr>
        <w:t>Benefit Payments Upon Termination of Plan</w:t>
      </w:r>
    </w:p>
    <w:p>
      <w:pPr>
        <w:spacing w:after="0" w:line="8" w:lineRule="exact"/>
        <w:rPr>
          <w:sz w:val="20"/>
          <w:szCs w:val="20"/>
          <w:color w:val="auto"/>
        </w:rPr>
      </w:pPr>
    </w:p>
    <w:p>
      <w:pPr>
        <w:jc w:val="both"/>
        <w:ind w:firstLine="8"/>
        <w:spacing w:after="0" w:line="233" w:lineRule="auto"/>
        <w:tabs>
          <w:tab w:leader="none" w:pos="162" w:val="left"/>
        </w:tabs>
        <w:numPr>
          <w:ilvl w:val="0"/>
          <w:numId w:val="79"/>
        </w:numPr>
        <w:rPr>
          <w:rFonts w:ascii="Arial" w:cs="Arial" w:eastAsia="Arial" w:hAnsi="Arial"/>
          <w:sz w:val="22"/>
          <w:szCs w:val="22"/>
          <w:u w:val="single" w:color="auto"/>
          <w:color w:val="auto"/>
        </w:rPr>
      </w:pPr>
      <w:r>
        <w:rPr>
          <w:rFonts w:ascii="Arial" w:cs="Arial" w:eastAsia="Arial" w:hAnsi="Arial"/>
          <w:sz w:val="22"/>
          <w:szCs w:val="22"/>
          <w:color w:val="auto"/>
        </w:rPr>
        <w:t>Upon termination of the Plan, the Company may elect to accelerate the time and form of payment of Grandfathered Account Balances to the extent permitted under the terms of the Plan in effect as of October 3, 2004. The time and form of payment of Post-2004 Account Balances may be accelerated upon Plan termination, but only as allowed in accordance with regulations under Code Section 409A.</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010000"/>
        </w:rPr>
        <w:t>ARTICLE IX</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7" w:right="359" w:bottom="1440" w:gutter="0" w:footer="0" w:header="0"/>
        </w:sectPr>
      </w:pPr>
    </w:p>
    <w:bookmarkStart w:id="114" w:name="page115"/>
    <w:bookmarkEnd w:id="114"/>
    <w:p>
      <w:pPr>
        <w:jc w:val="center"/>
        <w:ind w:right="-39"/>
        <w:spacing w:after="0"/>
        <w:rPr>
          <w:sz w:val="20"/>
          <w:szCs w:val="20"/>
          <w:color w:val="auto"/>
        </w:rPr>
      </w:pPr>
      <w:r>
        <w:rPr>
          <w:rFonts w:ascii="Arial" w:cs="Arial" w:eastAsia="Arial" w:hAnsi="Arial"/>
          <w:sz w:val="22"/>
          <w:szCs w:val="22"/>
          <w:color w:val="auto"/>
        </w:rPr>
        <w:t>MISCELLANEOUS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color w:val="010000"/>
        </w:rPr>
        <w:t>9.1</w:t>
      </w:r>
      <w:r>
        <w:rPr>
          <w:rFonts w:ascii="Arial" w:cs="Arial" w:eastAsia="Arial" w:hAnsi="Arial"/>
          <w:sz w:val="22"/>
          <w:szCs w:val="22"/>
          <w:u w:val="single" w:color="auto"/>
          <w:color w:val="000000"/>
        </w:rPr>
        <w:t>No Effect on Employment Rights</w:t>
      </w:r>
    </w:p>
    <w:p>
      <w:pPr>
        <w:spacing w:after="0" w:line="8" w:lineRule="exact"/>
        <w:rPr>
          <w:sz w:val="20"/>
          <w:szCs w:val="20"/>
          <w:color w:val="auto"/>
        </w:rPr>
      </w:pPr>
    </w:p>
    <w:p>
      <w:pPr>
        <w:ind w:right="300" w:firstLine="8"/>
        <w:spacing w:after="0" w:line="236" w:lineRule="auto"/>
        <w:tabs>
          <w:tab w:leader="none" w:pos="162" w:val="left"/>
        </w:tabs>
        <w:numPr>
          <w:ilvl w:val="0"/>
          <w:numId w:val="80"/>
        </w:numPr>
        <w:rPr>
          <w:rFonts w:ascii="Arial" w:cs="Arial" w:eastAsia="Arial" w:hAnsi="Arial"/>
          <w:sz w:val="22"/>
          <w:szCs w:val="22"/>
          <w:u w:val="single" w:color="auto"/>
          <w:color w:val="auto"/>
        </w:rPr>
      </w:pPr>
      <w:r>
        <w:rPr>
          <w:rFonts w:ascii="Arial" w:cs="Arial" w:eastAsia="Arial" w:hAnsi="Arial"/>
          <w:sz w:val="22"/>
          <w:szCs w:val="22"/>
          <w:color w:val="auto"/>
        </w:rPr>
        <w:t>Nothing contained herein will confer upon any Participant the right to be retained in the service of an Employer nor limit the right of an Employer to discharge or otherwise deal with Participants without regard to this Plan.</w:t>
      </w:r>
    </w:p>
    <w:p>
      <w:pPr>
        <w:spacing w:after="0" w:line="186"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color w:val="auto"/>
        </w:rPr>
        <w:t>9.2</w:t>
      </w:r>
      <w:r>
        <w:rPr>
          <w:sz w:val="20"/>
          <w:szCs w:val="20"/>
          <w:color w:val="auto"/>
        </w:rPr>
        <w:tab/>
      </w:r>
      <w:r>
        <w:rPr>
          <w:rFonts w:ascii="Arial" w:cs="Arial" w:eastAsia="Arial" w:hAnsi="Arial"/>
          <w:sz w:val="19"/>
          <w:szCs w:val="19"/>
          <w:u w:val="single" w:color="auto"/>
          <w:color w:val="auto"/>
        </w:rPr>
        <w:t>Plan Unfunded</w:t>
      </w:r>
    </w:p>
    <w:p>
      <w:pPr>
        <w:spacing w:after="0" w:line="8" w:lineRule="exact"/>
        <w:rPr>
          <w:sz w:val="20"/>
          <w:szCs w:val="20"/>
          <w:color w:val="auto"/>
        </w:rPr>
      </w:pPr>
    </w:p>
    <w:p>
      <w:pPr>
        <w:ind w:firstLine="8"/>
        <w:spacing w:after="0" w:line="257" w:lineRule="auto"/>
        <w:tabs>
          <w:tab w:leader="none" w:pos="158" w:val="left"/>
        </w:tabs>
        <w:numPr>
          <w:ilvl w:val="0"/>
          <w:numId w:val="81"/>
        </w:numPr>
        <w:rPr>
          <w:rFonts w:ascii="Arial" w:cs="Arial" w:eastAsia="Arial" w:hAnsi="Arial"/>
          <w:sz w:val="20"/>
          <w:szCs w:val="20"/>
          <w:u w:val="single" w:color="auto"/>
          <w:color w:val="auto"/>
        </w:rPr>
      </w:pPr>
      <w:r>
        <w:rPr>
          <w:rFonts w:ascii="Arial" w:cs="Arial" w:eastAsia="Arial" w:hAnsi="Arial"/>
          <w:sz w:val="20"/>
          <w:szCs w:val="20"/>
          <w:color w:val="auto"/>
        </w:rPr>
        <w:t>The benefits offered under this Plan constitute nothing more than unfunded, unsecured promises by each Employer to pay the benefits determined under the Plan that the Employer is obligated to pay under Section 6.7. No provision will be made to segregate any assets of any Employer for payment of benefits under this Plan. No Participant, Beneficiary or any other person has any interest in any particular assets of the Employers by reason of the right to receive a benefit under this Plan. A Participant, Beneficiary or other person has only the rights of a general unsecured creditor of the Employer by whom the Participant was last employed with respect to any rights under this Plan. Nothing contained in this Plan constitutes a guaranty by the Employers or any other entity that the assets of any Employer will be sufficient to pay any benefit hereunder. All expenses and fees incurred in the administration of this Plan will be paid by the Employers.</w:t>
      </w:r>
    </w:p>
    <w:p>
      <w:pPr>
        <w:spacing w:after="0" w:line="16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color w:val="auto"/>
        </w:rPr>
        <w:t>9.3</w:t>
      </w:r>
      <w:r>
        <w:rPr>
          <w:sz w:val="20"/>
          <w:szCs w:val="20"/>
          <w:color w:val="auto"/>
        </w:rPr>
        <w:tab/>
      </w:r>
      <w:r>
        <w:rPr>
          <w:rFonts w:ascii="Arial" w:cs="Arial" w:eastAsia="Arial" w:hAnsi="Arial"/>
          <w:sz w:val="19"/>
          <w:szCs w:val="19"/>
          <w:u w:val="single" w:color="auto"/>
          <w:color w:val="auto"/>
        </w:rPr>
        <w:t>Binding on Employers, Employees and Their Successors</w:t>
      </w:r>
    </w:p>
    <w:p>
      <w:pPr>
        <w:spacing w:after="0" w:line="8" w:lineRule="exact"/>
        <w:rPr>
          <w:sz w:val="20"/>
          <w:szCs w:val="20"/>
          <w:color w:val="auto"/>
        </w:rPr>
      </w:pPr>
    </w:p>
    <w:p>
      <w:pPr>
        <w:ind w:right="20" w:firstLine="8"/>
        <w:spacing w:after="0" w:line="236" w:lineRule="auto"/>
        <w:tabs>
          <w:tab w:leader="none" w:pos="158" w:val="left"/>
        </w:tabs>
        <w:numPr>
          <w:ilvl w:val="0"/>
          <w:numId w:val="82"/>
        </w:numPr>
        <w:rPr>
          <w:rFonts w:ascii="Arial" w:cs="Arial" w:eastAsia="Arial" w:hAnsi="Arial"/>
          <w:sz w:val="22"/>
          <w:szCs w:val="22"/>
          <w:u w:val="single" w:color="auto"/>
          <w:color w:val="auto"/>
        </w:rPr>
      </w:pPr>
      <w:r>
        <w:rPr>
          <w:rFonts w:ascii="Arial" w:cs="Arial" w:eastAsia="Arial" w:hAnsi="Arial"/>
          <w:sz w:val="22"/>
          <w:szCs w:val="22"/>
          <w:color w:val="auto"/>
        </w:rPr>
        <w:t>This Plan is binding upon and inures to the benefit of the Employers, their successors and assigns and each Participant and their heirs, executors, administrators and legal representatives.</w:t>
      </w:r>
    </w:p>
    <w:p>
      <w:pPr>
        <w:spacing w:after="0" w:line="186"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color w:val="auto"/>
        </w:rPr>
        <w:t>9.4</w:t>
      </w:r>
      <w:r>
        <w:rPr>
          <w:sz w:val="20"/>
          <w:szCs w:val="20"/>
          <w:color w:val="auto"/>
        </w:rPr>
        <w:tab/>
      </w:r>
      <w:r>
        <w:rPr>
          <w:rFonts w:ascii="Arial" w:cs="Arial" w:eastAsia="Arial" w:hAnsi="Arial"/>
          <w:sz w:val="19"/>
          <w:szCs w:val="19"/>
          <w:u w:val="single" w:color="auto"/>
          <w:color w:val="auto"/>
        </w:rPr>
        <w:t>Spendthrift Provisions</w:t>
      </w:r>
    </w:p>
    <w:p>
      <w:pPr>
        <w:spacing w:after="0" w:line="8" w:lineRule="exact"/>
        <w:rPr>
          <w:sz w:val="20"/>
          <w:szCs w:val="20"/>
          <w:color w:val="auto"/>
        </w:rPr>
      </w:pPr>
    </w:p>
    <w:p>
      <w:pPr>
        <w:ind w:right="140" w:firstLine="8"/>
        <w:spacing w:after="0" w:line="262" w:lineRule="auto"/>
        <w:tabs>
          <w:tab w:leader="none" w:pos="162" w:val="left"/>
        </w:tabs>
        <w:numPr>
          <w:ilvl w:val="0"/>
          <w:numId w:val="83"/>
        </w:numPr>
        <w:rPr>
          <w:rFonts w:ascii="Arial" w:cs="Arial" w:eastAsia="Arial" w:hAnsi="Arial"/>
          <w:sz w:val="20"/>
          <w:szCs w:val="20"/>
          <w:u w:val="single" w:color="auto"/>
          <w:color w:val="auto"/>
        </w:rPr>
      </w:pPr>
      <w:r>
        <w:rPr>
          <w:rFonts w:ascii="Arial" w:cs="Arial" w:eastAsia="Arial" w:hAnsi="Arial"/>
          <w:sz w:val="20"/>
          <w:szCs w:val="20"/>
          <w:color w:val="auto"/>
        </w:rPr>
        <w:t>No benefit payable under this Plan may be subject in any manner to anticipation, alienation, sale, transfer, assignment, pledge, encumbrance or charge prior to actual receipt thereof by the payee. Any attempt to anticipate, alienate, sell, transfer, assign, pledge, encumber or charge prior to receipt will be void. The Employers are not liable in any manner for or subject to the debts, contracts, liabilities, torts or engagements of any person entitled to any benefit under this Plan.</w:t>
      </w:r>
    </w:p>
    <w:p>
      <w:pPr>
        <w:spacing w:after="0" w:line="164"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color w:val="auto"/>
        </w:rPr>
        <w:t>9.5</w:t>
      </w:r>
      <w:r>
        <w:rPr>
          <w:sz w:val="20"/>
          <w:szCs w:val="20"/>
          <w:color w:val="auto"/>
        </w:rPr>
        <w:tab/>
      </w:r>
      <w:r>
        <w:rPr>
          <w:rFonts w:ascii="Arial" w:cs="Arial" w:eastAsia="Arial" w:hAnsi="Arial"/>
          <w:sz w:val="19"/>
          <w:szCs w:val="19"/>
          <w:u w:val="single" w:color="auto"/>
          <w:color w:val="auto"/>
        </w:rPr>
        <w:t>Disclosure</w:t>
      </w:r>
    </w:p>
    <w:p>
      <w:pPr>
        <w:spacing w:after="0" w:line="8" w:lineRule="exact"/>
        <w:rPr>
          <w:sz w:val="20"/>
          <w:szCs w:val="20"/>
          <w:color w:val="auto"/>
        </w:rPr>
      </w:pPr>
    </w:p>
    <w:p>
      <w:pPr>
        <w:ind w:right="140" w:firstLine="8"/>
        <w:spacing w:after="0" w:line="236" w:lineRule="auto"/>
        <w:tabs>
          <w:tab w:leader="none" w:pos="158" w:val="left"/>
        </w:tabs>
        <w:numPr>
          <w:ilvl w:val="0"/>
          <w:numId w:val="84"/>
        </w:numPr>
        <w:rPr>
          <w:rFonts w:ascii="Arial" w:cs="Arial" w:eastAsia="Arial" w:hAnsi="Arial"/>
          <w:sz w:val="22"/>
          <w:szCs w:val="22"/>
          <w:u w:val="single" w:color="auto"/>
          <w:color w:val="auto"/>
        </w:rPr>
      </w:pPr>
      <w:r>
        <w:rPr>
          <w:rFonts w:ascii="Arial" w:cs="Arial" w:eastAsia="Arial" w:hAnsi="Arial"/>
          <w:sz w:val="22"/>
          <w:szCs w:val="22"/>
          <w:color w:val="auto"/>
        </w:rPr>
        <w:t>The Committee will make available for inspection by any Participant a copy of this Plan and any rules and regulations used by the Committee in administering this Plan.</w:t>
      </w:r>
    </w:p>
    <w:p>
      <w:pPr>
        <w:spacing w:after="0" w:line="186"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color w:val="auto"/>
        </w:rPr>
        <w:t>9.6</w:t>
      </w:r>
      <w:r>
        <w:rPr>
          <w:sz w:val="20"/>
          <w:szCs w:val="20"/>
          <w:color w:val="auto"/>
        </w:rPr>
        <w:tab/>
      </w:r>
      <w:r>
        <w:rPr>
          <w:rFonts w:ascii="Arial" w:cs="Arial" w:eastAsia="Arial" w:hAnsi="Arial"/>
          <w:sz w:val="19"/>
          <w:szCs w:val="19"/>
          <w:u w:val="single" w:color="auto"/>
          <w:color w:val="auto"/>
        </w:rPr>
        <w:t>State Law</w:t>
      </w:r>
    </w:p>
    <w:p>
      <w:pPr>
        <w:spacing w:after="0" w:line="8" w:lineRule="exact"/>
        <w:rPr>
          <w:sz w:val="20"/>
          <w:szCs w:val="20"/>
          <w:color w:val="auto"/>
        </w:rPr>
      </w:pPr>
    </w:p>
    <w:p>
      <w:pPr>
        <w:ind w:right="80" w:firstLine="8"/>
        <w:spacing w:after="0" w:line="236" w:lineRule="auto"/>
        <w:tabs>
          <w:tab w:leader="none" w:pos="158" w:val="left"/>
        </w:tabs>
        <w:numPr>
          <w:ilvl w:val="0"/>
          <w:numId w:val="85"/>
        </w:numPr>
        <w:rPr>
          <w:rFonts w:ascii="Arial" w:cs="Arial" w:eastAsia="Arial" w:hAnsi="Arial"/>
          <w:sz w:val="22"/>
          <w:szCs w:val="22"/>
          <w:u w:val="single" w:color="auto"/>
          <w:color w:val="auto"/>
        </w:rPr>
      </w:pPr>
      <w:r>
        <w:rPr>
          <w:rFonts w:ascii="Arial" w:cs="Arial" w:eastAsia="Arial" w:hAnsi="Arial"/>
          <w:sz w:val="22"/>
          <w:szCs w:val="22"/>
          <w:color w:val="auto"/>
        </w:rPr>
        <w:t>This Plan is established under and will be construed according to the laws of the State of New York to the extent that such laws are not preempted by the Employee Retirement Income Security Act.</w:t>
      </w:r>
    </w:p>
    <w:p>
      <w:pPr>
        <w:spacing w:after="0" w:line="186"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color w:val="auto"/>
        </w:rPr>
        <w:t>9.7</w:t>
      </w:r>
      <w:r>
        <w:rPr>
          <w:sz w:val="20"/>
          <w:szCs w:val="20"/>
          <w:color w:val="auto"/>
        </w:rPr>
        <w:tab/>
      </w:r>
      <w:r>
        <w:rPr>
          <w:rFonts w:ascii="Arial" w:cs="Arial" w:eastAsia="Arial" w:hAnsi="Arial"/>
          <w:sz w:val="20"/>
          <w:szCs w:val="20"/>
          <w:u w:val="single" w:color="auto"/>
          <w:color w:val="auto"/>
        </w:rPr>
        <w:t>Incapacity of Recipient</w:t>
      </w:r>
    </w:p>
    <w:p>
      <w:pPr>
        <w:spacing w:after="0" w:line="8" w:lineRule="exact"/>
        <w:rPr>
          <w:sz w:val="20"/>
          <w:szCs w:val="20"/>
          <w:color w:val="auto"/>
        </w:rPr>
      </w:pPr>
    </w:p>
    <w:p>
      <w:pPr>
        <w:ind w:right="20" w:firstLine="8"/>
        <w:spacing w:after="0" w:line="232" w:lineRule="auto"/>
        <w:tabs>
          <w:tab w:leader="none" w:pos="162" w:val="left"/>
        </w:tabs>
        <w:numPr>
          <w:ilvl w:val="0"/>
          <w:numId w:val="86"/>
        </w:numPr>
        <w:rPr>
          <w:rFonts w:ascii="Arial" w:cs="Arial" w:eastAsia="Arial" w:hAnsi="Arial"/>
          <w:sz w:val="22"/>
          <w:szCs w:val="22"/>
          <w:u w:val="single" w:color="auto"/>
          <w:color w:val="auto"/>
        </w:rPr>
      </w:pPr>
      <w:r>
        <w:rPr>
          <w:rFonts w:ascii="Arial" w:cs="Arial" w:eastAsia="Arial" w:hAnsi="Arial"/>
          <w:sz w:val="22"/>
          <w:szCs w:val="22"/>
          <w:color w:val="auto"/>
        </w:rPr>
        <w:t>If a Participant or Beneficiary is declared incompetent and a guardian, conservator or other person legally charged with the care of the person or of the estate is appointed, any benefits under this Plan to which such Participant or Beneficiary is entitled may, as determined by the Committee in its discretion, be paid to such guardian, conservator or other person. Except as provided herein, when the Committee in its discretion determines that a Participant or Beneficiary is unable to manage their financial affairs, the Committee may direct the Employer responsible for payment to make distributions to any person for the benefit of such Participant or Beneficiary.</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7" w:right="359" w:bottom="1440" w:gutter="0" w:footer="0" w:header="0"/>
        </w:sectPr>
      </w:pPr>
    </w:p>
    <w:bookmarkStart w:id="115" w:name="page116"/>
    <w:bookmarkEnd w:id="115"/>
    <w:p>
      <w:pPr>
        <w:spacing w:after="0"/>
        <w:tabs>
          <w:tab w:leader="none" w:pos="900" w:val="left"/>
        </w:tabs>
        <w:rPr>
          <w:sz w:val="20"/>
          <w:szCs w:val="20"/>
          <w:color w:val="auto"/>
        </w:rPr>
      </w:pPr>
      <w:r>
        <w:rPr>
          <w:rFonts w:ascii="Arial" w:cs="Arial" w:eastAsia="Arial" w:hAnsi="Arial"/>
          <w:sz w:val="22"/>
          <w:szCs w:val="22"/>
          <w:color w:val="auto"/>
        </w:rPr>
        <w:t>9.8</w:t>
      </w:r>
      <w:r>
        <w:rPr>
          <w:sz w:val="20"/>
          <w:szCs w:val="20"/>
          <w:color w:val="auto"/>
        </w:rPr>
        <w:tab/>
      </w:r>
      <w:r>
        <w:rPr>
          <w:rFonts w:ascii="Arial" w:cs="Arial" w:eastAsia="Arial" w:hAnsi="Arial"/>
          <w:sz w:val="20"/>
          <w:szCs w:val="20"/>
          <w:u w:val="single" w:color="auto"/>
          <w:color w:val="auto"/>
        </w:rPr>
        <w:t>Unclaimed Benefit</w:t>
      </w:r>
    </w:p>
    <w:p>
      <w:pPr>
        <w:spacing w:after="0" w:line="8" w:lineRule="exact"/>
        <w:rPr>
          <w:sz w:val="20"/>
          <w:szCs w:val="20"/>
          <w:color w:val="auto"/>
        </w:rPr>
      </w:pPr>
    </w:p>
    <w:p>
      <w:pPr>
        <w:ind w:right="100" w:firstLine="8"/>
        <w:spacing w:after="0" w:line="280" w:lineRule="auto"/>
        <w:tabs>
          <w:tab w:leader="none" w:pos="162" w:val="left"/>
        </w:tabs>
        <w:numPr>
          <w:ilvl w:val="0"/>
          <w:numId w:val="87"/>
        </w:numPr>
        <w:rPr>
          <w:rFonts w:ascii="Arial" w:cs="Arial" w:eastAsia="Arial" w:hAnsi="Arial"/>
          <w:sz w:val="19"/>
          <w:szCs w:val="19"/>
          <w:u w:val="single" w:color="auto"/>
          <w:color w:val="auto"/>
        </w:rPr>
      </w:pPr>
      <w:r>
        <w:rPr>
          <w:rFonts w:ascii="Arial" w:cs="Arial" w:eastAsia="Arial" w:hAnsi="Arial"/>
          <w:sz w:val="19"/>
          <w:szCs w:val="19"/>
          <w:color w:val="auto"/>
        </w:rPr>
        <w:t>Each Participant must keep the Committee informed of their current address. The Committee is not obligated to search for the whereabouts of any person. The obligation of the Employer to make payment of an amount due under the Plan is satisfied by sending the payment to the last known address of the Participant (or Beneficiary). If the Participant (or Beneficiary) does not receive the payment within three years after it is sent, the Participant (or Beneficiary) will forfeit all rights to the payment.</w:t>
      </w:r>
    </w:p>
    <w:p>
      <w:pPr>
        <w:spacing w:after="0" w:line="14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color w:val="auto"/>
        </w:rPr>
        <w:t>9.9</w:t>
      </w:r>
      <w:r>
        <w:rPr>
          <w:sz w:val="20"/>
          <w:szCs w:val="20"/>
          <w:color w:val="auto"/>
        </w:rPr>
        <w:tab/>
      </w:r>
      <w:r>
        <w:rPr>
          <w:rFonts w:ascii="Arial" w:cs="Arial" w:eastAsia="Arial" w:hAnsi="Arial"/>
          <w:sz w:val="20"/>
          <w:szCs w:val="20"/>
          <w:u w:val="single" w:color="auto"/>
          <w:color w:val="auto"/>
        </w:rPr>
        <w:t>Elections, Applications, Notices</w:t>
      </w:r>
    </w:p>
    <w:p>
      <w:pPr>
        <w:spacing w:after="0" w:line="8" w:lineRule="exact"/>
        <w:rPr>
          <w:sz w:val="20"/>
          <w:szCs w:val="20"/>
          <w:color w:val="auto"/>
        </w:rPr>
      </w:pPr>
    </w:p>
    <w:p>
      <w:pPr>
        <w:ind w:firstLine="8"/>
        <w:spacing w:after="0" w:line="270" w:lineRule="auto"/>
        <w:tabs>
          <w:tab w:leader="none" w:pos="162" w:val="left"/>
        </w:tabs>
        <w:numPr>
          <w:ilvl w:val="0"/>
          <w:numId w:val="88"/>
        </w:numPr>
        <w:rPr>
          <w:rFonts w:ascii="Arial" w:cs="Arial" w:eastAsia="Arial" w:hAnsi="Arial"/>
          <w:sz w:val="19"/>
          <w:szCs w:val="19"/>
          <w:u w:val="single" w:color="auto"/>
          <w:color w:val="auto"/>
        </w:rPr>
      </w:pPr>
      <w:r>
        <w:rPr>
          <w:rFonts w:ascii="Arial" w:cs="Arial" w:eastAsia="Arial" w:hAnsi="Arial"/>
          <w:sz w:val="19"/>
          <w:szCs w:val="19"/>
          <w:color w:val="auto"/>
        </w:rPr>
        <w:t>Every direction, revocation or notice authorized or required hereunder will be deemed delivered to the Employers or the Committee: (a) on the date it is sent via electronic transmission to the Secretary of the Committee (with a copy to the Company's General Counsel), provided that receipt of the electronic transmission is acknowledged by personal action of the Secretary of the Committee or the Company's General Counsel within three business days, (b) the date it is personally delivered to the Company's executive offices at Buffalo, New York, or (c) three business days after it is sent by registered or certified mail, addressed to the Secretary of the Committee (with a copy to the Company's General Counsel) at the offices indicated above; and will be deemed delivered to a Participant or Beneficiary: (a) on the date it is sent via electronic transmission to the Participant or Beneficiary, provided that receipt of the electronic transmission is acknowledged by personal action of the Participant or Beneficiary within three business days, (b) the date it is personally delivered to the Participant or Beneficiary, or (c) three business days after it is sent by registered or certified mail, addressed to the Participant or Beneficiary at the last address shown for him on the records of the Employers. Any notice required hereunder may be waived by the person entitled thereto.</w:t>
      </w:r>
    </w:p>
    <w:p>
      <w:pPr>
        <w:spacing w:after="0" w:line="164"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color w:val="auto"/>
        </w:rPr>
        <w:t>9.10</w:t>
      </w:r>
      <w:r>
        <w:rPr>
          <w:sz w:val="20"/>
          <w:szCs w:val="20"/>
          <w:color w:val="auto"/>
        </w:rPr>
        <w:tab/>
      </w:r>
      <w:r>
        <w:rPr>
          <w:rFonts w:ascii="Arial" w:cs="Arial" w:eastAsia="Arial" w:hAnsi="Arial"/>
          <w:sz w:val="20"/>
          <w:szCs w:val="20"/>
          <w:u w:val="single" w:color="auto"/>
          <w:color w:val="auto"/>
        </w:rPr>
        <w:t>Severability</w:t>
      </w:r>
    </w:p>
    <w:p>
      <w:pPr>
        <w:spacing w:after="0" w:line="8" w:lineRule="exact"/>
        <w:rPr>
          <w:sz w:val="20"/>
          <w:szCs w:val="20"/>
          <w:color w:val="auto"/>
        </w:rPr>
      </w:pPr>
    </w:p>
    <w:p>
      <w:pPr>
        <w:ind w:right="60" w:firstLine="8"/>
        <w:spacing w:after="0" w:line="234" w:lineRule="auto"/>
        <w:tabs>
          <w:tab w:leader="none" w:pos="162" w:val="left"/>
        </w:tabs>
        <w:numPr>
          <w:ilvl w:val="0"/>
          <w:numId w:val="89"/>
        </w:numPr>
        <w:rPr>
          <w:rFonts w:ascii="Arial" w:cs="Arial" w:eastAsia="Arial" w:hAnsi="Arial"/>
          <w:sz w:val="22"/>
          <w:szCs w:val="22"/>
          <w:u w:val="single" w:color="auto"/>
          <w:color w:val="auto"/>
        </w:rPr>
      </w:pPr>
      <w:r>
        <w:rPr>
          <w:rFonts w:ascii="Arial" w:cs="Arial" w:eastAsia="Arial" w:hAnsi="Arial"/>
          <w:sz w:val="22"/>
          <w:szCs w:val="22"/>
          <w:color w:val="auto"/>
        </w:rPr>
        <w:t>If any provision of this Plan is held illegal or invalid for any reason, such illegality or invalidity will not affect the remaining provisions of this Plan, which will be construed and administered as if such illegal or invalid provision had never been contained herein.</w:t>
      </w:r>
    </w:p>
    <w:p>
      <w:pPr>
        <w:spacing w:after="0" w:line="186" w:lineRule="exact"/>
        <w:rPr>
          <w:sz w:val="20"/>
          <w:szCs w:val="20"/>
          <w:color w:val="auto"/>
        </w:rPr>
      </w:pPr>
    </w:p>
    <w:p>
      <w:pPr>
        <w:spacing w:after="0"/>
        <w:tabs>
          <w:tab w:leader="none" w:pos="1000" w:val="left"/>
        </w:tabs>
        <w:rPr>
          <w:sz w:val="20"/>
          <w:szCs w:val="20"/>
          <w:color w:val="auto"/>
        </w:rPr>
      </w:pPr>
      <w:r>
        <w:rPr>
          <w:rFonts w:ascii="Arial" w:cs="Arial" w:eastAsia="Arial" w:hAnsi="Arial"/>
          <w:sz w:val="22"/>
          <w:szCs w:val="22"/>
          <w:color w:val="auto"/>
        </w:rPr>
        <w:t>9.11</w:t>
      </w:r>
      <w:r>
        <w:rPr>
          <w:sz w:val="20"/>
          <w:szCs w:val="20"/>
          <w:color w:val="auto"/>
        </w:rPr>
        <w:tab/>
      </w:r>
      <w:r>
        <w:rPr>
          <w:rFonts w:ascii="Arial" w:cs="Arial" w:eastAsia="Arial" w:hAnsi="Arial"/>
          <w:sz w:val="19"/>
          <w:szCs w:val="19"/>
          <w:u w:val="single" w:color="auto"/>
          <w:color w:val="auto"/>
        </w:rPr>
        <w:t>Headings</w:t>
      </w:r>
    </w:p>
    <w:p>
      <w:pPr>
        <w:spacing w:after="0" w:line="8" w:lineRule="exact"/>
        <w:rPr>
          <w:sz w:val="20"/>
          <w:szCs w:val="20"/>
          <w:color w:val="auto"/>
        </w:rPr>
      </w:pPr>
    </w:p>
    <w:p>
      <w:pPr>
        <w:ind w:right="80" w:firstLine="8"/>
        <w:spacing w:after="0" w:line="236" w:lineRule="auto"/>
        <w:tabs>
          <w:tab w:leader="none" w:pos="158" w:val="left"/>
        </w:tabs>
        <w:numPr>
          <w:ilvl w:val="0"/>
          <w:numId w:val="90"/>
        </w:numPr>
        <w:rPr>
          <w:rFonts w:ascii="Arial" w:cs="Arial" w:eastAsia="Arial" w:hAnsi="Arial"/>
          <w:sz w:val="22"/>
          <w:szCs w:val="22"/>
          <w:u w:val="single" w:color="auto"/>
          <w:color w:val="auto"/>
        </w:rPr>
      </w:pPr>
      <w:r>
        <w:rPr>
          <w:rFonts w:ascii="Arial" w:cs="Arial" w:eastAsia="Arial" w:hAnsi="Arial"/>
          <w:sz w:val="22"/>
          <w:szCs w:val="22"/>
          <w:color w:val="auto"/>
        </w:rPr>
        <w:t>The headings of Sections of this Plan are for convenience of reference only and have no substantive effect on the provisions of this Plan.</w:t>
      </w:r>
    </w:p>
    <w:p>
      <w:pPr>
        <w:spacing w:after="0" w:line="186" w:lineRule="exact"/>
        <w:rPr>
          <w:sz w:val="20"/>
          <w:szCs w:val="20"/>
          <w:color w:val="auto"/>
        </w:rPr>
      </w:pPr>
    </w:p>
    <w:p>
      <w:pPr>
        <w:spacing w:after="0"/>
        <w:tabs>
          <w:tab w:leader="none" w:pos="1040" w:val="left"/>
        </w:tabs>
        <w:rPr>
          <w:sz w:val="20"/>
          <w:szCs w:val="20"/>
          <w:color w:val="auto"/>
        </w:rPr>
      </w:pPr>
      <w:r>
        <w:rPr>
          <w:rFonts w:ascii="Arial" w:cs="Arial" w:eastAsia="Arial" w:hAnsi="Arial"/>
          <w:sz w:val="22"/>
          <w:szCs w:val="22"/>
          <w:color w:val="auto"/>
        </w:rPr>
        <w:t>9.12</w:t>
      </w:r>
      <w:r>
        <w:rPr>
          <w:sz w:val="20"/>
          <w:szCs w:val="20"/>
          <w:color w:val="auto"/>
        </w:rPr>
        <w:tab/>
      </w:r>
      <w:r>
        <w:rPr>
          <w:rFonts w:ascii="Arial" w:cs="Arial" w:eastAsia="Arial" w:hAnsi="Arial"/>
          <w:sz w:val="20"/>
          <w:szCs w:val="20"/>
          <w:u w:val="single" w:color="auto"/>
          <w:color w:val="auto"/>
        </w:rPr>
        <w:t>Compliance with Code Section 409A</w:t>
      </w:r>
    </w:p>
    <w:p>
      <w:pPr>
        <w:spacing w:after="0" w:line="8" w:lineRule="exact"/>
        <w:rPr>
          <w:sz w:val="20"/>
          <w:szCs w:val="20"/>
          <w:color w:val="auto"/>
        </w:rPr>
      </w:pPr>
    </w:p>
    <w:p>
      <w:pPr>
        <w:ind w:firstLine="8"/>
        <w:spacing w:after="0" w:line="232" w:lineRule="auto"/>
        <w:tabs>
          <w:tab w:leader="none" w:pos="177" w:val="left"/>
        </w:tabs>
        <w:numPr>
          <w:ilvl w:val="0"/>
          <w:numId w:val="91"/>
        </w:numPr>
        <w:rPr>
          <w:rFonts w:ascii="Arial" w:cs="Arial" w:eastAsia="Arial" w:hAnsi="Arial"/>
          <w:sz w:val="22"/>
          <w:szCs w:val="22"/>
          <w:u w:val="single" w:color="auto"/>
          <w:color w:val="auto"/>
        </w:rPr>
      </w:pPr>
      <w:r>
        <w:rPr>
          <w:rFonts w:ascii="Arial" w:cs="Arial" w:eastAsia="Arial" w:hAnsi="Arial"/>
          <w:sz w:val="22"/>
          <w:szCs w:val="22"/>
          <w:color w:val="auto"/>
        </w:rPr>
        <w:t>The Plan is intended to comply with the requirements of Code Section 409A, and the Committee will administer and interpret the Plan in accordance with such requirements. However, the Employers will not be liable to any Participant or Beneficiary for any benefit related adverse tax consequences arising under Section 409A or other provision of the Code. If any provision of the Plan conflicts with the requirements of Code Section 409A, the requirements of Section 409A will supersede any such Plan provision.</w:t>
      </w:r>
    </w:p>
    <w:p>
      <w:pPr>
        <w:spacing w:after="0" w:line="189" w:lineRule="exact"/>
        <w:rPr>
          <w:sz w:val="20"/>
          <w:szCs w:val="20"/>
          <w:color w:val="auto"/>
        </w:rPr>
      </w:pPr>
    </w:p>
    <w:p>
      <w:pPr>
        <w:ind w:left="880"/>
        <w:spacing w:after="0"/>
        <w:rPr>
          <w:sz w:val="20"/>
          <w:szCs w:val="20"/>
          <w:color w:val="auto"/>
        </w:rPr>
      </w:pPr>
      <w:r>
        <w:rPr>
          <w:rFonts w:ascii="Arial" w:cs="Arial" w:eastAsia="Arial" w:hAnsi="Arial"/>
          <w:sz w:val="20"/>
          <w:szCs w:val="20"/>
          <w:color w:val="auto"/>
        </w:rPr>
        <w:t>IN WITNESS WHEREOF, the Company has signed this restated Plan document on the date set forth below.</w:t>
      </w:r>
    </w:p>
    <w:p>
      <w:pPr>
        <w:spacing w:after="0" w:line="200" w:lineRule="exact"/>
        <w:rPr>
          <w:sz w:val="20"/>
          <w:szCs w:val="20"/>
          <w:color w:val="auto"/>
        </w:rPr>
      </w:pPr>
    </w:p>
    <w:p>
      <w:pPr>
        <w:spacing w:after="0" w:line="265" w:lineRule="exact"/>
        <w:rPr>
          <w:sz w:val="20"/>
          <w:szCs w:val="20"/>
          <w:color w:val="auto"/>
        </w:rPr>
      </w:pPr>
    </w:p>
    <w:p>
      <w:pPr>
        <w:ind w:left="1520"/>
        <w:spacing w:after="0"/>
        <w:rPr>
          <w:sz w:val="20"/>
          <w:szCs w:val="20"/>
          <w:color w:val="auto"/>
        </w:rPr>
      </w:pPr>
      <w:r>
        <w:rPr>
          <w:rFonts w:ascii="Arial" w:cs="Arial" w:eastAsia="Arial" w:hAnsi="Arial"/>
          <w:sz w:val="22"/>
          <w:szCs w:val="22"/>
          <w:b w:val="1"/>
          <w:bCs w:val="1"/>
          <w:color w:val="auto"/>
        </w:rPr>
        <w:t>MANUFACTURERS AND TRADERS TRUST COMPANY</w:t>
      </w:r>
    </w:p>
    <w:p>
      <w:pPr>
        <w:spacing w:after="0" w:line="211" w:lineRule="exact"/>
        <w:rPr>
          <w:sz w:val="20"/>
          <w:szCs w:val="20"/>
          <w:color w:val="auto"/>
        </w:rPr>
      </w:pPr>
    </w:p>
    <w:p>
      <w:pPr>
        <w:spacing w:after="0"/>
        <w:tabs>
          <w:tab w:leader="none" w:pos="2820" w:val="left"/>
        </w:tabs>
        <w:rPr>
          <w:sz w:val="20"/>
          <w:szCs w:val="20"/>
          <w:color w:val="auto"/>
        </w:rPr>
      </w:pPr>
      <w:r>
        <w:rPr>
          <w:rFonts w:ascii="Arial" w:cs="Arial" w:eastAsia="Arial" w:hAnsi="Arial"/>
          <w:sz w:val="22"/>
          <w:szCs w:val="22"/>
          <w:color w:val="auto"/>
        </w:rPr>
        <w:t>Date: _______________</w:t>
      </w:r>
      <w:r>
        <w:rPr>
          <w:sz w:val="20"/>
          <w:szCs w:val="20"/>
          <w:color w:val="auto"/>
        </w:rPr>
        <w:tab/>
      </w:r>
      <w:r>
        <w:rPr>
          <w:rFonts w:ascii="Arial" w:cs="Arial" w:eastAsia="Arial" w:hAnsi="Arial"/>
          <w:sz w:val="19"/>
          <w:szCs w:val="19"/>
          <w:color w:val="auto"/>
        </w:rPr>
        <w:t>By: _____________________________________________</w:t>
      </w:r>
    </w:p>
    <w:p>
      <w:pPr>
        <w:spacing w:after="0" w:line="16" w:lineRule="exact"/>
        <w:rPr>
          <w:sz w:val="20"/>
          <w:szCs w:val="20"/>
          <w:color w:val="auto"/>
        </w:rPr>
      </w:pPr>
    </w:p>
    <w:p>
      <w:pPr>
        <w:ind w:left="1520"/>
        <w:spacing w:after="0"/>
        <w:rPr>
          <w:sz w:val="20"/>
          <w:szCs w:val="20"/>
          <w:color w:val="auto"/>
        </w:rPr>
      </w:pPr>
      <w:r>
        <w:rPr>
          <w:rFonts w:ascii="Arial" w:cs="Arial" w:eastAsia="Arial" w:hAnsi="Arial"/>
          <w:sz w:val="21"/>
          <w:szCs w:val="21"/>
          <w:color w:val="auto"/>
        </w:rPr>
        <w:t>Ann Marie Odrobina,</w:t>
      </w:r>
    </w:p>
    <w:p>
      <w:pPr>
        <w:spacing w:after="0" w:line="1" w:lineRule="exact"/>
        <w:rPr>
          <w:sz w:val="20"/>
          <w:szCs w:val="20"/>
          <w:color w:val="auto"/>
        </w:rPr>
      </w:pPr>
    </w:p>
    <w:p>
      <w:pPr>
        <w:ind w:left="1520"/>
        <w:spacing w:after="0"/>
        <w:rPr>
          <w:sz w:val="20"/>
          <w:szCs w:val="20"/>
          <w:color w:val="auto"/>
        </w:rPr>
      </w:pPr>
      <w:r>
        <w:rPr>
          <w:rFonts w:ascii="Arial" w:cs="Arial" w:eastAsia="Arial" w:hAnsi="Arial"/>
          <w:sz w:val="21"/>
          <w:szCs w:val="21"/>
          <w:color w:val="auto"/>
        </w:rPr>
        <w:t>Group Vice President</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80"/>
          </w:cols>
          <w:pgMar w:left="320" w:top="550" w:right="39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color w:val="auto"/>
        </w:rPr>
        <w:t>EXHIBIT 31.1</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CERTIFICATIONS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1"/>
          <w:szCs w:val="21"/>
          <w:color w:val="auto"/>
        </w:rPr>
        <w:t>I, René F. Jones, certify that:</w:t>
      </w:r>
    </w:p>
    <w:p>
      <w:pPr>
        <w:spacing w:after="0" w:line="82" w:lineRule="exact"/>
        <w:rPr>
          <w:sz w:val="20"/>
          <w:szCs w:val="20"/>
          <w:color w:val="auto"/>
        </w:rPr>
      </w:pPr>
    </w:p>
    <w:p>
      <w:pPr>
        <w:ind w:left="420" w:hanging="412"/>
        <w:spacing w:after="0"/>
        <w:tabs>
          <w:tab w:leader="none" w:pos="420" w:val="left"/>
        </w:tabs>
        <w:numPr>
          <w:ilvl w:val="0"/>
          <w:numId w:val="92"/>
        </w:numPr>
        <w:rPr>
          <w:rFonts w:ascii="Arial" w:cs="Arial" w:eastAsia="Arial" w:hAnsi="Arial"/>
          <w:sz w:val="21"/>
          <w:szCs w:val="21"/>
          <w:color w:val="auto"/>
        </w:rPr>
      </w:pPr>
      <w:r>
        <w:rPr>
          <w:rFonts w:ascii="Arial" w:cs="Arial" w:eastAsia="Arial" w:hAnsi="Arial"/>
          <w:sz w:val="21"/>
          <w:szCs w:val="21"/>
          <w:color w:val="auto"/>
        </w:rPr>
        <w:t>I have reviewed this quarterly report on Form 10-Q of M&amp;T Bank Corporation;</w:t>
      </w:r>
    </w:p>
    <w:p>
      <w:pPr>
        <w:spacing w:after="0" w:line="82" w:lineRule="exact"/>
        <w:rPr>
          <w:rFonts w:ascii="Arial" w:cs="Arial" w:eastAsia="Arial" w:hAnsi="Arial"/>
          <w:sz w:val="21"/>
          <w:szCs w:val="21"/>
          <w:color w:val="auto"/>
        </w:rPr>
      </w:pPr>
    </w:p>
    <w:p>
      <w:pPr>
        <w:jc w:val="both"/>
        <w:ind w:left="420" w:hanging="412"/>
        <w:spacing w:after="0" w:line="194" w:lineRule="auto"/>
        <w:tabs>
          <w:tab w:leader="none" w:pos="420" w:val="left"/>
        </w:tabs>
        <w:numPr>
          <w:ilvl w:val="0"/>
          <w:numId w:val="92"/>
        </w:numPr>
        <w:rPr>
          <w:rFonts w:ascii="Arial" w:cs="Arial" w:eastAsia="Arial" w:hAnsi="Arial"/>
          <w:sz w:val="21"/>
          <w:szCs w:val="21"/>
          <w:color w:val="auto"/>
        </w:rPr>
      </w:pPr>
      <w:r>
        <w:rPr>
          <w:rFonts w:ascii="Arial" w:cs="Arial" w:eastAsia="Arial" w:hAnsi="Arial"/>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1" w:lineRule="exact"/>
        <w:rPr>
          <w:rFonts w:ascii="Arial" w:cs="Arial" w:eastAsia="Arial" w:hAnsi="Arial"/>
          <w:sz w:val="21"/>
          <w:szCs w:val="21"/>
          <w:color w:val="auto"/>
        </w:rPr>
      </w:pPr>
    </w:p>
    <w:p>
      <w:pPr>
        <w:jc w:val="both"/>
        <w:ind w:left="420" w:hanging="412"/>
        <w:spacing w:after="0" w:line="194" w:lineRule="auto"/>
        <w:tabs>
          <w:tab w:leader="none" w:pos="420" w:val="left"/>
        </w:tabs>
        <w:numPr>
          <w:ilvl w:val="0"/>
          <w:numId w:val="92"/>
        </w:numPr>
        <w:rPr>
          <w:rFonts w:ascii="Arial" w:cs="Arial" w:eastAsia="Arial" w:hAnsi="Arial"/>
          <w:sz w:val="21"/>
          <w:szCs w:val="21"/>
          <w:color w:val="auto"/>
        </w:rPr>
      </w:pPr>
      <w:r>
        <w:rPr>
          <w:rFonts w:ascii="Arial" w:cs="Arial" w:eastAsia="Arial" w:hAnsi="Arial"/>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1" w:lineRule="exact"/>
        <w:rPr>
          <w:rFonts w:ascii="Arial" w:cs="Arial" w:eastAsia="Arial" w:hAnsi="Arial"/>
          <w:sz w:val="21"/>
          <w:szCs w:val="21"/>
          <w:color w:val="auto"/>
        </w:rPr>
      </w:pPr>
    </w:p>
    <w:p>
      <w:pPr>
        <w:jc w:val="both"/>
        <w:ind w:left="420" w:hanging="412"/>
        <w:spacing w:after="0" w:line="194" w:lineRule="auto"/>
        <w:tabs>
          <w:tab w:leader="none" w:pos="420" w:val="left"/>
        </w:tabs>
        <w:numPr>
          <w:ilvl w:val="0"/>
          <w:numId w:val="92"/>
        </w:numPr>
        <w:rPr>
          <w:rFonts w:ascii="Arial" w:cs="Arial" w:eastAsia="Arial" w:hAnsi="Arial"/>
          <w:sz w:val="21"/>
          <w:szCs w:val="21"/>
          <w:color w:val="auto"/>
        </w:rPr>
      </w:pPr>
      <w:r>
        <w:rPr>
          <w:rFonts w:ascii="Arial" w:cs="Arial" w:eastAsia="Arial" w:hAnsi="Arial"/>
          <w:sz w:val="21"/>
          <w:szCs w:val="21"/>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 w:lineRule="exact"/>
        <w:rPr>
          <w:sz w:val="20"/>
          <w:szCs w:val="20"/>
          <w:color w:val="auto"/>
        </w:rPr>
      </w:pPr>
    </w:p>
    <w:p>
      <w:pPr>
        <w:jc w:val="both"/>
        <w:ind w:left="420" w:hanging="412"/>
        <w:spacing w:after="0" w:line="204" w:lineRule="auto"/>
        <w:tabs>
          <w:tab w:leader="none" w:pos="420" w:val="left"/>
        </w:tabs>
        <w:numPr>
          <w:ilvl w:val="0"/>
          <w:numId w:val="93"/>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 w:lineRule="exact"/>
        <w:rPr>
          <w:rFonts w:ascii="Arial" w:cs="Arial" w:eastAsia="Arial" w:hAnsi="Arial"/>
          <w:sz w:val="20"/>
          <w:szCs w:val="20"/>
          <w:color w:val="auto"/>
        </w:rPr>
      </w:pPr>
    </w:p>
    <w:p>
      <w:pPr>
        <w:jc w:val="both"/>
        <w:ind w:left="420" w:hanging="412"/>
        <w:spacing w:after="0" w:line="204" w:lineRule="auto"/>
        <w:tabs>
          <w:tab w:leader="none" w:pos="420" w:val="left"/>
        </w:tabs>
        <w:numPr>
          <w:ilvl w:val="0"/>
          <w:numId w:val="93"/>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 w:lineRule="exact"/>
        <w:rPr>
          <w:rFonts w:ascii="Arial" w:cs="Arial" w:eastAsia="Arial" w:hAnsi="Arial"/>
          <w:sz w:val="20"/>
          <w:szCs w:val="20"/>
          <w:color w:val="auto"/>
        </w:rPr>
      </w:pPr>
    </w:p>
    <w:p>
      <w:pPr>
        <w:jc w:val="both"/>
        <w:ind w:left="420" w:hanging="412"/>
        <w:spacing w:after="0" w:line="194" w:lineRule="auto"/>
        <w:tabs>
          <w:tab w:leader="none" w:pos="420" w:val="left"/>
        </w:tabs>
        <w:numPr>
          <w:ilvl w:val="0"/>
          <w:numId w:val="93"/>
        </w:numPr>
        <w:rPr>
          <w:rFonts w:ascii="Arial" w:cs="Arial" w:eastAsia="Arial" w:hAnsi="Arial"/>
          <w:sz w:val="21"/>
          <w:szCs w:val="21"/>
          <w:color w:val="auto"/>
        </w:rPr>
      </w:pPr>
      <w:r>
        <w:rPr>
          <w:rFonts w:ascii="Arial" w:cs="Arial" w:eastAsia="Arial" w:hAnsi="Arial"/>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 w:lineRule="exact"/>
        <w:rPr>
          <w:rFonts w:ascii="Arial" w:cs="Arial" w:eastAsia="Arial" w:hAnsi="Arial"/>
          <w:sz w:val="21"/>
          <w:szCs w:val="21"/>
          <w:color w:val="auto"/>
        </w:rPr>
      </w:pPr>
    </w:p>
    <w:p>
      <w:pPr>
        <w:jc w:val="both"/>
        <w:ind w:left="420" w:hanging="412"/>
        <w:spacing w:after="0" w:line="194" w:lineRule="auto"/>
        <w:tabs>
          <w:tab w:leader="none" w:pos="420" w:val="left"/>
        </w:tabs>
        <w:numPr>
          <w:ilvl w:val="0"/>
          <w:numId w:val="93"/>
        </w:numPr>
        <w:rPr>
          <w:rFonts w:ascii="Arial" w:cs="Arial" w:eastAsia="Arial" w:hAnsi="Arial"/>
          <w:sz w:val="21"/>
          <w:szCs w:val="21"/>
          <w:color w:val="auto"/>
        </w:rPr>
      </w:pPr>
      <w:r>
        <w:rPr>
          <w:rFonts w:ascii="Arial" w:cs="Arial" w:eastAsia="Arial" w:hAnsi="Arial"/>
          <w:sz w:val="21"/>
          <w:szCs w:val="2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62" w:lineRule="exact"/>
        <w:rPr>
          <w:sz w:val="20"/>
          <w:szCs w:val="20"/>
          <w:color w:val="auto"/>
        </w:rPr>
      </w:pPr>
    </w:p>
    <w:p>
      <w:pPr>
        <w:jc w:val="both"/>
        <w:ind w:left="420" w:hanging="412"/>
        <w:spacing w:after="0" w:line="194" w:lineRule="auto"/>
        <w:tabs>
          <w:tab w:leader="none" w:pos="420" w:val="left"/>
        </w:tabs>
        <w:numPr>
          <w:ilvl w:val="0"/>
          <w:numId w:val="94"/>
        </w:numPr>
        <w:rPr>
          <w:rFonts w:ascii="Arial" w:cs="Arial" w:eastAsia="Arial" w:hAnsi="Arial"/>
          <w:sz w:val="21"/>
          <w:szCs w:val="21"/>
          <w:color w:val="auto"/>
        </w:rPr>
      </w:pPr>
      <w:r>
        <w:rPr>
          <w:rFonts w:ascii="Arial" w:cs="Arial" w:eastAsia="Arial" w:hAnsi="Arial"/>
          <w:sz w:val="21"/>
          <w:szCs w:val="21"/>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 w:lineRule="exact"/>
        <w:rPr>
          <w:sz w:val="20"/>
          <w:szCs w:val="20"/>
          <w:color w:val="auto"/>
        </w:rPr>
      </w:pPr>
    </w:p>
    <w:p>
      <w:pPr>
        <w:jc w:val="both"/>
        <w:ind w:left="420" w:right="20" w:hanging="412"/>
        <w:spacing w:after="0" w:line="250" w:lineRule="auto"/>
        <w:tabs>
          <w:tab w:leader="none" w:pos="4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420" w:hanging="412"/>
        <w:spacing w:after="0" w:line="211" w:lineRule="auto"/>
        <w:tabs>
          <w:tab w:leader="none" w:pos="420" w:val="left"/>
        </w:tabs>
        <w:numPr>
          <w:ilvl w:val="0"/>
          <w:numId w:val="95"/>
        </w:numPr>
        <w:rPr>
          <w:rFonts w:ascii="Arial" w:cs="Arial" w:eastAsia="Arial" w:hAnsi="Arial"/>
          <w:sz w:val="21"/>
          <w:szCs w:val="21"/>
          <w:color w:val="auto"/>
        </w:rPr>
      </w:pPr>
      <w:r>
        <w:rPr>
          <w:rFonts w:ascii="Arial" w:cs="Arial" w:eastAsia="Arial" w:hAnsi="Arial"/>
          <w:sz w:val="21"/>
          <w:szCs w:val="21"/>
          <w:color w:val="auto"/>
        </w:rPr>
        <w:t>any fraud, whether or not material, that involves management or other employees who have a significant role in the registrant's internal control over financial reporting.</w:t>
      </w:r>
    </w:p>
    <w:p>
      <w:pPr>
        <w:spacing w:after="0" w:line="61" w:lineRule="exact"/>
        <w:rPr>
          <w:sz w:val="20"/>
          <w:szCs w:val="20"/>
          <w:color w:val="auto"/>
        </w:rPr>
      </w:pPr>
    </w:p>
    <w:p>
      <w:pPr>
        <w:spacing w:after="0"/>
        <w:rPr>
          <w:sz w:val="20"/>
          <w:szCs w:val="20"/>
          <w:color w:val="auto"/>
        </w:rPr>
      </w:pPr>
      <w:r>
        <w:rPr>
          <w:rFonts w:ascii="Arial" w:cs="Arial" w:eastAsia="Arial" w:hAnsi="Arial"/>
          <w:sz w:val="21"/>
          <w:szCs w:val="21"/>
          <w:color w:val="auto"/>
        </w:rPr>
        <w:t>Date: May 6, 2020</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1"/>
          <w:szCs w:val="21"/>
          <w:color w:val="auto"/>
        </w:rPr>
        <w:t>By: /s/ René F.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278765</wp:posOffset>
            </wp:positionH>
            <wp:positionV relativeFrom="paragraph">
              <wp:posOffset>9525</wp:posOffset>
            </wp:positionV>
            <wp:extent cx="252603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526030" cy="8255"/>
                    </a:xfrm>
                    <a:prstGeom prst="rect">
                      <a:avLst/>
                    </a:prstGeom>
                    <a:noFill/>
                  </pic:spPr>
                </pic:pic>
              </a:graphicData>
            </a:graphic>
          </wp:anchor>
        </w:drawing>
      </w:r>
    </w:p>
    <w:p>
      <w:pPr>
        <w:spacing w:after="0" w:line="8" w:lineRule="exact"/>
        <w:rPr>
          <w:sz w:val="20"/>
          <w:szCs w:val="20"/>
          <w:color w:val="auto"/>
        </w:rPr>
      </w:pPr>
    </w:p>
    <w:p>
      <w:pPr>
        <w:ind w:left="440"/>
        <w:spacing w:after="0"/>
        <w:rPr>
          <w:sz w:val="20"/>
          <w:szCs w:val="20"/>
          <w:color w:val="auto"/>
        </w:rPr>
      </w:pPr>
      <w:r>
        <w:rPr>
          <w:rFonts w:ascii="Arial" w:cs="Arial" w:eastAsia="Arial" w:hAnsi="Arial"/>
          <w:sz w:val="21"/>
          <w:szCs w:val="21"/>
          <w:color w:val="auto"/>
        </w:rPr>
        <w:t>René F. Jones</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21"/>
          <w:szCs w:val="21"/>
          <w:color w:val="auto"/>
        </w:rPr>
        <w:t>Chairman of the Board and</w:t>
      </w:r>
    </w:p>
    <w:p>
      <w:pPr>
        <w:spacing w:after="0" w:line="15" w:lineRule="exact"/>
        <w:rPr>
          <w:sz w:val="20"/>
          <w:szCs w:val="20"/>
          <w:color w:val="auto"/>
        </w:rPr>
      </w:pPr>
    </w:p>
    <w:p>
      <w:pPr>
        <w:ind w:left="440"/>
        <w:spacing w:after="0"/>
        <w:rPr>
          <w:sz w:val="20"/>
          <w:szCs w:val="20"/>
          <w:color w:val="auto"/>
        </w:rPr>
      </w:pPr>
      <w:r>
        <w:rPr>
          <w:rFonts w:ascii="Arial" w:cs="Arial" w:eastAsia="Arial" w:hAnsi="Arial"/>
          <w:sz w:val="21"/>
          <w:szCs w:val="21"/>
          <w:color w:val="auto"/>
        </w:rPr>
        <w:t>Chief Executive Officer</w:t>
      </w:r>
    </w:p>
    <w:p>
      <w:pPr>
        <w:sectPr>
          <w:pgSz w:w="11900" w:h="16838" w:orient="portrait"/>
          <w:cols w:equalWidth="0" w:num="1">
            <w:col w:w="11240"/>
          </w:cols>
          <w:pgMar w:left="320" w:top="125" w:right="339" w:bottom="1440" w:gutter="0" w:footer="0" w:header="0"/>
        </w:sectPr>
      </w:pPr>
    </w:p>
    <w:bookmarkStart w:id="117" w:name="page118"/>
    <w:bookmarkEnd w:id="117"/>
    <w:p>
      <w:pPr>
        <w:jc w:val="right"/>
        <w:spacing w:after="0"/>
        <w:rPr>
          <w:sz w:val="20"/>
          <w:szCs w:val="20"/>
          <w:color w:val="auto"/>
        </w:rPr>
      </w:pPr>
      <w:r>
        <w:rPr>
          <w:rFonts w:ascii="Arial" w:cs="Arial" w:eastAsia="Arial" w:hAnsi="Arial"/>
          <w:sz w:val="21"/>
          <w:szCs w:val="21"/>
          <w:color w:val="auto"/>
        </w:rPr>
        <w:t>EXHIBIT 31.2</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CERTIFICATIONS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1"/>
          <w:szCs w:val="21"/>
          <w:color w:val="auto"/>
        </w:rPr>
        <w:t>I, Darren J. King, certify that:</w:t>
      </w:r>
    </w:p>
    <w:p>
      <w:pPr>
        <w:spacing w:after="0" w:line="82" w:lineRule="exact"/>
        <w:rPr>
          <w:sz w:val="20"/>
          <w:szCs w:val="20"/>
          <w:color w:val="auto"/>
        </w:rPr>
      </w:pPr>
    </w:p>
    <w:p>
      <w:pPr>
        <w:ind w:left="420" w:hanging="412"/>
        <w:spacing w:after="0"/>
        <w:tabs>
          <w:tab w:leader="none" w:pos="420" w:val="left"/>
        </w:tabs>
        <w:numPr>
          <w:ilvl w:val="0"/>
          <w:numId w:val="96"/>
        </w:numPr>
        <w:rPr>
          <w:rFonts w:ascii="Arial" w:cs="Arial" w:eastAsia="Arial" w:hAnsi="Arial"/>
          <w:sz w:val="21"/>
          <w:szCs w:val="21"/>
          <w:color w:val="auto"/>
        </w:rPr>
      </w:pPr>
      <w:r>
        <w:rPr>
          <w:rFonts w:ascii="Arial" w:cs="Arial" w:eastAsia="Arial" w:hAnsi="Arial"/>
          <w:sz w:val="21"/>
          <w:szCs w:val="21"/>
          <w:color w:val="auto"/>
        </w:rPr>
        <w:t>I have reviewed this quarterly report on Form 10-Q of M&amp;T Bank Corporation;</w:t>
      </w:r>
    </w:p>
    <w:p>
      <w:pPr>
        <w:spacing w:after="0" w:line="82" w:lineRule="exact"/>
        <w:rPr>
          <w:rFonts w:ascii="Arial" w:cs="Arial" w:eastAsia="Arial" w:hAnsi="Arial"/>
          <w:sz w:val="21"/>
          <w:szCs w:val="21"/>
          <w:color w:val="auto"/>
        </w:rPr>
      </w:pPr>
    </w:p>
    <w:p>
      <w:pPr>
        <w:jc w:val="both"/>
        <w:ind w:left="420" w:hanging="412"/>
        <w:spacing w:after="0" w:line="194" w:lineRule="auto"/>
        <w:tabs>
          <w:tab w:leader="none" w:pos="420" w:val="left"/>
        </w:tabs>
        <w:numPr>
          <w:ilvl w:val="0"/>
          <w:numId w:val="96"/>
        </w:numPr>
        <w:rPr>
          <w:rFonts w:ascii="Arial" w:cs="Arial" w:eastAsia="Arial" w:hAnsi="Arial"/>
          <w:sz w:val="21"/>
          <w:szCs w:val="21"/>
          <w:color w:val="auto"/>
        </w:rPr>
      </w:pPr>
      <w:r>
        <w:rPr>
          <w:rFonts w:ascii="Arial" w:cs="Arial" w:eastAsia="Arial" w:hAnsi="Arial"/>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1" w:lineRule="exact"/>
        <w:rPr>
          <w:rFonts w:ascii="Arial" w:cs="Arial" w:eastAsia="Arial" w:hAnsi="Arial"/>
          <w:sz w:val="21"/>
          <w:szCs w:val="21"/>
          <w:color w:val="auto"/>
        </w:rPr>
      </w:pPr>
    </w:p>
    <w:p>
      <w:pPr>
        <w:jc w:val="both"/>
        <w:ind w:left="420" w:hanging="412"/>
        <w:spacing w:after="0" w:line="194" w:lineRule="auto"/>
        <w:tabs>
          <w:tab w:leader="none" w:pos="420" w:val="left"/>
        </w:tabs>
        <w:numPr>
          <w:ilvl w:val="0"/>
          <w:numId w:val="96"/>
        </w:numPr>
        <w:rPr>
          <w:rFonts w:ascii="Arial" w:cs="Arial" w:eastAsia="Arial" w:hAnsi="Arial"/>
          <w:sz w:val="21"/>
          <w:szCs w:val="21"/>
          <w:color w:val="auto"/>
        </w:rPr>
      </w:pPr>
      <w:r>
        <w:rPr>
          <w:rFonts w:ascii="Arial" w:cs="Arial" w:eastAsia="Arial" w:hAnsi="Arial"/>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1" w:lineRule="exact"/>
        <w:rPr>
          <w:rFonts w:ascii="Arial" w:cs="Arial" w:eastAsia="Arial" w:hAnsi="Arial"/>
          <w:sz w:val="21"/>
          <w:szCs w:val="21"/>
          <w:color w:val="auto"/>
        </w:rPr>
      </w:pPr>
    </w:p>
    <w:p>
      <w:pPr>
        <w:jc w:val="both"/>
        <w:ind w:left="420" w:hanging="412"/>
        <w:spacing w:after="0" w:line="194" w:lineRule="auto"/>
        <w:tabs>
          <w:tab w:leader="none" w:pos="420" w:val="left"/>
        </w:tabs>
        <w:numPr>
          <w:ilvl w:val="0"/>
          <w:numId w:val="96"/>
        </w:numPr>
        <w:rPr>
          <w:rFonts w:ascii="Arial" w:cs="Arial" w:eastAsia="Arial" w:hAnsi="Arial"/>
          <w:sz w:val="21"/>
          <w:szCs w:val="21"/>
          <w:color w:val="auto"/>
        </w:rPr>
      </w:pPr>
      <w:r>
        <w:rPr>
          <w:rFonts w:ascii="Arial" w:cs="Arial" w:eastAsia="Arial" w:hAnsi="Arial"/>
          <w:sz w:val="21"/>
          <w:szCs w:val="21"/>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 w:lineRule="exact"/>
        <w:rPr>
          <w:sz w:val="20"/>
          <w:szCs w:val="20"/>
          <w:color w:val="auto"/>
        </w:rPr>
      </w:pPr>
    </w:p>
    <w:p>
      <w:pPr>
        <w:jc w:val="both"/>
        <w:ind w:left="420" w:hanging="412"/>
        <w:spacing w:after="0" w:line="204" w:lineRule="auto"/>
        <w:tabs>
          <w:tab w:leader="none" w:pos="420" w:val="left"/>
        </w:tabs>
        <w:numPr>
          <w:ilvl w:val="0"/>
          <w:numId w:val="97"/>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 w:lineRule="exact"/>
        <w:rPr>
          <w:rFonts w:ascii="Arial" w:cs="Arial" w:eastAsia="Arial" w:hAnsi="Arial"/>
          <w:sz w:val="20"/>
          <w:szCs w:val="20"/>
          <w:color w:val="auto"/>
        </w:rPr>
      </w:pPr>
    </w:p>
    <w:p>
      <w:pPr>
        <w:jc w:val="both"/>
        <w:ind w:left="420" w:hanging="412"/>
        <w:spacing w:after="0" w:line="204" w:lineRule="auto"/>
        <w:tabs>
          <w:tab w:leader="none" w:pos="420" w:val="left"/>
        </w:tabs>
        <w:numPr>
          <w:ilvl w:val="0"/>
          <w:numId w:val="97"/>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 w:lineRule="exact"/>
        <w:rPr>
          <w:rFonts w:ascii="Arial" w:cs="Arial" w:eastAsia="Arial" w:hAnsi="Arial"/>
          <w:sz w:val="20"/>
          <w:szCs w:val="20"/>
          <w:color w:val="auto"/>
        </w:rPr>
      </w:pPr>
    </w:p>
    <w:p>
      <w:pPr>
        <w:jc w:val="both"/>
        <w:ind w:left="420" w:hanging="412"/>
        <w:spacing w:after="0" w:line="194" w:lineRule="auto"/>
        <w:tabs>
          <w:tab w:leader="none" w:pos="420" w:val="left"/>
        </w:tabs>
        <w:numPr>
          <w:ilvl w:val="0"/>
          <w:numId w:val="97"/>
        </w:numPr>
        <w:rPr>
          <w:rFonts w:ascii="Arial" w:cs="Arial" w:eastAsia="Arial" w:hAnsi="Arial"/>
          <w:sz w:val="21"/>
          <w:szCs w:val="21"/>
          <w:color w:val="auto"/>
        </w:rPr>
      </w:pPr>
      <w:r>
        <w:rPr>
          <w:rFonts w:ascii="Arial" w:cs="Arial" w:eastAsia="Arial" w:hAnsi="Arial"/>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 w:lineRule="exact"/>
        <w:rPr>
          <w:rFonts w:ascii="Arial" w:cs="Arial" w:eastAsia="Arial" w:hAnsi="Arial"/>
          <w:sz w:val="21"/>
          <w:szCs w:val="21"/>
          <w:color w:val="auto"/>
        </w:rPr>
      </w:pPr>
    </w:p>
    <w:p>
      <w:pPr>
        <w:jc w:val="both"/>
        <w:ind w:left="420" w:hanging="412"/>
        <w:spacing w:after="0" w:line="194" w:lineRule="auto"/>
        <w:tabs>
          <w:tab w:leader="none" w:pos="420" w:val="left"/>
        </w:tabs>
        <w:numPr>
          <w:ilvl w:val="0"/>
          <w:numId w:val="97"/>
        </w:numPr>
        <w:rPr>
          <w:rFonts w:ascii="Arial" w:cs="Arial" w:eastAsia="Arial" w:hAnsi="Arial"/>
          <w:sz w:val="21"/>
          <w:szCs w:val="21"/>
          <w:color w:val="auto"/>
        </w:rPr>
      </w:pPr>
      <w:r>
        <w:rPr>
          <w:rFonts w:ascii="Arial" w:cs="Arial" w:eastAsia="Arial" w:hAnsi="Arial"/>
          <w:sz w:val="21"/>
          <w:szCs w:val="2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62" w:lineRule="exact"/>
        <w:rPr>
          <w:sz w:val="20"/>
          <w:szCs w:val="20"/>
          <w:color w:val="auto"/>
        </w:rPr>
      </w:pPr>
    </w:p>
    <w:p>
      <w:pPr>
        <w:jc w:val="both"/>
        <w:ind w:left="420" w:hanging="412"/>
        <w:spacing w:after="0" w:line="194" w:lineRule="auto"/>
        <w:tabs>
          <w:tab w:leader="none" w:pos="420" w:val="left"/>
        </w:tabs>
        <w:numPr>
          <w:ilvl w:val="0"/>
          <w:numId w:val="98"/>
        </w:numPr>
        <w:rPr>
          <w:rFonts w:ascii="Arial" w:cs="Arial" w:eastAsia="Arial" w:hAnsi="Arial"/>
          <w:sz w:val="21"/>
          <w:szCs w:val="21"/>
          <w:color w:val="auto"/>
        </w:rPr>
      </w:pPr>
      <w:r>
        <w:rPr>
          <w:rFonts w:ascii="Arial" w:cs="Arial" w:eastAsia="Arial" w:hAnsi="Arial"/>
          <w:sz w:val="21"/>
          <w:szCs w:val="21"/>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 w:lineRule="exact"/>
        <w:rPr>
          <w:sz w:val="20"/>
          <w:szCs w:val="20"/>
          <w:color w:val="auto"/>
        </w:rPr>
      </w:pPr>
    </w:p>
    <w:p>
      <w:pPr>
        <w:jc w:val="both"/>
        <w:ind w:left="420" w:right="20" w:hanging="412"/>
        <w:spacing w:after="0" w:line="250" w:lineRule="auto"/>
        <w:tabs>
          <w:tab w:leader="none" w:pos="4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420" w:hanging="412"/>
        <w:spacing w:after="0" w:line="211" w:lineRule="auto"/>
        <w:tabs>
          <w:tab w:leader="none" w:pos="420" w:val="left"/>
        </w:tabs>
        <w:numPr>
          <w:ilvl w:val="0"/>
          <w:numId w:val="99"/>
        </w:numPr>
        <w:rPr>
          <w:rFonts w:ascii="Arial" w:cs="Arial" w:eastAsia="Arial" w:hAnsi="Arial"/>
          <w:sz w:val="21"/>
          <w:szCs w:val="21"/>
          <w:color w:val="auto"/>
        </w:rPr>
      </w:pPr>
      <w:r>
        <w:rPr>
          <w:rFonts w:ascii="Arial" w:cs="Arial" w:eastAsia="Arial" w:hAnsi="Arial"/>
          <w:sz w:val="21"/>
          <w:szCs w:val="21"/>
          <w:color w:val="auto"/>
        </w:rPr>
        <w:t>any fraud, whether or not material, that involves management or other employees who have a significant role in the registrant's internal control over financial reporting.</w:t>
      </w:r>
    </w:p>
    <w:p>
      <w:pPr>
        <w:spacing w:after="0" w:line="61" w:lineRule="exact"/>
        <w:rPr>
          <w:sz w:val="20"/>
          <w:szCs w:val="20"/>
          <w:color w:val="auto"/>
        </w:rPr>
      </w:pPr>
    </w:p>
    <w:p>
      <w:pPr>
        <w:spacing w:after="0"/>
        <w:rPr>
          <w:sz w:val="20"/>
          <w:szCs w:val="20"/>
          <w:color w:val="auto"/>
        </w:rPr>
      </w:pPr>
      <w:r>
        <w:rPr>
          <w:rFonts w:ascii="Arial" w:cs="Arial" w:eastAsia="Arial" w:hAnsi="Arial"/>
          <w:sz w:val="21"/>
          <w:szCs w:val="21"/>
          <w:color w:val="auto"/>
        </w:rPr>
        <w:t>Date: May 6, 2020</w:t>
      </w:r>
    </w:p>
    <w:p>
      <w:pPr>
        <w:spacing w:after="0" w:line="200" w:lineRule="exact"/>
        <w:rPr>
          <w:sz w:val="20"/>
          <w:szCs w:val="20"/>
          <w:color w:val="auto"/>
        </w:rPr>
      </w:pPr>
    </w:p>
    <w:p>
      <w:pPr>
        <w:spacing w:after="0" w:line="273" w:lineRule="exact"/>
        <w:rPr>
          <w:sz w:val="20"/>
          <w:szCs w:val="20"/>
          <w:color w:val="auto"/>
        </w:rPr>
      </w:pPr>
    </w:p>
    <w:p>
      <w:pPr>
        <w:spacing w:after="0"/>
        <w:tabs>
          <w:tab w:leader="none" w:pos="46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8"/>
          <w:szCs w:val="18"/>
          <w:color w:val="auto"/>
        </w:rPr>
        <w:t>/s/ Darren J.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9525</wp:posOffset>
            </wp:positionV>
            <wp:extent cx="255143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551430" cy="8255"/>
                    </a:xfrm>
                    <a:prstGeom prst="rect">
                      <a:avLst/>
                    </a:prstGeom>
                    <a:noFill/>
                  </pic:spPr>
                </pic:pic>
              </a:graphicData>
            </a:graphic>
          </wp:anchor>
        </w:drawing>
      </w:r>
    </w:p>
    <w:p>
      <w:pPr>
        <w:spacing w:after="0" w:line="8" w:lineRule="exact"/>
        <w:rPr>
          <w:sz w:val="20"/>
          <w:szCs w:val="20"/>
          <w:color w:val="auto"/>
        </w:rPr>
      </w:pPr>
    </w:p>
    <w:p>
      <w:pPr>
        <w:ind w:left="480"/>
        <w:spacing w:after="0"/>
        <w:rPr>
          <w:sz w:val="20"/>
          <w:szCs w:val="20"/>
          <w:color w:val="auto"/>
        </w:rPr>
      </w:pPr>
      <w:r>
        <w:rPr>
          <w:rFonts w:ascii="Arial" w:cs="Arial" w:eastAsia="Arial" w:hAnsi="Arial"/>
          <w:sz w:val="21"/>
          <w:szCs w:val="21"/>
          <w:color w:val="auto"/>
        </w:rPr>
        <w:t>Darren J. King</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21"/>
          <w:szCs w:val="21"/>
          <w:color w:val="auto"/>
        </w:rPr>
        <w:t>Executive Vice President</w:t>
      </w:r>
    </w:p>
    <w:p>
      <w:pPr>
        <w:spacing w:after="0" w:line="15" w:lineRule="exact"/>
        <w:rPr>
          <w:sz w:val="20"/>
          <w:szCs w:val="20"/>
          <w:color w:val="auto"/>
        </w:rPr>
      </w:pPr>
    </w:p>
    <w:p>
      <w:pPr>
        <w:ind w:left="480"/>
        <w:spacing w:after="0"/>
        <w:rPr>
          <w:sz w:val="20"/>
          <w:szCs w:val="20"/>
          <w:color w:val="auto"/>
        </w:rPr>
      </w:pPr>
      <w:r>
        <w:rPr>
          <w:rFonts w:ascii="Arial" w:cs="Arial" w:eastAsia="Arial" w:hAnsi="Arial"/>
          <w:sz w:val="21"/>
          <w:szCs w:val="21"/>
          <w:color w:val="auto"/>
        </w:rPr>
        <w:t>and Chief Financial Officer</w:t>
      </w:r>
    </w:p>
    <w:p>
      <w:pPr>
        <w:sectPr>
          <w:pgSz w:w="11900" w:h="16838" w:orient="portrait"/>
          <w:cols w:equalWidth="0" w:num="1">
            <w:col w:w="11240"/>
          </w:cols>
          <w:pgMar w:left="320" w:top="85" w:right="339" w:bottom="1440" w:gutter="0" w:footer="0" w:header="0"/>
        </w:sectPr>
      </w:pPr>
    </w:p>
    <w:bookmarkStart w:id="118" w:name="page119"/>
    <w:bookmarkEnd w:id="118"/>
    <w:p>
      <w:pPr>
        <w:ind w:left="10000"/>
        <w:spacing w:after="0"/>
        <w:rPr>
          <w:sz w:val="20"/>
          <w:szCs w:val="20"/>
          <w:color w:val="auto"/>
        </w:rPr>
      </w:pPr>
      <w:r>
        <w:rPr>
          <w:rFonts w:ascii="Arial" w:cs="Arial" w:eastAsia="Arial" w:hAnsi="Arial"/>
          <w:sz w:val="20"/>
          <w:szCs w:val="20"/>
          <w:color w:val="auto"/>
        </w:rPr>
        <w:t>EXHIBIT 32.1</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CERTIFICATION OF CHIEF EXECUTIVE OFFICER UNDER 18 U.S.C. §1350</w:t>
      </w:r>
    </w:p>
    <w:p>
      <w:pPr>
        <w:spacing w:after="0" w:line="190" w:lineRule="exact"/>
        <w:rPr>
          <w:sz w:val="20"/>
          <w:szCs w:val="20"/>
          <w:color w:val="auto"/>
        </w:rPr>
      </w:pPr>
    </w:p>
    <w:p>
      <w:pPr>
        <w:spacing w:after="0"/>
        <w:rPr>
          <w:sz w:val="20"/>
          <w:szCs w:val="20"/>
          <w:color w:val="auto"/>
        </w:rPr>
      </w:pPr>
      <w:r>
        <w:rPr>
          <w:rFonts w:ascii="Arial" w:cs="Arial" w:eastAsia="Arial" w:hAnsi="Arial"/>
          <w:sz w:val="19"/>
          <w:szCs w:val="19"/>
          <w:color w:val="auto"/>
        </w:rPr>
        <w:t>I, René F. Jones, Chairman of the Board and Chief Executive Officer of M&amp;T Bank Corporation, certify, pursuant to Section 906 of the</w:t>
      </w:r>
    </w:p>
    <w:p>
      <w:pPr>
        <w:spacing w:after="0" w:line="15" w:lineRule="exact"/>
        <w:rPr>
          <w:sz w:val="20"/>
          <w:szCs w:val="20"/>
          <w:color w:val="auto"/>
        </w:rPr>
      </w:pPr>
    </w:p>
    <w:p>
      <w:pPr>
        <w:spacing w:after="0"/>
        <w:rPr>
          <w:sz w:val="20"/>
          <w:szCs w:val="20"/>
          <w:color w:val="auto"/>
        </w:rPr>
      </w:pPr>
      <w:r>
        <w:rPr>
          <w:rFonts w:ascii="Arial" w:cs="Arial" w:eastAsia="Arial" w:hAnsi="Arial"/>
          <w:sz w:val="21"/>
          <w:szCs w:val="21"/>
          <w:color w:val="auto"/>
        </w:rPr>
        <w:t>Sarbanes-Oxley Act of 2002, 18 U.S.C. Section 1350, that:</w:t>
      </w:r>
    </w:p>
    <w:p>
      <w:pPr>
        <w:spacing w:after="0" w:line="172" w:lineRule="exact"/>
        <w:rPr>
          <w:sz w:val="20"/>
          <w:szCs w:val="20"/>
          <w:color w:val="auto"/>
        </w:rPr>
      </w:pPr>
    </w:p>
    <w:p>
      <w:pPr>
        <w:jc w:val="both"/>
        <w:ind w:left="1860" w:right="1860" w:hanging="922"/>
        <w:spacing w:after="0" w:line="262" w:lineRule="auto"/>
        <w:tabs>
          <w:tab w:leader="none" w:pos="1860" w:val="left"/>
        </w:tabs>
        <w:numPr>
          <w:ilvl w:val="0"/>
          <w:numId w:val="100"/>
        </w:numPr>
        <w:rPr>
          <w:rFonts w:ascii="Arial" w:cs="Arial" w:eastAsia="Arial" w:hAnsi="Arial"/>
          <w:sz w:val="19"/>
          <w:szCs w:val="19"/>
          <w:color w:val="auto"/>
        </w:rPr>
      </w:pPr>
      <w:r>
        <w:rPr>
          <w:rFonts w:ascii="Arial" w:cs="Arial" w:eastAsia="Arial" w:hAnsi="Arial"/>
          <w:sz w:val="19"/>
          <w:szCs w:val="19"/>
          <w:color w:val="auto"/>
        </w:rPr>
        <w:t>the Quarterly Report on Form 10-Q of M&amp;T Bank Corporation for the quarterly period ended March 31, 2020 (the "Report") fully complies with the requirements of Section 13(a) or 15(d) of the Securities Exchange Act of 1934 (15 U.S.C. 78m or 78o(d)); and</w:t>
      </w:r>
    </w:p>
    <w:p>
      <w:pPr>
        <w:spacing w:after="0" w:line="147" w:lineRule="exact"/>
        <w:rPr>
          <w:rFonts w:ascii="Arial" w:cs="Arial" w:eastAsia="Arial" w:hAnsi="Arial"/>
          <w:sz w:val="19"/>
          <w:szCs w:val="19"/>
          <w:color w:val="auto"/>
        </w:rPr>
      </w:pPr>
    </w:p>
    <w:p>
      <w:pPr>
        <w:ind w:left="1860" w:right="1860" w:hanging="922"/>
        <w:spacing w:after="0" w:line="238" w:lineRule="auto"/>
        <w:tabs>
          <w:tab w:leader="none" w:pos="1860" w:val="left"/>
        </w:tabs>
        <w:numPr>
          <w:ilvl w:val="0"/>
          <w:numId w:val="100"/>
        </w:numPr>
        <w:rPr>
          <w:rFonts w:ascii="Arial" w:cs="Arial" w:eastAsia="Arial" w:hAnsi="Arial"/>
          <w:sz w:val="21"/>
          <w:szCs w:val="21"/>
          <w:color w:val="auto"/>
        </w:rPr>
      </w:pPr>
      <w:r>
        <w:rPr>
          <w:rFonts w:ascii="Arial" w:cs="Arial" w:eastAsia="Arial" w:hAnsi="Arial"/>
          <w:sz w:val="21"/>
          <w:szCs w:val="21"/>
          <w:color w:val="auto"/>
        </w:rPr>
        <w:t>the information contained in the Report fairly presents, in all material respects, the financial condition and results of operations of M&amp;T Bank Corporation.</w:t>
      </w:r>
    </w:p>
    <w:p>
      <w:pPr>
        <w:spacing w:after="0" w:line="384" w:lineRule="exact"/>
        <w:rPr>
          <w:sz w:val="20"/>
          <w:szCs w:val="20"/>
          <w:color w:val="auto"/>
        </w:rPr>
      </w:pPr>
    </w:p>
    <w:p>
      <w:pPr>
        <w:jc w:val="both"/>
        <w:ind w:right="20"/>
        <w:spacing w:after="0" w:line="238" w:lineRule="auto"/>
        <w:rPr>
          <w:sz w:val="20"/>
          <w:szCs w:val="20"/>
          <w:color w:val="auto"/>
        </w:rPr>
      </w:pPr>
      <w:r>
        <w:rPr>
          <w:rFonts w:ascii="Arial" w:cs="Arial" w:eastAsia="Arial" w:hAnsi="Arial"/>
          <w:sz w:val="21"/>
          <w:szCs w:val="21"/>
          <w:color w:val="auto"/>
        </w:rPr>
        <w:t>The foregoing certification is being furnished solely pursuant to 18 U.S.C. §1350 and is not being filed as part of the Report or as a separate disclosure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1"/>
          <w:szCs w:val="21"/>
          <w:color w:val="auto"/>
        </w:rPr>
        <w:t>/s/ René F.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18237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823720" cy="8255"/>
                    </a:xfrm>
                    <a:prstGeom prst="rect">
                      <a:avLst/>
                    </a:prstGeom>
                    <a:noFill/>
                  </pic:spPr>
                </pic:pic>
              </a:graphicData>
            </a:graphic>
          </wp:anchor>
        </w:drawing>
      </w:r>
    </w:p>
    <w:p>
      <w:pPr>
        <w:spacing w:after="0"/>
        <w:rPr>
          <w:sz w:val="20"/>
          <w:szCs w:val="20"/>
          <w:color w:val="auto"/>
        </w:rPr>
      </w:pPr>
      <w:r>
        <w:rPr>
          <w:rFonts w:ascii="Arial" w:cs="Arial" w:eastAsia="Arial" w:hAnsi="Arial"/>
          <w:sz w:val="21"/>
          <w:szCs w:val="21"/>
          <w:color w:val="auto"/>
        </w:rPr>
        <w:t>René F. Jones</w:t>
      </w:r>
    </w:p>
    <w:p>
      <w:pPr>
        <w:spacing w:after="0" w:line="172" w:lineRule="exact"/>
        <w:rPr>
          <w:sz w:val="20"/>
          <w:szCs w:val="20"/>
          <w:color w:val="auto"/>
        </w:rPr>
      </w:pPr>
    </w:p>
    <w:p>
      <w:pPr>
        <w:spacing w:after="0"/>
        <w:rPr>
          <w:sz w:val="20"/>
          <w:szCs w:val="20"/>
          <w:color w:val="auto"/>
        </w:rPr>
      </w:pPr>
      <w:r>
        <w:rPr>
          <w:rFonts w:ascii="Arial" w:cs="Arial" w:eastAsia="Arial" w:hAnsi="Arial"/>
          <w:sz w:val="21"/>
          <w:szCs w:val="21"/>
          <w:color w:val="auto"/>
        </w:rPr>
        <w:t>May 6, 2020</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spacing w:after="0" w:line="226" w:lineRule="auto"/>
        <w:rPr>
          <w:sz w:val="20"/>
          <w:szCs w:val="20"/>
          <w:color w:val="auto"/>
        </w:rPr>
      </w:pPr>
      <w:r>
        <w:rPr>
          <w:rFonts w:ascii="Arial" w:cs="Arial" w:eastAsia="Arial" w:hAnsi="Arial"/>
          <w:sz w:val="21"/>
          <w:szCs w:val="2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M&amp;T Bank Corporation and will be retained by M&amp;T Bank Corporation and furnished to the Securities and Exchange Commission or its staff upon request.</w:t>
      </w:r>
    </w:p>
    <w:p>
      <w:pPr>
        <w:sectPr>
          <w:pgSz w:w="11900" w:h="16838" w:orient="portrait"/>
          <w:cols w:equalWidth="0" w:num="1">
            <w:col w:w="11240"/>
          </w:cols>
          <w:pgMar w:left="320" w:top="114" w:right="339" w:bottom="1440" w:gutter="0" w:footer="0" w:header="0"/>
        </w:sectPr>
      </w:pPr>
    </w:p>
    <w:bookmarkStart w:id="119" w:name="page120"/>
    <w:bookmarkEnd w:id="119"/>
    <w:p>
      <w:pPr>
        <w:ind w:left="10000"/>
        <w:spacing w:after="0"/>
        <w:rPr>
          <w:sz w:val="20"/>
          <w:szCs w:val="20"/>
          <w:color w:val="auto"/>
        </w:rPr>
      </w:pPr>
      <w:r>
        <w:rPr>
          <w:rFonts w:ascii="Arial" w:cs="Arial" w:eastAsia="Arial" w:hAnsi="Arial"/>
          <w:sz w:val="20"/>
          <w:szCs w:val="20"/>
          <w:color w:val="auto"/>
        </w:rPr>
        <w:t>EXHIBIT 32.2</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CERTIFICATION OF CHIEF FINANCIAL OFFICER UNDER 18 U.S.C. §1350</w:t>
      </w:r>
    </w:p>
    <w:p>
      <w:pPr>
        <w:spacing w:after="0" w:line="190" w:lineRule="exact"/>
        <w:rPr>
          <w:sz w:val="20"/>
          <w:szCs w:val="20"/>
          <w:color w:val="auto"/>
        </w:rPr>
      </w:pPr>
    </w:p>
    <w:p>
      <w:pPr>
        <w:ind w:right="20"/>
        <w:spacing w:after="0" w:line="238" w:lineRule="auto"/>
        <w:rPr>
          <w:sz w:val="20"/>
          <w:szCs w:val="20"/>
          <w:color w:val="auto"/>
        </w:rPr>
      </w:pPr>
      <w:r>
        <w:rPr>
          <w:rFonts w:ascii="Arial" w:cs="Arial" w:eastAsia="Arial" w:hAnsi="Arial"/>
          <w:sz w:val="21"/>
          <w:szCs w:val="21"/>
          <w:color w:val="auto"/>
        </w:rPr>
        <w:t>I, Darren J. King, Executive Vice President and Chief Financial Officer of M&amp;T Bank Corporation, certify, pursuant to Section 906 of the Sarbanes-Oxley Act of 2002, 18 U.S.C. Section 1350, that:</w:t>
      </w:r>
    </w:p>
    <w:p>
      <w:pPr>
        <w:spacing w:after="0" w:line="168" w:lineRule="exact"/>
        <w:rPr>
          <w:sz w:val="20"/>
          <w:szCs w:val="20"/>
          <w:color w:val="auto"/>
        </w:rPr>
      </w:pPr>
    </w:p>
    <w:p>
      <w:pPr>
        <w:jc w:val="both"/>
        <w:ind w:left="1860" w:right="1860" w:hanging="922"/>
        <w:spacing w:after="0" w:line="262" w:lineRule="auto"/>
        <w:tabs>
          <w:tab w:leader="none" w:pos="1860" w:val="left"/>
        </w:tabs>
        <w:numPr>
          <w:ilvl w:val="0"/>
          <w:numId w:val="101"/>
        </w:numPr>
        <w:rPr>
          <w:rFonts w:ascii="Arial" w:cs="Arial" w:eastAsia="Arial" w:hAnsi="Arial"/>
          <w:sz w:val="19"/>
          <w:szCs w:val="19"/>
          <w:color w:val="auto"/>
        </w:rPr>
      </w:pPr>
      <w:r>
        <w:rPr>
          <w:rFonts w:ascii="Arial" w:cs="Arial" w:eastAsia="Arial" w:hAnsi="Arial"/>
          <w:sz w:val="19"/>
          <w:szCs w:val="19"/>
          <w:color w:val="auto"/>
        </w:rPr>
        <w:t>the Quarterly Report on Form 10-Q of M&amp;T Bank Corporation for the quarterly period ended March 31, 2020 (the "Report") fully complies with the requirements of Section 13(a) or 15(d) of the Securities Exchange Act of 1934 (15 U.S.C. 78m or 78o(d)); and</w:t>
      </w:r>
    </w:p>
    <w:p>
      <w:pPr>
        <w:spacing w:after="0" w:line="147" w:lineRule="exact"/>
        <w:rPr>
          <w:rFonts w:ascii="Arial" w:cs="Arial" w:eastAsia="Arial" w:hAnsi="Arial"/>
          <w:sz w:val="19"/>
          <w:szCs w:val="19"/>
          <w:color w:val="auto"/>
        </w:rPr>
      </w:pPr>
    </w:p>
    <w:p>
      <w:pPr>
        <w:ind w:left="1860" w:right="1860" w:hanging="922"/>
        <w:spacing w:after="0" w:line="238" w:lineRule="auto"/>
        <w:tabs>
          <w:tab w:leader="none" w:pos="1860" w:val="left"/>
        </w:tabs>
        <w:numPr>
          <w:ilvl w:val="0"/>
          <w:numId w:val="101"/>
        </w:numPr>
        <w:rPr>
          <w:rFonts w:ascii="Arial" w:cs="Arial" w:eastAsia="Arial" w:hAnsi="Arial"/>
          <w:sz w:val="21"/>
          <w:szCs w:val="21"/>
          <w:color w:val="auto"/>
        </w:rPr>
      </w:pPr>
      <w:r>
        <w:rPr>
          <w:rFonts w:ascii="Arial" w:cs="Arial" w:eastAsia="Arial" w:hAnsi="Arial"/>
          <w:sz w:val="21"/>
          <w:szCs w:val="21"/>
          <w:color w:val="auto"/>
        </w:rPr>
        <w:t>the information contained in the Report fairly presents, in all material respects, the financial condition and results of operations of M&amp;T Bank Corporation.</w:t>
      </w:r>
    </w:p>
    <w:p>
      <w:pPr>
        <w:spacing w:after="0" w:line="384" w:lineRule="exact"/>
        <w:rPr>
          <w:sz w:val="20"/>
          <w:szCs w:val="20"/>
          <w:color w:val="auto"/>
        </w:rPr>
      </w:pPr>
    </w:p>
    <w:p>
      <w:pPr>
        <w:jc w:val="both"/>
        <w:ind w:right="20"/>
        <w:spacing w:after="0" w:line="238" w:lineRule="auto"/>
        <w:rPr>
          <w:sz w:val="20"/>
          <w:szCs w:val="20"/>
          <w:color w:val="auto"/>
        </w:rPr>
      </w:pPr>
      <w:r>
        <w:rPr>
          <w:rFonts w:ascii="Arial" w:cs="Arial" w:eastAsia="Arial" w:hAnsi="Arial"/>
          <w:sz w:val="21"/>
          <w:szCs w:val="21"/>
          <w:color w:val="auto"/>
        </w:rPr>
        <w:t>The foregoing certification is being furnished solely pursuant to 18 U.S.C. §1350 and is not being filed as part of the Report or as a separate disclosure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1"/>
          <w:szCs w:val="21"/>
          <w:color w:val="auto"/>
        </w:rPr>
        <w:t>/s/ Darren J.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18237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823720" cy="8255"/>
                    </a:xfrm>
                    <a:prstGeom prst="rect">
                      <a:avLst/>
                    </a:prstGeom>
                    <a:noFill/>
                  </pic:spPr>
                </pic:pic>
              </a:graphicData>
            </a:graphic>
          </wp:anchor>
        </w:drawing>
      </w:r>
    </w:p>
    <w:p>
      <w:pPr>
        <w:spacing w:after="0"/>
        <w:rPr>
          <w:sz w:val="20"/>
          <w:szCs w:val="20"/>
          <w:color w:val="auto"/>
        </w:rPr>
      </w:pPr>
      <w:r>
        <w:rPr>
          <w:rFonts w:ascii="Arial" w:cs="Arial" w:eastAsia="Arial" w:hAnsi="Arial"/>
          <w:sz w:val="21"/>
          <w:szCs w:val="21"/>
          <w:color w:val="auto"/>
        </w:rPr>
        <w:t>Darren J. King</w:t>
      </w:r>
    </w:p>
    <w:p>
      <w:pPr>
        <w:spacing w:after="0" w:line="172" w:lineRule="exact"/>
        <w:rPr>
          <w:sz w:val="20"/>
          <w:szCs w:val="20"/>
          <w:color w:val="auto"/>
        </w:rPr>
      </w:pPr>
    </w:p>
    <w:p>
      <w:pPr>
        <w:spacing w:after="0"/>
        <w:rPr>
          <w:sz w:val="20"/>
          <w:szCs w:val="20"/>
          <w:color w:val="auto"/>
        </w:rPr>
      </w:pPr>
      <w:r>
        <w:rPr>
          <w:rFonts w:ascii="Arial" w:cs="Arial" w:eastAsia="Arial" w:hAnsi="Arial"/>
          <w:sz w:val="21"/>
          <w:szCs w:val="21"/>
          <w:color w:val="auto"/>
        </w:rPr>
        <w:t>May 6, 2020</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spacing w:after="0" w:line="226" w:lineRule="auto"/>
        <w:rPr>
          <w:sz w:val="20"/>
          <w:szCs w:val="20"/>
          <w:color w:val="auto"/>
        </w:rPr>
      </w:pPr>
      <w:r>
        <w:rPr>
          <w:rFonts w:ascii="Arial" w:cs="Arial" w:eastAsia="Arial" w:hAnsi="Arial"/>
          <w:sz w:val="21"/>
          <w:szCs w:val="2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M&amp;T Bank Corporation and will be retained by M&amp;T Bank Corporation and furnished to the Securities and Exchange Commission or its staff upon request.</w:t>
      </w:r>
    </w:p>
    <w:sectPr>
      <w:pgSz w:w="11900" w:h="16838" w:orient="portrait"/>
      <w:cols w:equalWidth="0" w:num="1">
        <w:col w:w="11240"/>
      </w:cols>
      <w:pgMar w:left="320" w:top="1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A026FA"/>
    <w:multiLevelType w:val="hybridMultilevel"/>
    <w:lvl w:ilvl="0">
      <w:lvlJc w:val="left"/>
      <w:lvlText w:val="☒"/>
      <w:numFmt w:val="bullet"/>
      <w:start w:val="1"/>
    </w:lvl>
  </w:abstractNum>
  <w:abstractNum w:abstractNumId="1">
    <w:nsid w:val="79A1DEAA"/>
    <w:multiLevelType w:val="hybridMultilevel"/>
    <w:lvl w:ilvl="0">
      <w:lvlJc w:val="left"/>
      <w:lvlText w:val="☐"/>
      <w:numFmt w:val="bullet"/>
      <w:start w:val="1"/>
    </w:lvl>
  </w:abstractNum>
  <w:abstractNum w:abstractNumId="2">
    <w:nsid w:val="75C6C33A"/>
    <w:multiLevelType w:val="hybridMultilevel"/>
    <w:lvl w:ilvl="0">
      <w:lvlJc w:val="left"/>
      <w:lvlText w:val="(%1)"/>
      <w:numFmt w:val="lowerLetter"/>
      <w:start w:val="1"/>
    </w:lvl>
  </w:abstractNum>
  <w:abstractNum w:abstractNumId="3">
    <w:nsid w:val="12E685FB"/>
    <w:multiLevelType w:val="hybridMultilevel"/>
    <w:lvl w:ilvl="0">
      <w:lvlJc w:val="left"/>
      <w:lvlText w:val="(%1)"/>
      <w:numFmt w:val="lowerLetter"/>
      <w:start w:val="1"/>
    </w:lvl>
  </w:abstractNum>
  <w:abstractNum w:abstractNumId="4">
    <w:nsid w:val="70C6A529"/>
    <w:multiLevelType w:val="hybridMultilevel"/>
    <w:lvl w:ilvl="0">
      <w:lvlJc w:val="left"/>
      <w:lvlText w:val="%1."/>
      <w:numFmt w:val="decimal"/>
      <w:start w:val="3"/>
    </w:lvl>
  </w:abstractNum>
  <w:abstractNum w:abstractNumId="5">
    <w:nsid w:val="520EEDD1"/>
    <w:multiLevelType w:val="hybridMultilevel"/>
    <w:lvl w:ilvl="0">
      <w:lvlJc w:val="left"/>
      <w:lvlText w:val="(%1)"/>
      <w:numFmt w:val="lowerLetter"/>
      <w:start w:val="1"/>
    </w:lvl>
  </w:abstractNum>
  <w:abstractNum w:abstractNumId="6">
    <w:nsid w:val="374A3FE6"/>
    <w:multiLevelType w:val="hybridMultilevel"/>
    <w:lvl w:ilvl="0">
      <w:lvlJc w:val="left"/>
      <w:lvlText w:val="(%1)"/>
      <w:numFmt w:val="lowerLetter"/>
      <w:start w:val="1"/>
    </w:lvl>
  </w:abstractNum>
  <w:abstractNum w:abstractNumId="7">
    <w:nsid w:val="4F4EF005"/>
    <w:multiLevelType w:val="hybridMultilevel"/>
    <w:lvl w:ilvl="0">
      <w:lvlJc w:val="left"/>
      <w:lvlText w:val="(%1)"/>
      <w:numFmt w:val="lowerLetter"/>
      <w:start w:val="1"/>
    </w:lvl>
    <w:lvl w:ilvl="1">
      <w:lvlJc w:val="left"/>
      <w:lvlText w:val="-"/>
      <w:numFmt w:val="bullet"/>
      <w:start w:val="1"/>
    </w:lvl>
  </w:abstractNum>
  <w:abstractNum w:abstractNumId="8">
    <w:nsid w:val="23F9C13C"/>
    <w:multiLevelType w:val="hybridMultilevel"/>
    <w:lvl w:ilvl="0">
      <w:lvlJc w:val="left"/>
      <w:lvlText w:val="(%1)"/>
      <w:numFmt w:val="lowerLetter"/>
      <w:start w:val="1"/>
    </w:lvl>
    <w:lvl w:ilvl="1">
      <w:lvlJc w:val="left"/>
      <w:lvlText w:val="-"/>
      <w:numFmt w:val="bullet"/>
      <w:start w:val="1"/>
    </w:lvl>
  </w:abstractNum>
  <w:abstractNum w:abstractNumId="9">
    <w:nsid w:val="649BB77C"/>
    <w:multiLevelType w:val="hybridMultilevel"/>
    <w:lvl w:ilvl="0">
      <w:lvlJc w:val="left"/>
      <w:lvlText w:val="(%1)"/>
      <w:numFmt w:val="lowerLetter"/>
      <w:start w:val="1"/>
    </w:lvl>
  </w:abstractNum>
  <w:abstractNum w:abstractNumId="10">
    <w:nsid w:val="275AC794"/>
    <w:multiLevelType w:val="hybridMultilevel"/>
    <w:lvl w:ilvl="0">
      <w:lvlJc w:val="left"/>
      <w:lvlText w:val="•"/>
      <w:numFmt w:val="bullet"/>
      <w:start w:val="1"/>
    </w:lvl>
  </w:abstractNum>
  <w:abstractNum w:abstractNumId="11">
    <w:nsid w:val="39386575"/>
    <w:multiLevelType w:val="hybridMultilevel"/>
    <w:lvl w:ilvl="0">
      <w:lvlJc w:val="left"/>
      <w:lvlText w:val="(%1)"/>
      <w:numFmt w:val="lowerLetter"/>
      <w:start w:val="1"/>
    </w:lvl>
    <w:lvl w:ilvl="1">
      <w:lvlJc w:val="left"/>
      <w:lvlText w:val="-"/>
      <w:numFmt w:val="bullet"/>
      <w:start w:val="1"/>
    </w:lvl>
  </w:abstractNum>
  <w:abstractNum w:abstractNumId="12">
    <w:nsid w:val="1CF10FD8"/>
    <w:multiLevelType w:val="hybridMultilevel"/>
    <w:lvl w:ilvl="0">
      <w:lvlJc w:val="left"/>
      <w:lvlText w:val="(%1)"/>
      <w:numFmt w:val="lowerLetter"/>
      <w:start w:val="1"/>
    </w:lvl>
  </w:abstractNum>
  <w:abstractNum w:abstractNumId="13">
    <w:nsid w:val="180115BE"/>
    <w:multiLevelType w:val="hybridMultilevel"/>
    <w:lvl w:ilvl="0">
      <w:lvlJc w:val="left"/>
      <w:lvlText w:val="%1."/>
      <w:numFmt w:val="decimal"/>
      <w:start w:val="11"/>
    </w:lvl>
  </w:abstractNum>
  <w:abstractNum w:abstractNumId="14">
    <w:nsid w:val="235BA861"/>
    <w:multiLevelType w:val="hybridMultilevel"/>
    <w:lvl w:ilvl="0">
      <w:lvlJc w:val="left"/>
      <w:lvlText w:val="(%1)"/>
      <w:numFmt w:val="lowerLetter"/>
      <w:start w:val="1"/>
    </w:lvl>
  </w:abstractNum>
  <w:abstractNum w:abstractNumId="15">
    <w:nsid w:val="47398C89"/>
    <w:multiLevelType w:val="hybridMultilevel"/>
    <w:lvl w:ilvl="0">
      <w:lvlJc w:val="left"/>
      <w:lvlText w:val="%1."/>
      <w:numFmt w:val="decimal"/>
      <w:start w:val="11"/>
    </w:lvl>
  </w:abstractNum>
  <w:abstractNum w:abstractNumId="16">
    <w:nsid w:val="354FE9F9"/>
    <w:multiLevelType w:val="hybridMultilevel"/>
    <w:lvl w:ilvl="0">
      <w:lvlJc w:val="left"/>
      <w:lvlText w:val="(%1)"/>
      <w:numFmt w:val="lowerLetter"/>
      <w:start w:val="1"/>
    </w:lvl>
  </w:abstractNum>
  <w:abstractNum w:abstractNumId="17">
    <w:nsid w:val="15B5AF5C"/>
    <w:multiLevelType w:val="hybridMultilevel"/>
    <w:lvl w:ilvl="0">
      <w:lvlJc w:val="left"/>
      <w:lvlText w:val="•"/>
      <w:numFmt w:val="bullet"/>
      <w:start w:val="1"/>
    </w:lvl>
    <w:lvl w:ilvl="1">
      <w:lvlJc w:val="left"/>
      <w:lvlText w:val="-"/>
      <w:numFmt w:val="bullet"/>
      <w:start w:val="1"/>
    </w:lvl>
  </w:abstractNum>
  <w:abstractNum w:abstractNumId="18">
    <w:nsid w:val="741226BB"/>
    <w:multiLevelType w:val="hybridMultilevel"/>
    <w:lvl w:ilvl="0">
      <w:lvlJc w:val="left"/>
      <w:lvlText w:val="•"/>
      <w:numFmt w:val="bullet"/>
      <w:start w:val="1"/>
    </w:lvl>
  </w:abstractNum>
  <w:abstractNum w:abstractNumId="19">
    <w:nsid w:val="D34B6A8"/>
    <w:multiLevelType w:val="hybridMultilevel"/>
    <w:lvl w:ilvl="0">
      <w:lvlJc w:val="left"/>
      <w:lvlText w:val="•"/>
      <w:numFmt w:val="bullet"/>
      <w:start w:val="1"/>
    </w:lvl>
    <w:lvl w:ilvl="1">
      <w:lvlJc w:val="left"/>
      <w:lvlText w:val="•"/>
      <w:numFmt w:val="bullet"/>
      <w:start w:val="1"/>
    </w:lvl>
  </w:abstractNum>
  <w:abstractNum w:abstractNumId="20">
    <w:nsid w:val="10233C99"/>
    <w:multiLevelType w:val="hybridMultilevel"/>
    <w:lvl w:ilvl="0">
      <w:lvlJc w:val="left"/>
      <w:lvlText w:val="(%1)"/>
      <w:numFmt w:val="lowerLetter"/>
      <w:start w:val="1"/>
    </w:lvl>
  </w:abstractNum>
  <w:abstractNum w:abstractNumId="21">
    <w:nsid w:val="3F6AB60F"/>
    <w:multiLevelType w:val="hybridMultilevel"/>
    <w:lvl w:ilvl="0">
      <w:lvlJc w:val="left"/>
      <w:lvlText w:val="(%1)"/>
      <w:numFmt w:val="lowerLetter"/>
      <w:start w:val="1"/>
    </w:lvl>
    <w:lvl w:ilvl="1">
      <w:lvlJc w:val="left"/>
      <w:lvlText w:val="-"/>
      <w:numFmt w:val="bullet"/>
      <w:start w:val="1"/>
    </w:lvl>
  </w:abstractNum>
  <w:abstractNum w:abstractNumId="22">
    <w:nsid w:val="61574095"/>
    <w:multiLevelType w:val="hybridMultilevel"/>
    <w:lvl w:ilvl="0">
      <w:lvlJc w:val="left"/>
      <w:lvlText w:val="(%1)"/>
      <w:numFmt w:val="lowerLetter"/>
      <w:start w:val="1"/>
    </w:lvl>
  </w:abstractNum>
  <w:abstractNum w:abstractNumId="23">
    <w:nsid w:val="7E0C57B1"/>
    <w:multiLevelType w:val="hybridMultilevel"/>
    <w:lvl w:ilvl="0">
      <w:lvlJc w:val="left"/>
      <w:lvlText w:val="•"/>
      <w:numFmt w:val="bullet"/>
      <w:start w:val="1"/>
    </w:lvl>
  </w:abstractNum>
  <w:abstractNum w:abstractNumId="24">
    <w:nsid w:val="77AE35EB"/>
    <w:multiLevelType w:val="hybridMultilevel"/>
    <w:lvl w:ilvl="0">
      <w:lvlJc w:val="left"/>
      <w:lvlText w:val="(%1)"/>
      <w:numFmt w:val="lowerLetter"/>
      <w:start w:val="1"/>
    </w:lvl>
    <w:lvl w:ilvl="1">
      <w:lvlJc w:val="left"/>
      <w:lvlText w:val="-"/>
      <w:numFmt w:val="bullet"/>
      <w:start w:val="1"/>
    </w:lvl>
  </w:abstractNum>
  <w:abstractNum w:abstractNumId="25">
    <w:nsid w:val="579BE4F1"/>
    <w:multiLevelType w:val="hybridMultilevel"/>
    <w:lvl w:ilvl="0">
      <w:lvlJc w:val="left"/>
      <w:lvlText w:val="(%1)"/>
      <w:numFmt w:val="lowerLetter"/>
      <w:start w:val="1"/>
    </w:lvl>
  </w:abstractNum>
  <w:abstractNum w:abstractNumId="26">
    <w:nsid w:val="310C50B3"/>
    <w:multiLevelType w:val="hybridMultilevel"/>
    <w:lvl w:ilvl="0">
      <w:lvlJc w:val="left"/>
      <w:lvlText w:val="(%1)"/>
      <w:numFmt w:val="lowerLetter"/>
      <w:start w:val="1"/>
    </w:lvl>
  </w:abstractNum>
  <w:abstractNum w:abstractNumId="27">
    <w:nsid w:val="5FF87E05"/>
    <w:multiLevelType w:val="hybridMultilevel"/>
    <w:lvl w:ilvl="0">
      <w:lvlJc w:val="left"/>
      <w:lvlText w:val="(%1)"/>
      <w:numFmt w:val="lowerLetter"/>
      <w:start w:val="1"/>
    </w:lvl>
  </w:abstractNum>
  <w:abstractNum w:abstractNumId="28">
    <w:nsid w:val="2F305DEF"/>
    <w:multiLevelType w:val="hybridMultilevel"/>
    <w:lvl w:ilvl="0">
      <w:lvlJc w:val="left"/>
      <w:lvlText w:val="•"/>
      <w:numFmt w:val="bullet"/>
      <w:start w:val="1"/>
    </w:lvl>
    <w:lvl w:ilvl="1">
      <w:lvlJc w:val="left"/>
      <w:lvlText w:val="-"/>
      <w:numFmt w:val="bullet"/>
      <w:start w:val="1"/>
    </w:lvl>
  </w:abstractNum>
  <w:abstractNum w:abstractNumId="29">
    <w:nsid w:val="25A70BF7"/>
    <w:multiLevelType w:val="hybridMultilevel"/>
    <w:lvl w:ilvl="0">
      <w:lvlJc w:val="left"/>
      <w:lvlText w:val="(%1)"/>
      <w:numFmt w:val="lowerLetter"/>
      <w:start w:val="1"/>
    </w:lvl>
  </w:abstractNum>
  <w:abstractNum w:abstractNumId="30">
    <w:nsid w:val="1DBABF00"/>
    <w:multiLevelType w:val="hybridMultilevel"/>
    <w:lvl w:ilvl="0">
      <w:lvlJc w:val="left"/>
      <w:lvlText w:val="(%1)"/>
      <w:numFmt w:val="lowerLetter"/>
      <w:start w:val="3"/>
    </w:lvl>
  </w:abstractNum>
  <w:abstractNum w:abstractNumId="31">
    <w:nsid w:val="4AD084E9"/>
    <w:multiLevelType w:val="hybridMultilevel"/>
    <w:lvl w:ilvl="0">
      <w:lvlJc w:val="left"/>
      <w:lvlText w:val="(%1)"/>
      <w:numFmt w:val="decimal"/>
      <w:start w:val="1"/>
    </w:lvl>
  </w:abstractNum>
  <w:abstractNum w:abstractNumId="32">
    <w:nsid w:val="1F48EAA1"/>
    <w:multiLevelType w:val="hybridMultilevel"/>
    <w:lvl w:ilvl="0">
      <w:lvlJc w:val="left"/>
      <w:lvlText w:val="%1"/>
      <w:numFmt w:val="decimal"/>
      <w:start w:val="104"/>
    </w:lvl>
  </w:abstractNum>
  <w:abstractNum w:abstractNumId="33">
    <w:nsid w:val="1381823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4">
    <w:nsid w:val="5DB70AE5"/>
    <w:multiLevelType w:val="hybridMultilevel"/>
    <w:lvl w:ilvl="0">
      <w:lvlJc w:val="left"/>
      <w:lvlText w:val="%1."/>
      <w:numFmt w:val="decimal"/>
      <w:start w:val="2"/>
    </w:lvl>
    <w:lvl w:ilvl="1">
      <w:lvlJc w:val="left"/>
      <w:lvlText w:val="(%2)"/>
      <w:numFmt w:val="lowerLetter"/>
      <w:start w:val="1"/>
    </w:lvl>
  </w:abstractNum>
  <w:abstractNum w:abstractNumId="35">
    <w:nsid w:val="100F8FCA"/>
    <w:multiLevelType w:val="hybridMultilevel"/>
    <w:lvl w:ilvl="0">
      <w:lvlJc w:val="left"/>
      <w:lvlText w:val="(%1)"/>
      <w:numFmt w:val="lowerLetter"/>
      <w:start w:val="3"/>
    </w:lvl>
  </w:abstractNum>
  <w:abstractNum w:abstractNumId="36">
    <w:nsid w:val="6590700B"/>
    <w:multiLevelType w:val="hybridMultilevel"/>
    <w:lvl w:ilvl="0">
      <w:lvlJc w:val="left"/>
      <w:lvlText w:val="(%1)"/>
      <w:numFmt w:val="lowerLetter"/>
      <w:start w:val="4"/>
    </w:lvl>
  </w:abstractNum>
  <w:abstractNum w:abstractNumId="37">
    <w:nsid w:val="15014ACB"/>
    <w:multiLevelType w:val="hybridMultilevel"/>
    <w:lvl w:ilvl="0">
      <w:lvlJc w:val="left"/>
      <w:lvlText w:val="%1."/>
      <w:numFmt w:val="decimal"/>
      <w:start w:val="3"/>
    </w:lvl>
  </w:abstractNum>
  <w:abstractNum w:abstractNumId="38">
    <w:nsid w:val="5F5E7FD0"/>
    <w:multiLevelType w:val="hybridMultilevel"/>
    <w:lvl w:ilvl="0">
      <w:lvlJc w:val="left"/>
      <w:lvlText w:val="%1."/>
      <w:numFmt w:val="decimal"/>
      <w:start w:val="4"/>
    </w:lvl>
  </w:abstractNum>
  <w:abstractNum w:abstractNumId="39">
    <w:nsid w:val="98A3148"/>
    <w:multiLevelType w:val="hybridMultilevel"/>
    <w:lvl w:ilvl="0">
      <w:lvlJc w:val="left"/>
      <w:lvlText w:val="%1."/>
      <w:numFmt w:val="decimal"/>
      <w:start w:val="4"/>
    </w:lvl>
  </w:abstractNum>
  <w:abstractNum w:abstractNumId="40">
    <w:nsid w:val="799D0247"/>
    <w:multiLevelType w:val="hybridMultilevel"/>
    <w:lvl w:ilvl="0">
      <w:lvlJc w:val="left"/>
      <w:lvlText w:val="(%1)"/>
      <w:numFmt w:val="lowerLetter"/>
      <w:start w:val="5"/>
    </w:lvl>
  </w:abstractNum>
  <w:abstractNum w:abstractNumId="41">
    <w:nsid w:val="6B94764"/>
    <w:multiLevelType w:val="hybridMultilevel"/>
    <w:lvl w:ilvl="0">
      <w:lvlJc w:val="left"/>
      <w:lvlText w:val="%1."/>
      <w:numFmt w:val="decimal"/>
      <w:start w:val="36"/>
    </w:lvl>
  </w:abstractNum>
  <w:abstractNum w:abstractNumId="42">
    <w:nsid w:val="42C296BD"/>
    <w:multiLevelType w:val="hybridMultilevel"/>
    <w:lvl w:ilvl="0">
      <w:lvlJc w:val="left"/>
      <w:lvlText w:val="%1."/>
      <w:numFmt w:val="decimal"/>
      <w:start w:val="5"/>
    </w:lvl>
  </w:abstractNum>
  <w:abstractNum w:abstractNumId="43">
    <w:nsid w:val="168E121F"/>
    <w:multiLevelType w:val="hybridMultilevel"/>
    <w:lvl w:ilvl="0">
      <w:lvlJc w:val="left"/>
      <w:lvlText w:val="%1."/>
      <w:numFmt w:val="decimal"/>
      <w:start w:val="6"/>
    </w:lvl>
  </w:abstractNum>
  <w:abstractNum w:abstractNumId="44">
    <w:nsid w:val="1EBA5D23"/>
    <w:multiLevelType w:val="hybridMultilevel"/>
    <w:lvl w:ilvl="0">
      <w:lvlJc w:val="left"/>
      <w:lvlText w:val="%1."/>
      <w:numFmt w:val="decimal"/>
      <w:start w:val="8"/>
    </w:lvl>
  </w:abstractNum>
  <w:abstractNum w:abstractNumId="45">
    <w:nsid w:val="661E3F1E"/>
    <w:multiLevelType w:val="hybridMultilevel"/>
    <w:lvl w:ilvl="0">
      <w:lvlJc w:val="left"/>
      <w:lvlText w:val="%1."/>
      <w:numFmt w:val="decimal"/>
      <w:start w:val="11"/>
    </w:lvl>
  </w:abstractNum>
  <w:abstractNum w:abstractNumId="46">
    <w:nsid w:val="5DC79EA8"/>
    <w:multiLevelType w:val="hybridMultilevel"/>
    <w:lvl w:ilvl="0">
      <w:lvlJc w:val="left"/>
      <w:lvlText w:val="%1."/>
      <w:numFmt w:val="decimal"/>
      <w:start w:val="16"/>
    </w:lvl>
  </w:abstractNum>
  <w:abstractNum w:abstractNumId="47">
    <w:nsid w:val="540A471C"/>
    <w:multiLevelType w:val="hybridMultilevel"/>
    <w:lvl w:ilvl="0">
      <w:lvlJc w:val="left"/>
      <w:lvlText w:val="(%1)"/>
      <w:numFmt w:val="lowerLetter"/>
      <w:start w:val="1"/>
    </w:lvl>
  </w:abstractNum>
  <w:abstractNum w:abstractNumId="48">
    <w:nsid w:val="7BD3EE7B"/>
    <w:multiLevelType w:val="hybridMultilevel"/>
    <w:lvl w:ilvl="0">
      <w:lvlJc w:val="left"/>
      <w:lvlText w:val="."/>
      <w:numFmt w:val="bullet"/>
      <w:start w:val="1"/>
    </w:lvl>
    <w:lvl w:ilvl="1">
      <w:lvlJc w:val="left"/>
      <w:lvlText w:val="(%2)"/>
      <w:numFmt w:val="lowerLetter"/>
      <w:start w:val="1"/>
    </w:lvl>
  </w:abstractNum>
  <w:abstractNum w:abstractNumId="49">
    <w:nsid w:val="51D9C564"/>
    <w:multiLevelType w:val="hybridMultilevel"/>
    <w:lvl w:ilvl="0">
      <w:lvlJc w:val="left"/>
      <w:lvlText w:val="(%1)"/>
      <w:numFmt w:val="lowerLetter"/>
      <w:start w:val="1"/>
    </w:lvl>
    <w:lvl w:ilvl="1">
      <w:lvlJc w:val="left"/>
      <w:lvlText w:val="(%2)"/>
      <w:numFmt w:val="decimal"/>
      <w:start w:val="2"/>
    </w:lvl>
    <w:lvl w:ilvl="2">
      <w:lvlJc w:val="left"/>
      <w:lvlText w:val="(%3)"/>
      <w:numFmt w:val="lowerRoman"/>
      <w:start w:val="1"/>
    </w:lvl>
  </w:abstractNum>
  <w:abstractNum w:abstractNumId="50">
    <w:nsid w:val="613EFDC5"/>
    <w:multiLevelType w:val="hybridMultilevel"/>
    <w:lvl w:ilvl="0">
      <w:lvlJc w:val="left"/>
      <w:lvlText w:val="(%1)"/>
      <w:numFmt w:val="lowerLetter"/>
      <w:start w:val="2"/>
    </w:lvl>
  </w:abstractNum>
  <w:abstractNum w:abstractNumId="51">
    <w:nsid w:val="BF72B14"/>
    <w:multiLevelType w:val="hybridMultilevel"/>
    <w:lvl w:ilvl="0">
      <w:lvlJc w:val="left"/>
      <w:lvlText w:val="(%1)"/>
      <w:numFmt w:val="lowerLetter"/>
      <w:start w:val="4"/>
    </w:lvl>
    <w:lvl w:ilvl="1">
      <w:lvlJc w:val="left"/>
      <w:lvlText w:val="(%2)"/>
      <w:numFmt w:val="decimal"/>
      <w:start w:val="1"/>
    </w:lvl>
  </w:abstractNum>
  <w:abstractNum w:abstractNumId="52">
    <w:nsid w:val="11447B73"/>
    <w:multiLevelType w:val="hybridMultilevel"/>
    <w:lvl w:ilvl="0">
      <w:lvlJc w:val="left"/>
      <w:lvlText w:val="(%1)"/>
      <w:numFmt w:val="lowerLetter"/>
      <w:start w:val="1"/>
    </w:lvl>
  </w:abstractNum>
  <w:abstractNum w:abstractNumId="53">
    <w:nsid w:val="42963E5A"/>
    <w:multiLevelType w:val="hybridMultilevel"/>
    <w:lvl w:ilvl="0">
      <w:lvlJc w:val="left"/>
      <w:lvlText w:val="(%1)"/>
      <w:numFmt w:val="lowerLetter"/>
      <w:start w:val="2"/>
    </w:lvl>
  </w:abstractNum>
  <w:abstractNum w:abstractNumId="54">
    <w:nsid w:val="A0382C5"/>
    <w:multiLevelType w:val="hybridMultilevel"/>
    <w:lvl w:ilvl="0">
      <w:lvlJc w:val="left"/>
      <w:lvlText w:val="(%1)"/>
      <w:numFmt w:val="lowerLetter"/>
      <w:start w:val="1"/>
    </w:lvl>
  </w:abstractNum>
  <w:abstractNum w:abstractNumId="55">
    <w:nsid w:val="8F2B15E"/>
    <w:multiLevelType w:val="hybridMultilevel"/>
    <w:lvl w:ilvl="0">
      <w:lvlJc w:val="left"/>
      <w:lvlText w:val="(%1)"/>
      <w:numFmt w:val="lowerLetter"/>
      <w:start w:val="2"/>
    </w:lvl>
  </w:abstractNum>
  <w:abstractNum w:abstractNumId="56">
    <w:nsid w:val="1A32234B"/>
    <w:multiLevelType w:val="hybridMultilevel"/>
    <w:lvl w:ilvl="0">
      <w:lvlJc w:val="left"/>
      <w:lvlText w:val="(%1)"/>
      <w:numFmt w:val="decimal"/>
      <w:start w:val="1"/>
    </w:lvl>
  </w:abstractNum>
  <w:abstractNum w:abstractNumId="57">
    <w:nsid w:val="3B0FD379"/>
    <w:multiLevelType w:val="hybridMultilevel"/>
    <w:lvl w:ilvl="0">
      <w:lvlJc w:val="left"/>
      <w:lvlText w:val="(%1)"/>
      <w:numFmt w:val="lowerLetter"/>
      <w:start w:val="1"/>
    </w:lvl>
  </w:abstractNum>
  <w:abstractNum w:abstractNumId="58">
    <w:nsid w:val="68EB2F63"/>
    <w:multiLevelType w:val="hybridMultilevel"/>
    <w:lvl w:ilvl="0">
      <w:lvlJc w:val="left"/>
      <w:lvlText w:val="(%1)"/>
      <w:numFmt w:val="lowerLetter"/>
      <w:start w:val="2"/>
    </w:lvl>
  </w:abstractNum>
  <w:abstractNum w:abstractNumId="59">
    <w:nsid w:val="4962813B"/>
    <w:multiLevelType w:val="hybridMultilevel"/>
    <w:lvl w:ilvl="0">
      <w:lvlJc w:val="left"/>
      <w:lvlText w:val="."/>
      <w:numFmt w:val="bullet"/>
      <w:start w:val="1"/>
    </w:lvl>
  </w:abstractNum>
  <w:abstractNum w:abstractNumId="60">
    <w:nsid w:val="60B6DF70"/>
    <w:multiLevelType w:val="hybridMultilevel"/>
    <w:lvl w:ilvl="0">
      <w:lvlJc w:val="left"/>
      <w:lvlText w:val="."/>
      <w:numFmt w:val="bullet"/>
      <w:start w:val="1"/>
    </w:lvl>
  </w:abstractNum>
  <w:abstractNum w:abstractNumId="61">
    <w:nsid w:val="6A5EE64"/>
    <w:multiLevelType w:val="hybridMultilevel"/>
    <w:lvl w:ilvl="0">
      <w:lvlJc w:val="left"/>
      <w:lvlText w:val="."/>
      <w:numFmt w:val="bullet"/>
      <w:start w:val="1"/>
    </w:lvl>
  </w:abstractNum>
  <w:abstractNum w:abstractNumId="62">
    <w:nsid w:val="14330624"/>
    <w:multiLevelType w:val="hybridMultilevel"/>
    <w:lvl w:ilvl="0">
      <w:lvlJc w:val="left"/>
      <w:lvlText w:val="."/>
      <w:numFmt w:val="bullet"/>
      <w:start w:val="1"/>
    </w:lvl>
  </w:abstractNum>
  <w:abstractNum w:abstractNumId="63">
    <w:nsid w:val="7FFFCA11"/>
    <w:multiLevelType w:val="hybridMultilevel"/>
    <w:lvl w:ilvl="0">
      <w:lvlJc w:val="left"/>
      <w:lvlText w:val="."/>
      <w:numFmt w:val="bullet"/>
      <w:start w:val="1"/>
    </w:lvl>
  </w:abstractNum>
  <w:abstractNum w:abstractNumId="64">
    <w:nsid w:val="1A27709E"/>
    <w:multiLevelType w:val="hybridMultilevel"/>
    <w:lvl w:ilvl="0">
      <w:lvlJc w:val="left"/>
      <w:lvlText w:val="."/>
      <w:numFmt w:val="bullet"/>
      <w:start w:val="1"/>
    </w:lvl>
  </w:abstractNum>
  <w:abstractNum w:abstractNumId="65">
    <w:nsid w:val="71EA1109"/>
    <w:multiLevelType w:val="hybridMultilevel"/>
    <w:lvl w:ilvl="0">
      <w:lvlJc w:val="left"/>
      <w:lvlText w:val="."/>
      <w:numFmt w:val="bullet"/>
      <w:start w:val="1"/>
    </w:lvl>
  </w:abstractNum>
  <w:abstractNum w:abstractNumId="66">
    <w:nsid w:val="100F59DC"/>
    <w:multiLevelType w:val="hybridMultilevel"/>
    <w:lvl w:ilvl="0">
      <w:lvlJc w:val="left"/>
      <w:lvlText w:val="%1"/>
      <w:numFmt w:val="lowerLetter"/>
      <w:start w:val="1"/>
    </w:lvl>
    <w:lvl w:ilvl="1">
      <w:lvlJc w:val="left"/>
      <w:lvlText w:val="(%2)"/>
      <w:numFmt w:val="lowerLetter"/>
      <w:start w:val="1"/>
    </w:lvl>
  </w:abstractNum>
  <w:abstractNum w:abstractNumId="67">
    <w:nsid w:val="7FB7E0AA"/>
    <w:multiLevelType w:val="hybridMultilevel"/>
    <w:lvl w:ilvl="0">
      <w:lvlJc w:val="left"/>
      <w:lvlText w:val="(%1)"/>
      <w:numFmt w:val="lowerLetter"/>
      <w:start w:val="2"/>
    </w:lvl>
    <w:lvl w:ilvl="1">
      <w:lvlJc w:val="left"/>
      <w:lvlText w:val="%2"/>
      <w:numFmt w:val="lowerLetter"/>
      <w:start w:val="1"/>
    </w:lvl>
  </w:abstractNum>
  <w:abstractNum w:abstractNumId="68">
    <w:nsid w:val="6EB5BD4"/>
    <w:multiLevelType w:val="hybridMultilevel"/>
    <w:lvl w:ilvl="0">
      <w:lvlJc w:val="left"/>
      <w:lvlText w:val="(%1)"/>
      <w:numFmt w:val="decimal"/>
      <w:start w:val="1"/>
    </w:lvl>
  </w:abstractNum>
  <w:abstractNum w:abstractNumId="69">
    <w:nsid w:val="6F6DD9AC"/>
    <w:multiLevelType w:val="hybridMultilevel"/>
    <w:lvl w:ilvl="0">
      <w:lvlJc w:val="left"/>
      <w:lvlText w:val="(%1)"/>
      <w:numFmt w:val="lowerLetter"/>
      <w:start w:val="1"/>
    </w:lvl>
  </w:abstractNum>
  <w:abstractNum w:abstractNumId="70">
    <w:nsid w:val="94211F2"/>
    <w:multiLevelType w:val="hybridMultilevel"/>
    <w:lvl w:ilvl="0">
      <w:lvlJc w:val="left"/>
      <w:lvlText w:val="."/>
      <w:numFmt w:val="bullet"/>
      <w:start w:val="1"/>
    </w:lvl>
  </w:abstractNum>
  <w:abstractNum w:abstractNumId="71">
    <w:nsid w:val="885E1B"/>
    <w:multiLevelType w:val="hybridMultilevel"/>
    <w:lvl w:ilvl="0">
      <w:lvlJc w:val="left"/>
      <w:lvlText w:val="."/>
      <w:numFmt w:val="bullet"/>
      <w:start w:val="1"/>
    </w:lvl>
  </w:abstractNum>
  <w:abstractNum w:abstractNumId="72">
    <w:nsid w:val="76272110"/>
    <w:multiLevelType w:val="hybridMultilevel"/>
    <w:lvl w:ilvl="0">
      <w:lvlJc w:val="left"/>
      <w:lvlText w:val="."/>
      <w:numFmt w:val="bullet"/>
      <w:start w:val="1"/>
    </w:lvl>
  </w:abstractNum>
  <w:abstractNum w:abstractNumId="73">
    <w:nsid w:val="4C04A8AF"/>
    <w:multiLevelType w:val="hybridMultilevel"/>
    <w:lvl w:ilvl="0">
      <w:lvlJc w:val="left"/>
      <w:lvlText w:val="."/>
      <w:numFmt w:val="bullet"/>
      <w:start w:val="1"/>
    </w:lvl>
  </w:abstractNum>
  <w:abstractNum w:abstractNumId="74">
    <w:nsid w:val="1716703B"/>
    <w:multiLevelType w:val="hybridMultilevel"/>
    <w:lvl w:ilvl="0">
      <w:lvlJc w:val="left"/>
      <w:lvlText w:val="."/>
      <w:numFmt w:val="bullet"/>
      <w:start w:val="1"/>
    </w:lvl>
  </w:abstractNum>
  <w:abstractNum w:abstractNumId="75">
    <w:nsid w:val="14E17E33"/>
    <w:multiLevelType w:val="hybridMultilevel"/>
    <w:lvl w:ilvl="0">
      <w:lvlJc w:val="left"/>
      <w:lvlText w:val="."/>
      <w:numFmt w:val="bullet"/>
      <w:start w:val="1"/>
    </w:lvl>
  </w:abstractNum>
  <w:abstractNum w:abstractNumId="76">
    <w:nsid w:val="3222E7CD"/>
    <w:multiLevelType w:val="hybridMultilevel"/>
    <w:lvl w:ilvl="0">
      <w:lvlJc w:val="left"/>
      <w:lvlText w:val="."/>
      <w:numFmt w:val="bullet"/>
      <w:start w:val="1"/>
    </w:lvl>
  </w:abstractNum>
  <w:abstractNum w:abstractNumId="77">
    <w:nsid w:val="74DE0EE3"/>
    <w:multiLevelType w:val="hybridMultilevel"/>
    <w:lvl w:ilvl="0">
      <w:lvlJc w:val="left"/>
      <w:lvlText w:val="."/>
      <w:numFmt w:val="bullet"/>
      <w:start w:val="1"/>
    </w:lvl>
  </w:abstractNum>
  <w:abstractNum w:abstractNumId="78">
    <w:nsid w:val="68EBC550"/>
    <w:multiLevelType w:val="hybridMultilevel"/>
    <w:lvl w:ilvl="0">
      <w:lvlJc w:val="left"/>
      <w:lvlText w:val="."/>
      <w:numFmt w:val="bullet"/>
      <w:start w:val="1"/>
    </w:lvl>
  </w:abstractNum>
  <w:abstractNum w:abstractNumId="79">
    <w:nsid w:val="2DF6D648"/>
    <w:multiLevelType w:val="hybridMultilevel"/>
    <w:lvl w:ilvl="0">
      <w:lvlJc w:val="left"/>
      <w:lvlText w:val="."/>
      <w:numFmt w:val="bullet"/>
      <w:start w:val="1"/>
    </w:lvl>
  </w:abstractNum>
  <w:abstractNum w:abstractNumId="80">
    <w:nsid w:val="46B7D447"/>
    <w:multiLevelType w:val="hybridMultilevel"/>
    <w:lvl w:ilvl="0">
      <w:lvlJc w:val="left"/>
      <w:lvlText w:val="."/>
      <w:numFmt w:val="bullet"/>
      <w:start w:val="1"/>
    </w:lvl>
  </w:abstractNum>
  <w:abstractNum w:abstractNumId="81">
    <w:nsid w:val="4A2AC315"/>
    <w:multiLevelType w:val="hybridMultilevel"/>
    <w:lvl w:ilvl="0">
      <w:lvlJc w:val="left"/>
      <w:lvlText w:val="."/>
      <w:numFmt w:val="bullet"/>
      <w:start w:val="1"/>
    </w:lvl>
  </w:abstractNum>
  <w:abstractNum w:abstractNumId="82">
    <w:nsid w:val="39EE015C"/>
    <w:multiLevelType w:val="hybridMultilevel"/>
    <w:lvl w:ilvl="0">
      <w:lvlJc w:val="left"/>
      <w:lvlText w:val="."/>
      <w:numFmt w:val="bullet"/>
      <w:start w:val="1"/>
    </w:lvl>
  </w:abstractNum>
  <w:abstractNum w:abstractNumId="83">
    <w:nsid w:val="57FC4FBB"/>
    <w:multiLevelType w:val="hybridMultilevel"/>
    <w:lvl w:ilvl="0">
      <w:lvlJc w:val="left"/>
      <w:lvlText w:val="."/>
      <w:numFmt w:val="bullet"/>
      <w:start w:val="1"/>
    </w:lvl>
  </w:abstractNum>
  <w:abstractNum w:abstractNumId="84">
    <w:nsid w:val="CC1016F"/>
    <w:multiLevelType w:val="hybridMultilevel"/>
    <w:lvl w:ilvl="0">
      <w:lvlJc w:val="left"/>
      <w:lvlText w:val="."/>
      <w:numFmt w:val="bullet"/>
      <w:start w:val="1"/>
    </w:lvl>
  </w:abstractNum>
  <w:abstractNum w:abstractNumId="85">
    <w:nsid w:val="43F18422"/>
    <w:multiLevelType w:val="hybridMultilevel"/>
    <w:lvl w:ilvl="0">
      <w:lvlJc w:val="left"/>
      <w:lvlText w:val="."/>
      <w:numFmt w:val="bullet"/>
      <w:start w:val="1"/>
    </w:lvl>
  </w:abstractNum>
  <w:abstractNum w:abstractNumId="86">
    <w:nsid w:val="60EF0119"/>
    <w:multiLevelType w:val="hybridMultilevel"/>
    <w:lvl w:ilvl="0">
      <w:lvlJc w:val="left"/>
      <w:lvlText w:val="."/>
      <w:numFmt w:val="bullet"/>
      <w:start w:val="1"/>
    </w:lvl>
  </w:abstractNum>
  <w:abstractNum w:abstractNumId="87">
    <w:nsid w:val="26F324BA"/>
    <w:multiLevelType w:val="hybridMultilevel"/>
    <w:lvl w:ilvl="0">
      <w:lvlJc w:val="left"/>
      <w:lvlText w:val="."/>
      <w:numFmt w:val="bullet"/>
      <w:start w:val="1"/>
    </w:lvl>
  </w:abstractNum>
  <w:abstractNum w:abstractNumId="88">
    <w:nsid w:val="7F01579B"/>
    <w:multiLevelType w:val="hybridMultilevel"/>
    <w:lvl w:ilvl="0">
      <w:lvlJc w:val="left"/>
      <w:lvlText w:val="."/>
      <w:numFmt w:val="bullet"/>
      <w:start w:val="1"/>
    </w:lvl>
  </w:abstractNum>
  <w:abstractNum w:abstractNumId="89">
    <w:nsid w:val="49DA307D"/>
    <w:multiLevelType w:val="hybridMultilevel"/>
    <w:lvl w:ilvl="0">
      <w:lvlJc w:val="left"/>
      <w:lvlText w:val="."/>
      <w:numFmt w:val="bullet"/>
      <w:start w:val="1"/>
    </w:lvl>
  </w:abstractNum>
  <w:abstractNum w:abstractNumId="90">
    <w:nsid w:val="7055A5F5"/>
    <w:multiLevelType w:val="hybridMultilevel"/>
    <w:lvl w:ilvl="0">
      <w:lvlJc w:val="left"/>
      <w:lvlText w:val="."/>
      <w:numFmt w:val="bullet"/>
      <w:start w:val="1"/>
    </w:lvl>
  </w:abstractNum>
  <w:abstractNum w:abstractNumId="91">
    <w:nsid w:val="5FB8370B"/>
    <w:multiLevelType w:val="hybridMultilevel"/>
    <w:lvl w:ilvl="0">
      <w:lvlJc w:val="left"/>
      <w:lvlText w:val="%1."/>
      <w:numFmt w:val="decimal"/>
      <w:start w:val="1"/>
    </w:lvl>
  </w:abstractNum>
  <w:abstractNum w:abstractNumId="92">
    <w:nsid w:val="50801EE1"/>
    <w:multiLevelType w:val="hybridMultilevel"/>
    <w:lvl w:ilvl="0">
      <w:lvlJc w:val="left"/>
      <w:lvlText w:val="%1)"/>
      <w:numFmt w:val="lowerLetter"/>
      <w:start w:val="1"/>
    </w:lvl>
  </w:abstractNum>
  <w:abstractNum w:abstractNumId="93">
    <w:nsid w:val="488AC1A"/>
    <w:multiLevelType w:val="hybridMultilevel"/>
    <w:lvl w:ilvl="0">
      <w:lvlJc w:val="left"/>
      <w:lvlText w:val="%1."/>
      <w:numFmt w:val="decimal"/>
      <w:start w:val="5"/>
    </w:lvl>
  </w:abstractNum>
  <w:abstractNum w:abstractNumId="94">
    <w:nsid w:val="5FB8011C"/>
    <w:multiLevelType w:val="hybridMultilevel"/>
    <w:lvl w:ilvl="0">
      <w:lvlJc w:val="left"/>
      <w:lvlText w:val="%1)"/>
      <w:numFmt w:val="lowerLetter"/>
      <w:start w:val="1"/>
    </w:lvl>
  </w:abstractNum>
  <w:abstractNum w:abstractNumId="95">
    <w:nsid w:val="6AA78F7F"/>
    <w:multiLevelType w:val="hybridMultilevel"/>
    <w:lvl w:ilvl="0">
      <w:lvlJc w:val="left"/>
      <w:lvlText w:val="%1."/>
      <w:numFmt w:val="decimal"/>
      <w:start w:val="1"/>
    </w:lvl>
  </w:abstractNum>
  <w:abstractNum w:abstractNumId="96">
    <w:nsid w:val="7672BD23"/>
    <w:multiLevelType w:val="hybridMultilevel"/>
    <w:lvl w:ilvl="0">
      <w:lvlJc w:val="left"/>
      <w:lvlText w:val="%1)"/>
      <w:numFmt w:val="lowerLetter"/>
      <w:start w:val="1"/>
    </w:lvl>
  </w:abstractNum>
  <w:abstractNum w:abstractNumId="97">
    <w:nsid w:val="6FC75AF8"/>
    <w:multiLevelType w:val="hybridMultilevel"/>
    <w:lvl w:ilvl="0">
      <w:lvlJc w:val="left"/>
      <w:lvlText w:val="%1."/>
      <w:numFmt w:val="decimal"/>
      <w:start w:val="5"/>
    </w:lvl>
  </w:abstractNum>
  <w:abstractNum w:abstractNumId="98">
    <w:nsid w:val="6A5F7029"/>
    <w:multiLevelType w:val="hybridMultilevel"/>
    <w:lvl w:ilvl="0">
      <w:lvlJc w:val="left"/>
      <w:lvlText w:val="%1)"/>
      <w:numFmt w:val="lowerLetter"/>
      <w:start w:val="1"/>
    </w:lvl>
  </w:abstractNum>
  <w:abstractNum w:abstractNumId="99">
    <w:nsid w:val="7D5E18F8"/>
    <w:multiLevelType w:val="hybridMultilevel"/>
    <w:lvl w:ilvl="0">
      <w:lvlJc w:val="left"/>
      <w:lvlText w:val="(%1)"/>
      <w:numFmt w:val="decimal"/>
      <w:start w:val="1"/>
    </w:lvl>
  </w:abstractNum>
  <w:abstractNum w:abstractNumId="100">
    <w:nsid w:val="5F3534A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2020-05-07T05:13:26Z</dcterms:created>
  <dcterms:modified xsi:type="dcterms:W3CDTF">2020-05-07T05:13:26Z</dcterms:modified>
</cp:coreProperties>
</file>