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5"/>
              </w:rPr>
              <w:t>New York</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7"/>
              </w:rPr>
              <w:t>One M &amp; T Plaza</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Buffalo, New York</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(716) 842-5445</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0" w:lineRule="exact"/>
        <w:rPr>
          <w:sz w:val="24"/>
          <w:szCs w:val="24"/>
          <w:color w:val="auto"/>
        </w:rPr>
      </w:pPr>
    </w:p>
    <w:p>
      <w:pPr>
        <w:sectPr>
          <w:pgSz w:w="11900" w:h="16838" w:orient="portrait"/>
          <w:cols w:equalWidth="0" w:num="5">
            <w:col w:w="8180" w:space="180"/>
            <w:col w:w="160" w:space="80"/>
            <w:col w:w="260" w:space="180"/>
            <w:col w:w="160" w:space="100"/>
            <w:col w:w="2120"/>
          </w:cols>
          <w:pgMar w:left="240" w:top="230"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April 30, 2014: 131,488,635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M&amp;T BANK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March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60" w:type="dxa"/>
            <w:vAlign w:val="bottom"/>
            <w:tcBorders>
              <w:bottom w:val="single" w:sz="8" w:color="auto"/>
            </w:tcBorders>
            <w:gridSpan w:val="13"/>
          </w:tcPr>
          <w:p>
            <w:pPr>
              <w:spacing w:after="0"/>
              <w:rPr>
                <w:sz w:val="20"/>
                <w:szCs w:val="20"/>
                <w:color w:val="auto"/>
              </w:rPr>
            </w:pPr>
            <w:r>
              <w:rPr>
                <w:rFonts w:ascii="Arial" w:cs="Arial" w:eastAsia="Arial" w:hAnsi="Arial"/>
                <w:sz w:val="14"/>
                <w:szCs w:val="14"/>
                <w:color w:val="auto"/>
                <w:w w:val="94"/>
              </w:rPr>
              <w:t>Table of Contents of Information Required in Report</w:t>
            </w:r>
          </w:p>
        </w:tc>
        <w:tc>
          <w:tcPr>
            <w:tcW w:w="7980" w:type="dxa"/>
            <w:vAlign w:val="bottom"/>
            <w:gridSpan w:val="12"/>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64"/>
        </w:trPr>
        <w:tc>
          <w:tcPr>
            <w:tcW w:w="110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280" w:type="dxa"/>
            <w:vAlign w:val="bottom"/>
          </w:tcPr>
          <w:p>
            <w:pPr>
              <w:spacing w:after="0"/>
              <w:rPr>
                <w:sz w:val="22"/>
                <w:szCs w:val="22"/>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1.</w:t>
            </w:r>
          </w:p>
        </w:tc>
        <w:tc>
          <w:tcPr>
            <w:tcW w:w="96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March 31, 2014 and December 31,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 OF INCOME - Three months ended March 31, 2014 and 2013</w:t>
              </w:r>
            </w:hyperlink>
          </w:p>
        </w:tc>
        <w:tc>
          <w:tcPr>
            <w:tcW w:w="26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COMPREHENSIVE INCOME – Three months ended March 31, 2014 and 2013</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80" w:type="dxa"/>
            <w:vAlign w:val="bottom"/>
            <w:tcBorders>
              <w:top w:val="single" w:sz="8" w:color="0000EE"/>
            </w:tcBorders>
            <w:gridSpan w:val="2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Three months ended March 31, 2014 and 2013</w:t>
              </w:r>
            </w:hyperlink>
          </w:p>
        </w:tc>
        <w:tc>
          <w:tcPr>
            <w:tcW w:w="10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40" w:type="dxa"/>
            <w:vAlign w:val="bottom"/>
            <w:gridSpan w:val="22"/>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CONSOLIDATED STATEMENT OF CHANGES IN SHAREHOLDERS’ EQUITY - Three months ended March 31, 2014 and</w:t>
              </w:r>
            </w:hyperlink>
          </w:p>
        </w:tc>
        <w:tc>
          <w:tcPr>
            <w:tcW w:w="28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2013</w:t>
              </w:r>
            </w:hyperlink>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NOTES TO FINANCIAL STATEMENTS</w:t>
              </w:r>
            </w:hyperlink>
          </w:p>
        </w:tc>
        <w:tc>
          <w:tcPr>
            <w:tcW w:w="65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2.</w:t>
            </w:r>
          </w:p>
        </w:tc>
        <w:tc>
          <w:tcPr>
            <w:tcW w:w="964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3.</w:t>
            </w:r>
          </w:p>
        </w:tc>
        <w:tc>
          <w:tcPr>
            <w:tcW w:w="44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14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4.</w:t>
            </w:r>
          </w:p>
        </w:tc>
        <w:tc>
          <w:tcPr>
            <w:tcW w:w="18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Controls and Procedures.</w:t>
              </w:r>
            </w:hyperlink>
          </w:p>
        </w:tc>
        <w:tc>
          <w:tcPr>
            <w:tcW w:w="78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24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Part II. OTHER INFORMATION</w:t>
              </w:r>
            </w:hyperlink>
          </w:p>
        </w:tc>
        <w:tc>
          <w:tcPr>
            <w:tcW w:w="8600" w:type="dxa"/>
            <w:vAlign w:val="bottom"/>
            <w:gridSpan w:val="17"/>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Legal Proceedings.</w:t>
              </w:r>
            </w:hyperlink>
          </w:p>
        </w:tc>
        <w:tc>
          <w:tcPr>
            <w:tcW w:w="82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1A.</w:t>
            </w:r>
          </w:p>
        </w:tc>
        <w:tc>
          <w:tcPr>
            <w:tcW w:w="9640" w:type="dxa"/>
            <w:vAlign w:val="bottom"/>
            <w:gridSpan w:val="2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2.</w:t>
            </w:r>
          </w:p>
        </w:tc>
        <w:tc>
          <w:tcPr>
            <w:tcW w:w="44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4">
              <w:r>
                <w:rPr>
                  <w:rFonts w:ascii="Arial" w:cs="Arial" w:eastAsia="Arial" w:hAnsi="Arial"/>
                  <w:sz w:val="18"/>
                  <w:szCs w:val="18"/>
                  <w:color w:val="0000EE"/>
                  <w:w w:val="89"/>
                </w:rPr>
                <w:t>Unregistered Sales of Equity Securities and Use of Proceeds.</w:t>
              </w:r>
            </w:hyperlink>
          </w:p>
        </w:tc>
        <w:tc>
          <w:tcPr>
            <w:tcW w:w="52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3.</w:t>
            </w:r>
          </w:p>
        </w:tc>
        <w:tc>
          <w:tcPr>
            <w:tcW w:w="9640" w:type="dxa"/>
            <w:vAlign w:val="bottom"/>
            <w:gridSpan w:val="2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4.</w:t>
            </w:r>
          </w:p>
        </w:tc>
        <w:tc>
          <w:tcPr>
            <w:tcW w:w="18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24"/>
                <w:szCs w:val="24"/>
                <w:color w:val="auto"/>
              </w:rPr>
            </w:pPr>
          </w:p>
        </w:tc>
        <w:tc>
          <w:tcPr>
            <w:tcW w:w="728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5.</w:t>
            </w:r>
          </w:p>
        </w:tc>
        <w:tc>
          <w:tcPr>
            <w:tcW w:w="1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94">
              <w:r>
                <w:rPr>
                  <w:rFonts w:ascii="Arial" w:cs="Arial" w:eastAsia="Arial" w:hAnsi="Arial"/>
                  <w:sz w:val="18"/>
                  <w:szCs w:val="18"/>
                  <w:color w:val="0000EE"/>
                  <w:w w:val="92"/>
                </w:rPr>
                <w:t>Other Information.</w:t>
              </w:r>
            </w:hyperlink>
          </w:p>
        </w:tc>
        <w:tc>
          <w:tcPr>
            <w:tcW w:w="828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00" w:type="dxa"/>
            <w:vAlign w:val="bottom"/>
            <w:gridSpan w:val="3"/>
          </w:tcPr>
          <w:p>
            <w:pPr>
              <w:ind w:left="540"/>
              <w:spacing w:after="0"/>
              <w:rPr>
                <w:sz w:val="20"/>
                <w:szCs w:val="20"/>
                <w:color w:val="auto"/>
              </w:rPr>
            </w:pPr>
            <w:r>
              <w:rPr>
                <w:rFonts w:ascii="Arial" w:cs="Arial" w:eastAsia="Arial" w:hAnsi="Arial"/>
                <w:sz w:val="18"/>
                <w:szCs w:val="18"/>
                <w:color w:val="auto"/>
              </w:rPr>
              <w:t>Item 6.</w:t>
            </w:r>
          </w:p>
        </w:tc>
        <w:tc>
          <w:tcPr>
            <w:tcW w:w="9640" w:type="dxa"/>
            <w:vAlign w:val="bottom"/>
            <w:gridSpan w:val="22"/>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04"/>
        </w:trPr>
        <w:tc>
          <w:tcPr>
            <w:tcW w:w="1400" w:type="dxa"/>
            <w:vAlign w:val="bottom"/>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400" w:type="dxa"/>
            <w:vAlign w:val="bottom"/>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 INDEX</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85"/>
        </w:trPr>
        <w:tc>
          <w:tcPr>
            <w:tcW w:w="1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920" w:type="dxa"/>
            <w:vAlign w:val="bottom"/>
            <w:gridSpan w:val="16"/>
          </w:tcPr>
          <w:p>
            <w:pPr>
              <w:ind w:left="4160"/>
              <w:spacing w:after="0"/>
              <w:rPr>
                <w:sz w:val="20"/>
                <w:szCs w:val="20"/>
                <w:color w:val="auto"/>
              </w:rPr>
            </w:pPr>
            <w:r>
              <w:rPr>
                <w:rFonts w:ascii="Arial" w:cs="Arial" w:eastAsia="Arial" w:hAnsi="Arial"/>
                <w:sz w:val="18"/>
                <w:szCs w:val="18"/>
                <w:color w:val="auto"/>
              </w:rPr>
              <w:t>- 2 -</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March 31,</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91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color w:val="auto"/>
              </w:rPr>
              <w:t>2014</w:t>
            </w:r>
          </w:p>
        </w:tc>
        <w:tc>
          <w:tcPr>
            <w:tcW w:w="20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2"/>
              </w:rPr>
              <w:t>Cash and due</w:t>
            </w:r>
          </w:p>
        </w:tc>
        <w:tc>
          <w:tcPr>
            <w:tcW w:w="69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from banks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1,671,052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Interest-bearing deposits at banks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3,299,185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1,651,138</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funds sold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92,066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99,573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Trading account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314,807</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376,131</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Investment securities (includes pledged securities that can be sold or repledged of $1,657,883 at March 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2014; $1,696,438 at December 31, 2013)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color w:val="auto"/>
              </w:rPr>
              <w:t>Available for sale (cost: $6,042,063 at March 31, 2014; $4,444,365 at December 31, 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6,191,571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4,531,786</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Held to maturity (fair value: $3,814,766 at March 31, 2014; $3,860,127 at December 31, 2013)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3,873,985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3,966,130</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520"/>
              <w:spacing w:after="0"/>
              <w:rPr>
                <w:sz w:val="20"/>
                <w:szCs w:val="20"/>
                <w:color w:val="auto"/>
              </w:rPr>
            </w:pPr>
            <w:r>
              <w:rPr>
                <w:rFonts w:ascii="Arial" w:cs="Arial" w:eastAsia="Arial" w:hAnsi="Arial"/>
                <w:sz w:val="18"/>
                <w:szCs w:val="18"/>
                <w:color w:val="auto"/>
              </w:rPr>
              <w:t>Other (fair value: $298,693 at March 31, 2014; $298,581 at December 31, 2013)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298,693</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investment 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10,364,249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8,796,497</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Loans and leases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64,378,511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64,325,783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Unearned discount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(243,433)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(252,624)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880"/>
              <w:spacing w:after="0"/>
              <w:rPr>
                <w:sz w:val="20"/>
                <w:szCs w:val="20"/>
                <w:color w:val="auto"/>
              </w:rPr>
            </w:pPr>
            <w:r>
              <w:rPr>
                <w:rFonts w:ascii="Arial" w:cs="Arial" w:eastAsia="Arial" w:hAnsi="Arial"/>
                <w:sz w:val="18"/>
                <w:szCs w:val="18"/>
                <w:color w:val="auto"/>
              </w:rPr>
              <w:t>Loans and leases, net of unearned discount</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64,135,078</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64,073,159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Allowance for credit losses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(916,768)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(916,676)</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020" w:type="dxa"/>
            <w:vAlign w:val="bottom"/>
            <w:gridSpan w:val="2"/>
          </w:tcPr>
          <w:p>
            <w:pPr>
              <w:ind w:left="880"/>
              <w:spacing w:after="0"/>
              <w:rPr>
                <w:sz w:val="20"/>
                <w:szCs w:val="20"/>
                <w:color w:val="auto"/>
              </w:rPr>
            </w:pPr>
            <w:r>
              <w:rPr>
                <w:rFonts w:ascii="Arial" w:cs="Arial" w:eastAsia="Arial" w:hAnsi="Arial"/>
                <w:sz w:val="18"/>
                <w:szCs w:val="18"/>
                <w:color w:val="auto"/>
              </w:rPr>
              <w:t>Loans and leases, net</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63,218,310</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63,156,483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Premises and equipment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627,966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633,520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3,524,625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58,789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68,851</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Accrued interest and other assets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5,359,311</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88,530,360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85,162,391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8020" w:type="dxa"/>
            <w:vAlign w:val="bottom"/>
            <w:gridSpan w:val="2"/>
            <w:vMerge w:val="restart"/>
          </w:tcPr>
          <w:p>
            <w:pPr>
              <w:ind w:left="160"/>
              <w:spacing w:after="0"/>
              <w:rPr>
                <w:sz w:val="20"/>
                <w:szCs w:val="20"/>
                <w:color w:val="auto"/>
              </w:rPr>
            </w:pPr>
            <w:r>
              <w:rPr>
                <w:rFonts w:ascii="Arial" w:cs="Arial" w:eastAsia="Arial" w:hAnsi="Arial"/>
                <w:sz w:val="18"/>
                <w:szCs w:val="18"/>
                <w:color w:val="auto"/>
              </w:rPr>
              <w:t>Noninterest-bearing deposits</w:t>
            </w: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8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25,244,200</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24,661,007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1,917,763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1,989,441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37,887,008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36,621,580</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3,402,515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3,523,838</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247,880</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68,699,366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67,118,612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Federal funds purchased and agreements to repurchase securities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230,209</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interest and other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1,462,725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1,368,922</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Long-term borrowings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6,251,197</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76,643,497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73,856,859</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Shareholders’</w:t>
            </w: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w w:val="92"/>
              </w:rPr>
              <w:t>Preferred stock, $1.00 par, 1,000,000 shares authorized; Issued and outstanding: Liquidation preference of</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ind w:left="180"/>
              <w:spacing w:after="0"/>
              <w:rPr>
                <w:sz w:val="20"/>
                <w:szCs w:val="20"/>
                <w:color w:val="auto"/>
              </w:rPr>
            </w:pPr>
            <w:r>
              <w:rPr>
                <w:rFonts w:ascii="Arial" w:cs="Arial" w:eastAsia="Arial" w:hAnsi="Arial"/>
                <w:sz w:val="18"/>
                <w:szCs w:val="18"/>
                <w:color w:val="auto"/>
              </w:rPr>
              <w:t>equity</w:t>
            </w: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w w:val="91"/>
              </w:rPr>
              <w:t>$1,000 per share: 731,500 shares at March 31, 2014; 381,500 shares at December 31, 2013; Liquidation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preference of $10,000 per share: 50,000 shares at March 31, 2014 and December 31, 2013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1,231,500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881,500</w:t>
            </w:r>
          </w:p>
        </w:tc>
        <w:tc>
          <w:tcPr>
            <w:tcW w:w="0" w:type="dxa"/>
            <w:vAlign w:val="bottom"/>
          </w:tcPr>
          <w:p>
            <w:pPr>
              <w:spacing w:after="0"/>
              <w:rPr>
                <w:sz w:val="1"/>
                <w:szCs w:val="1"/>
                <w:color w:val="auto"/>
              </w:rPr>
            </w:pPr>
          </w:p>
        </w:tc>
      </w:tr>
      <w:tr>
        <w:trPr>
          <w:trHeight w:val="202"/>
        </w:trPr>
        <w:tc>
          <w:tcPr>
            <w:tcW w:w="1140" w:type="dxa"/>
            <w:vAlign w:val="bottom"/>
            <w:shd w:val="clear" w:color="auto" w:fill="CCEEFF"/>
          </w:tcPr>
          <w:p>
            <w:pPr>
              <w:spacing w:after="0"/>
              <w:rPr>
                <w:sz w:val="17"/>
                <w:szCs w:val="17"/>
                <w:color w:val="auto"/>
              </w:rPr>
            </w:pPr>
          </w:p>
        </w:tc>
        <w:tc>
          <w:tcPr>
            <w:tcW w:w="8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$.50 par, 250,000,000 shares authorized, 131,388,585 shares issued at March 31, 2014;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CEEFF"/>
          </w:tcPr>
          <w:p>
            <w:pPr>
              <w:spacing w:after="0"/>
              <w:rPr>
                <w:sz w:val="20"/>
                <w:szCs w:val="20"/>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130,516,364 shares issued at December 31, 2013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65,694</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65,258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Common stock issuable, 42,100 shares at March 31, 2014; 47,231 shares at December 31, 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2,616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3,302,402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3,232,014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7,309,912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7,188,004</w:t>
            </w: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(25,261)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(64,159)</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8020" w:type="dxa"/>
            <w:vAlign w:val="bottom"/>
            <w:gridSpan w:val="2"/>
          </w:tcPr>
          <w:p>
            <w:pPr>
              <w:ind w:left="88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11,886,863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11,305,532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80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88,530,360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85,162,391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20" w:type="dxa"/>
            <w:vAlign w:val="bottom"/>
            <w:gridSpan w:val="2"/>
            <w:vMerge w:val="restart"/>
          </w:tcPr>
          <w:p>
            <w:pPr>
              <w:ind w:left="4420"/>
              <w:spacing w:after="0"/>
              <w:rPr>
                <w:sz w:val="20"/>
                <w:szCs w:val="20"/>
                <w:color w:val="auto"/>
              </w:rPr>
            </w:pPr>
            <w:r>
              <w:rPr>
                <w:rFonts w:ascii="Arial" w:cs="Arial" w:eastAsia="Arial" w:hAnsi="Arial"/>
                <w:sz w:val="18"/>
                <w:szCs w:val="18"/>
                <w:color w:val="auto"/>
              </w:rPr>
              <w:t>- 3 -</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40" w:type="dxa"/>
            <w:vAlign w:val="bottom"/>
          </w:tcPr>
          <w:p>
            <w:pPr>
              <w:spacing w:after="0"/>
              <w:rPr>
                <w:sz w:val="24"/>
                <w:szCs w:val="24"/>
                <w:color w:val="auto"/>
              </w:rPr>
            </w:pPr>
          </w:p>
        </w:tc>
        <w:tc>
          <w:tcPr>
            <w:tcW w:w="8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720" w:firstLine="3721"/>
        <w:spacing w:after="0" w:line="402" w:lineRule="auto"/>
        <w:rPr>
          <w:sz w:val="20"/>
          <w:szCs w:val="20"/>
          <w:color w:val="auto"/>
        </w:rPr>
      </w:pPr>
      <w:r>
        <w:rPr>
          <w:rFonts w:ascii="Arial" w:cs="Arial" w:eastAsia="Arial" w:hAnsi="Arial"/>
          <w:sz w:val="18"/>
          <w:szCs w:val="18"/>
          <w:color w:val="auto"/>
        </w:rPr>
        <w:t>M&amp;T BANK CORPORATION AND SUBSIDIARIES CONSOLIDATED STATEMENT OF INCOME (Unaudited)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8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940" w:type="dxa"/>
            <w:vAlign w:val="bottom"/>
            <w:gridSpan w:val="5"/>
          </w:tcPr>
          <w:p>
            <w:pPr>
              <w:jc w:val="right"/>
              <w:ind w:right="140"/>
              <w:spacing w:after="0"/>
              <w:rPr>
                <w:sz w:val="20"/>
                <w:szCs w:val="20"/>
                <w:color w:val="auto"/>
              </w:rPr>
            </w:pPr>
            <w:r>
              <w:rPr>
                <w:rFonts w:ascii="Arial" w:cs="Arial" w:eastAsia="Arial" w:hAnsi="Arial"/>
                <w:sz w:val="14"/>
                <w:szCs w:val="14"/>
                <w:color w:val="auto"/>
                <w:w w:val="92"/>
              </w:rPr>
              <w:t>Three months ended March 31</w:t>
            </w:r>
          </w:p>
        </w:tc>
        <w:tc>
          <w:tcPr>
            <w:tcW w:w="0" w:type="dxa"/>
            <w:vAlign w:val="bottom"/>
          </w:tcPr>
          <w:p>
            <w:pPr>
              <w:spacing w:after="0"/>
              <w:rPr>
                <w:sz w:val="1"/>
                <w:szCs w:val="1"/>
                <w:color w:val="auto"/>
              </w:rPr>
            </w:pPr>
          </w:p>
        </w:tc>
      </w:tr>
      <w:tr>
        <w:trPr>
          <w:trHeight w:val="167"/>
        </w:trPr>
        <w:tc>
          <w:tcPr>
            <w:tcW w:w="94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0"/>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Loans and leases, including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645,222</w:t>
            </w:r>
          </w:p>
        </w:tc>
        <w:tc>
          <w:tcPr>
            <w:tcW w:w="22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682,455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Deposits at banks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1,884</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funds sold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Agreements to resell securities</w:t>
            </w:r>
          </w:p>
        </w:tc>
        <w:tc>
          <w:tcPr>
            <w:tcW w:w="16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Investment securities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Fully taxable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73,899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Exempt from federal taxes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722,952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729,975</w:t>
            </w:r>
          </w:p>
        </w:tc>
        <w:tc>
          <w:tcPr>
            <w:tcW w:w="0" w:type="dxa"/>
            <w:vAlign w:val="bottom"/>
          </w:tcPr>
          <w:p>
            <w:pPr>
              <w:spacing w:after="0"/>
              <w:rPr>
                <w:sz w:val="1"/>
                <w:szCs w:val="1"/>
                <w:color w:val="auto"/>
              </w:rPr>
            </w:pPr>
          </w:p>
        </w:tc>
      </w:tr>
      <w:tr>
        <w:trPr>
          <w:trHeight w:val="223"/>
        </w:trPr>
        <w:tc>
          <w:tcPr>
            <w:tcW w:w="1320" w:type="dxa"/>
            <w:vAlign w:val="bottom"/>
            <w:gridSpan w:val="2"/>
          </w:tcPr>
          <w:p>
            <w:pPr>
              <w:spacing w:after="0"/>
              <w:rPr>
                <w:sz w:val="20"/>
                <w:szCs w:val="20"/>
                <w:color w:val="auto"/>
              </w:rPr>
            </w:pPr>
            <w:r>
              <w:rPr>
                <w:rFonts w:ascii="Arial" w:cs="Arial" w:eastAsia="Arial" w:hAnsi="Arial"/>
                <w:sz w:val="18"/>
                <w:szCs w:val="18"/>
                <w:color w:val="auto"/>
                <w:w w:val="97"/>
              </w:rPr>
              <w:t>Interest expense</w:t>
            </w: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NOW accounts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3,940</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Total interest expense</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i w:val="1"/>
                <w:iCs w:val="1"/>
                <w:color w:val="auto"/>
              </w:rPr>
              <w:t>Net interest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656,433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Provision for credit losses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interest income after provision for credit losses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624,433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618,050</w:t>
            </w:r>
          </w:p>
        </w:tc>
        <w:tc>
          <w:tcPr>
            <w:tcW w:w="0" w:type="dxa"/>
            <w:vAlign w:val="bottom"/>
          </w:tcPr>
          <w:p>
            <w:pPr>
              <w:spacing w:after="0"/>
              <w:rPr>
                <w:sz w:val="1"/>
                <w:szCs w:val="1"/>
                <w:color w:val="auto"/>
              </w:rPr>
            </w:pPr>
          </w:p>
        </w:tc>
      </w:tr>
      <w:tr>
        <w:trPr>
          <w:trHeight w:val="223"/>
        </w:trPr>
        <w:tc>
          <w:tcPr>
            <w:tcW w:w="13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Mortgage banking revenues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80,049</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 charges on deposit accounts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104,198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Trust income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121,252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Brokerage services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Trading account and foreign exchange gains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6,447</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other-than-temporary impairment (“OTTI”) losses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Portion of OTTI losses recognized in other comprehensive income (before taxes)</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OTTI losses recognized in earnings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Equity in earnings of Bayview Lending Group LLC</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revenues from operations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420,107</w:t>
            </w:r>
          </w:p>
        </w:tc>
        <w:tc>
          <w:tcPr>
            <w:tcW w:w="2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Salaries and employee benefits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371,326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Equipment and net occupancy</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71,167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Printing, postage and supplies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Amortization of core deposit and other intangible assets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10,062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FDIC assessments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15,488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223,272</w:t>
            </w: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expense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702,271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Income before taxes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342,269</w:t>
            </w: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113,252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i w:val="1"/>
                <w:i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229,017</w:t>
            </w:r>
          </w:p>
        </w:tc>
        <w:tc>
          <w:tcPr>
            <w:tcW w:w="2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available to common shareholders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211,720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211,731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Net income per common share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dividends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Average common shares outstanding</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130,212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20" w:type="dxa"/>
            <w:vAlign w:val="bottom"/>
          </w:tcPr>
          <w:p>
            <w:pPr>
              <w:ind w:left="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131,126</w:t>
            </w: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128,636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160" w:type="dxa"/>
            <w:vAlign w:val="bottom"/>
            <w:gridSpan w:val="2"/>
          </w:tcPr>
          <w:p>
            <w:pPr>
              <w:ind w:left="4240"/>
              <w:spacing w:after="0"/>
              <w:rPr>
                <w:sz w:val="20"/>
                <w:szCs w:val="20"/>
                <w:color w:val="auto"/>
              </w:rPr>
            </w:pPr>
            <w:r>
              <w:rPr>
                <w:rFonts w:ascii="Arial" w:cs="Arial" w:eastAsia="Arial" w:hAnsi="Arial"/>
                <w:sz w:val="18"/>
                <w:szCs w:val="18"/>
                <w:color w:val="auto"/>
              </w:rPr>
              <w:t>- 4 -</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960" w:type="dxa"/>
            <w:vAlign w:val="bottom"/>
          </w:tcPr>
          <w:p>
            <w:pPr>
              <w:spacing w:after="0"/>
              <w:rPr>
                <w:sz w:val="14"/>
                <w:szCs w:val="14"/>
                <w:color w:val="auto"/>
              </w:rPr>
            </w:pPr>
          </w:p>
        </w:tc>
        <w:tc>
          <w:tcPr>
            <w:tcW w:w="2040" w:type="dxa"/>
            <w:vAlign w:val="bottom"/>
            <w:gridSpan w:val="5"/>
          </w:tcPr>
          <w:p>
            <w:pPr>
              <w:jc w:val="right"/>
              <w:ind w:right="200"/>
              <w:spacing w:after="0"/>
              <w:rPr>
                <w:sz w:val="20"/>
                <w:szCs w:val="20"/>
                <w:color w:val="auto"/>
              </w:rPr>
            </w:pPr>
            <w:r>
              <w:rPr>
                <w:rFonts w:ascii="Arial" w:cs="Arial" w:eastAsia="Arial" w:hAnsi="Arial"/>
                <w:sz w:val="14"/>
                <w:szCs w:val="14"/>
                <w:color w:val="auto"/>
                <w:w w:val="95"/>
              </w:rPr>
              <w:t>Three months ended March 31</w:t>
            </w:r>
          </w:p>
        </w:tc>
        <w:tc>
          <w:tcPr>
            <w:tcW w:w="0" w:type="dxa"/>
            <w:vAlign w:val="bottom"/>
          </w:tcPr>
          <w:p>
            <w:pPr>
              <w:spacing w:after="0"/>
              <w:rPr>
                <w:sz w:val="1"/>
                <w:szCs w:val="1"/>
                <w:color w:val="auto"/>
              </w:rPr>
            </w:pPr>
          </w:p>
        </w:tc>
      </w:tr>
      <w:tr>
        <w:trPr>
          <w:trHeight w:val="167"/>
        </w:trPr>
        <w:tc>
          <w:tcPr>
            <w:tcW w:w="5420" w:type="dxa"/>
            <w:vAlign w:val="bottom"/>
            <w:gridSpan w:val="2"/>
            <w:vMerge w:val="continue"/>
          </w:tcPr>
          <w:p>
            <w:pPr>
              <w:spacing w:after="0"/>
              <w:rPr>
                <w:sz w:val="14"/>
                <w:szCs w:val="14"/>
                <w:color w:val="auto"/>
              </w:rPr>
            </w:pPr>
          </w:p>
        </w:tc>
        <w:tc>
          <w:tcPr>
            <w:tcW w:w="3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1"/>
              </w:rPr>
              <w:t>Net income</w:t>
            </w:r>
          </w:p>
        </w:tc>
        <w:tc>
          <w:tcPr>
            <w:tcW w:w="466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229,017</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on investment securities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38,214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Defined benefit plans liability adjustment</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30"/>
        </w:trPr>
        <w:tc>
          <w:tcPr>
            <w:tcW w:w="5420" w:type="dxa"/>
            <w:vAlign w:val="bottom"/>
            <w:gridSpan w:val="2"/>
          </w:tcPr>
          <w:p>
            <w:pPr>
              <w:ind w:left="720"/>
              <w:spacing w:after="0"/>
              <w:rPr>
                <w:sz w:val="20"/>
                <w:szCs w:val="20"/>
                <w:color w:val="auto"/>
              </w:rPr>
            </w:pPr>
            <w:r>
              <w:rPr>
                <w:rFonts w:ascii="Arial" w:cs="Arial" w:eastAsia="Arial" w:hAnsi="Arial"/>
                <w:sz w:val="18"/>
                <w:szCs w:val="18"/>
                <w:i w:val="1"/>
                <w:iCs w:val="1"/>
                <w:color w:val="auto"/>
              </w:rPr>
              <w:t>Total other comprehensive income</w:t>
            </w:r>
          </w:p>
        </w:tc>
        <w:tc>
          <w:tcPr>
            <w:tcW w:w="39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38,898</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720"/>
              <w:spacing w:after="0"/>
              <w:rPr>
                <w:sz w:val="20"/>
                <w:szCs w:val="20"/>
                <w:color w:val="auto"/>
              </w:rPr>
            </w:pPr>
            <w:r>
              <w:rPr>
                <w:rFonts w:ascii="Arial" w:cs="Arial" w:eastAsia="Arial" w:hAnsi="Arial"/>
                <w:sz w:val="18"/>
                <w:szCs w:val="18"/>
                <w:i w:val="1"/>
                <w:iCs w:val="1"/>
                <w:color w:val="auto"/>
              </w:rPr>
              <w:t>Total comprehensive income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267,915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960" w:type="dxa"/>
            <w:vAlign w:val="bottom"/>
            <w:vMerge w:val="restart"/>
          </w:tcPr>
          <w:p>
            <w:pPr>
              <w:jc w:val="right"/>
              <w:ind w:right="3430"/>
              <w:spacing w:after="0"/>
              <w:rPr>
                <w:sz w:val="20"/>
                <w:szCs w:val="20"/>
                <w:color w:val="auto"/>
              </w:rPr>
            </w:pPr>
            <w:r>
              <w:rPr>
                <w:rFonts w:ascii="Arial" w:cs="Arial" w:eastAsia="Arial" w:hAnsi="Arial"/>
                <w:sz w:val="18"/>
                <w:szCs w:val="18"/>
                <w:color w:val="auto"/>
              </w:rPr>
              <w:t>- 5 -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4"/>
          </w:tcPr>
          <w:p>
            <w:pPr>
              <w:jc w:val="right"/>
              <w:ind w:right="240"/>
              <w:spacing w:after="0"/>
              <w:rPr>
                <w:sz w:val="20"/>
                <w:szCs w:val="20"/>
                <w:color w:val="auto"/>
              </w:rPr>
            </w:pPr>
            <w:r>
              <w:rPr>
                <w:rFonts w:ascii="Arial" w:cs="Arial" w:eastAsia="Arial" w:hAnsi="Arial"/>
                <w:sz w:val="14"/>
                <w:szCs w:val="14"/>
                <w:color w:val="auto"/>
                <w:w w:val="94"/>
              </w:rPr>
              <w:t>Three months ended March 31</w:t>
            </w:r>
          </w:p>
        </w:tc>
        <w:tc>
          <w:tcPr>
            <w:tcW w:w="0" w:type="dxa"/>
            <w:vAlign w:val="bottom"/>
          </w:tcPr>
          <w:p>
            <w:pPr>
              <w:spacing w:after="0"/>
              <w:rPr>
                <w:sz w:val="1"/>
                <w:szCs w:val="1"/>
                <w:color w:val="auto"/>
              </w:rPr>
            </w:pPr>
          </w:p>
        </w:tc>
      </w:tr>
      <w:tr>
        <w:trPr>
          <w:trHeight w:val="167"/>
        </w:trPr>
        <w:tc>
          <w:tcPr>
            <w:tcW w:w="2160" w:type="dxa"/>
            <w:vAlign w:val="bottom"/>
            <w:gridSpan w:val="3"/>
            <w:vMerge w:val="continue"/>
          </w:tcPr>
          <w:p>
            <w:pPr>
              <w:spacing w:after="0"/>
              <w:rPr>
                <w:sz w:val="14"/>
                <w:szCs w:val="14"/>
                <w:color w:val="auto"/>
              </w:rPr>
            </w:pPr>
          </w:p>
        </w:tc>
        <w:tc>
          <w:tcPr>
            <w:tcW w:w="6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14"/>
                <w:szCs w:val="14"/>
                <w:color w:val="auto"/>
              </w:rPr>
            </w:pPr>
          </w:p>
        </w:tc>
        <w:tc>
          <w:tcPr>
            <w:tcW w:w="840" w:type="dxa"/>
            <w:vAlign w:val="bottom"/>
          </w:tcPr>
          <w:p>
            <w:pPr>
              <w:jc w:val="right"/>
              <w:ind w:right="19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1"/>
              </w:rPr>
              <w:t>Cash flows</w:t>
            </w:r>
          </w:p>
        </w:tc>
        <w:tc>
          <w:tcPr>
            <w:tcW w:w="1400" w:type="dxa"/>
            <w:vAlign w:val="bottom"/>
            <w:tcBorders>
              <w:top w:val="single" w:sz="8" w:color="CCEEFF"/>
            </w:tcBorders>
            <w:shd w:val="clear" w:color="auto" w:fill="CCEEFF"/>
          </w:tcPr>
          <w:p>
            <w:pPr>
              <w:ind w:left="100"/>
              <w:spacing w:after="0" w:line="182" w:lineRule="exact"/>
              <w:rPr>
                <w:sz w:val="20"/>
                <w:szCs w:val="20"/>
                <w:color w:val="auto"/>
              </w:rPr>
            </w:pPr>
            <w:r>
              <w:rPr>
                <w:rFonts w:ascii="Arial" w:cs="Arial" w:eastAsia="Arial" w:hAnsi="Arial"/>
                <w:sz w:val="18"/>
                <w:szCs w:val="18"/>
                <w:color w:val="auto"/>
              </w:rPr>
              <w:t>from</w:t>
            </w:r>
          </w:p>
        </w:tc>
        <w:tc>
          <w:tcPr>
            <w:tcW w:w="65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229,017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Provision for credit losses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Depreciation and amortization of premises and equipment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24,708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Amortization of capitalized servicing rights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17,792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Amortization of core deposit and other intangible assets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10,062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Provision for deferred income taxes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42,256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Asset write-downs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1,117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gain on sales of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Net change in accrued interest receivable, payable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(3,185)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change in other accrued income and expense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57,884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Net change in loans originated for sale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122,406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Net change in trading account assets and liabilities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60" w:type="dxa"/>
            <w:vAlign w:val="bottom"/>
          </w:tcPr>
          <w:p>
            <w:pPr>
              <w:ind w:left="94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561,098</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698,398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Cash flows from</w:t>
            </w:r>
          </w:p>
        </w:tc>
        <w:tc>
          <w:tcPr>
            <w:tcW w:w="6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Proceeds from sales of investment securities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65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58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investment securities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580"/>
              <w:spacing w:after="0"/>
              <w:rPr>
                <w:sz w:val="20"/>
                <w:szCs w:val="20"/>
                <w:color w:val="auto"/>
              </w:rPr>
            </w:pPr>
            <w:r>
              <w:rPr>
                <w:rFonts w:ascii="Arial" w:cs="Arial" w:eastAsia="Arial" w:hAnsi="Arial"/>
                <w:sz w:val="18"/>
                <w:szCs w:val="18"/>
                <w:color w:val="auto"/>
              </w:rPr>
              <w:t>Available for sale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166,324</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353,305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Held to maturity</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92,305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Purchases of investment securities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Available for sale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(1,709,847)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580"/>
              <w:spacing w:after="0"/>
              <w:rPr>
                <w:sz w:val="20"/>
                <w:szCs w:val="20"/>
                <w:color w:val="auto"/>
              </w:rPr>
            </w:pPr>
            <w:r>
              <w:rPr>
                <w:rFonts w:ascii="Arial" w:cs="Arial" w:eastAsia="Arial" w:hAnsi="Arial"/>
                <w:sz w:val="18"/>
                <w:szCs w:val="18"/>
                <w:color w:val="auto"/>
              </w:rPr>
              <w:t>Held to maturity</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(3,238)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Net (increase) decrease in loans and leases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(220,551)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interest-bearing deposits at banks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(1,648,047)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(1,174,825)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Capital expenditures,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(16,725)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loan servicing advances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(122,910)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21,763</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Net cash used by investing activities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(3,441,038)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(371,773)</w:t>
            </w:r>
          </w:p>
        </w:tc>
        <w:tc>
          <w:tcPr>
            <w:tcW w:w="0" w:type="dxa"/>
            <w:vAlign w:val="bottom"/>
          </w:tcPr>
          <w:p>
            <w:pPr>
              <w:spacing w:after="0"/>
              <w:rPr>
                <w:sz w:val="1"/>
                <w:szCs w:val="1"/>
                <w:color w:val="auto"/>
              </w:rPr>
            </w:pPr>
          </w:p>
        </w:tc>
      </w:tr>
      <w:tr>
        <w:trPr>
          <w:trHeight w:val="209"/>
        </w:trPr>
        <w:tc>
          <w:tcPr>
            <w:tcW w:w="2160" w:type="dxa"/>
            <w:vAlign w:val="bottom"/>
            <w:gridSpan w:val="3"/>
          </w:tcPr>
          <w:p>
            <w:pPr>
              <w:spacing w:after="0"/>
              <w:rPr>
                <w:sz w:val="20"/>
                <w:szCs w:val="20"/>
                <w:color w:val="auto"/>
              </w:rPr>
            </w:pPr>
            <w:r>
              <w:rPr>
                <w:rFonts w:ascii="Arial" w:cs="Arial" w:eastAsia="Arial" w:hAnsi="Arial"/>
                <w:sz w:val="18"/>
                <w:szCs w:val="18"/>
                <w:color w:val="auto"/>
              </w:rPr>
              <w:t>Cash flows from financing</w:t>
            </w:r>
          </w:p>
        </w:tc>
        <w:tc>
          <w:tcPr>
            <w:tcW w:w="6560" w:type="dxa"/>
            <w:vAlign w:val="bottom"/>
          </w:tcPr>
          <w:p>
            <w:pPr>
              <w:ind w:left="220"/>
              <w:spacing w:after="0"/>
              <w:rPr>
                <w:sz w:val="20"/>
                <w:szCs w:val="20"/>
                <w:color w:val="auto"/>
              </w:rPr>
            </w:pPr>
            <w:r>
              <w:rPr>
                <w:rFonts w:ascii="Arial" w:cs="Arial" w:eastAsia="Arial" w:hAnsi="Arial"/>
                <w:sz w:val="18"/>
                <w:szCs w:val="18"/>
                <w:color w:val="auto"/>
              </w:rPr>
              <w:t>Net increase (decrease) in deposits</w:t>
            </w:r>
          </w:p>
        </w:tc>
        <w:tc>
          <w:tcPr>
            <w:tcW w:w="5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activities</w:t>
            </w:r>
          </w:p>
        </w:tc>
        <w:tc>
          <w:tcPr>
            <w:tcW w:w="6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1,581,705</w:t>
            </w:r>
          </w:p>
        </w:tc>
        <w:tc>
          <w:tcPr>
            <w:tcW w:w="3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(519,555)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decrease in short-term borrowings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(30,246)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Proceeds from long-term borrowings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1,498,688</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long-term borrowings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(352,245)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Proceeds from issuance of preferred stock</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346,500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 common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(92,406)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Dividends paid - preferred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(6,080)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24,208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60" w:type="dxa"/>
            <w:vAlign w:val="bottom"/>
          </w:tcPr>
          <w:p>
            <w:pPr>
              <w:ind w:left="580"/>
              <w:spacing w:after="0"/>
              <w:rPr>
                <w:sz w:val="20"/>
                <w:szCs w:val="20"/>
                <w:color w:val="auto"/>
              </w:rPr>
            </w:pPr>
            <w:r>
              <w:rPr>
                <w:rFonts w:ascii="Arial" w:cs="Arial" w:eastAsia="Arial" w:hAnsi="Arial"/>
                <w:sz w:val="18"/>
                <w:szCs w:val="18"/>
                <w:color w:val="auto"/>
              </w:rPr>
              <w:t>Net cash provided (used) by financing activities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2,970,124</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90,184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1,672,934</w:t>
            </w:r>
          </w:p>
        </w:tc>
        <w:tc>
          <w:tcPr>
            <w:tcW w:w="3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1,986,615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1,763,118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1,826,067</w:t>
            </w:r>
          </w:p>
        </w:tc>
        <w:tc>
          <w:tcPr>
            <w:tcW w:w="0" w:type="dxa"/>
            <w:vAlign w:val="bottom"/>
          </w:tcPr>
          <w:p>
            <w:pPr>
              <w:spacing w:after="0"/>
              <w:rPr>
                <w:sz w:val="1"/>
                <w:szCs w:val="1"/>
                <w:color w:val="auto"/>
              </w:rPr>
            </w:pPr>
          </w:p>
        </w:tc>
      </w:tr>
      <w:tr>
        <w:trPr>
          <w:trHeight w:val="20"/>
        </w:trPr>
        <w:tc>
          <w:tcPr>
            <w:tcW w:w="2160" w:type="dxa"/>
            <w:vAlign w:val="bottom"/>
            <w:gridSpan w:val="3"/>
            <w:vMerge w:val="restart"/>
          </w:tcPr>
          <w:p>
            <w:pPr>
              <w:spacing w:after="0"/>
              <w:rPr>
                <w:sz w:val="20"/>
                <w:szCs w:val="20"/>
                <w:color w:val="auto"/>
              </w:rPr>
            </w:pPr>
            <w:r>
              <w:rPr>
                <w:rFonts w:ascii="Arial" w:cs="Arial" w:eastAsia="Arial" w:hAnsi="Arial"/>
                <w:sz w:val="18"/>
                <w:szCs w:val="18"/>
                <w:color w:val="auto"/>
                <w:w w:val="99"/>
              </w:rPr>
              <w:t>Supplemental disclosure of</w:t>
            </w:r>
          </w:p>
        </w:tc>
        <w:tc>
          <w:tcPr>
            <w:tcW w:w="6560" w:type="dxa"/>
            <w:vAlign w:val="bottom"/>
            <w:vMerge w:val="restart"/>
          </w:tcPr>
          <w:p>
            <w:pPr>
              <w:ind w:left="220"/>
              <w:spacing w:after="0"/>
              <w:rPr>
                <w:sz w:val="20"/>
                <w:szCs w:val="20"/>
                <w:color w:val="auto"/>
              </w:rPr>
            </w:pPr>
            <w:r>
              <w:rPr>
                <w:rFonts w:ascii="Arial" w:cs="Arial" w:eastAsia="Arial" w:hAnsi="Arial"/>
                <w:sz w:val="18"/>
                <w:szCs w:val="18"/>
                <w:color w:val="auto"/>
              </w:rPr>
              <w:t>Interest received during the period</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gridSpan w:val="3"/>
            <w:vMerge w:val="continue"/>
          </w:tcPr>
          <w:p>
            <w:pPr>
              <w:spacing w:after="0"/>
              <w:rPr>
                <w:sz w:val="17"/>
                <w:szCs w:val="17"/>
                <w:color w:val="auto"/>
              </w:rPr>
            </w:pPr>
          </w:p>
        </w:tc>
        <w:tc>
          <w:tcPr>
            <w:tcW w:w="656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695,653</w:t>
            </w:r>
          </w:p>
        </w:tc>
        <w:tc>
          <w:tcPr>
            <w:tcW w:w="320" w:type="dxa"/>
            <w:vAlign w:val="bottom"/>
          </w:tcPr>
          <w:p>
            <w:pPr>
              <w:spacing w:after="0"/>
              <w:rPr>
                <w:sz w:val="17"/>
                <w:szCs w:val="17"/>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718,296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tcPr>
          <w:p>
            <w:pPr>
              <w:ind w:left="160"/>
              <w:spacing w:after="0"/>
              <w:rPr>
                <w:sz w:val="20"/>
                <w:szCs w:val="20"/>
                <w:color w:val="auto"/>
              </w:rPr>
            </w:pPr>
            <w:r>
              <w:rPr>
                <w:rFonts w:ascii="Arial" w:cs="Arial" w:eastAsia="Arial" w:hAnsi="Arial"/>
                <w:sz w:val="18"/>
                <w:szCs w:val="18"/>
                <w:color w:val="auto"/>
              </w:rPr>
              <w:t>cash flow information</w:t>
            </w:r>
          </w:p>
        </w:tc>
        <w:tc>
          <w:tcPr>
            <w:tcW w:w="6560" w:type="dxa"/>
            <w:vAlign w:val="bottom"/>
          </w:tcPr>
          <w:p>
            <w:pPr>
              <w:ind w:left="2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61,841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72,106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Income taxes paid during the period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4,789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Supplemental schedule of</w:t>
            </w:r>
          </w:p>
        </w:tc>
        <w:tc>
          <w:tcPr>
            <w:tcW w:w="6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Securitization of residential mortgage loans allocated to</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noncash investing and</w:t>
            </w:r>
          </w:p>
        </w:tc>
        <w:tc>
          <w:tcPr>
            <w:tcW w:w="6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Available-for-sale investment securities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29,785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 activities</w:t>
            </w:r>
          </w:p>
        </w:tc>
        <w:tc>
          <w:tcPr>
            <w:tcW w:w="65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Capitalized servicing rights</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Real estate acquired in settlement of loans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8,886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560" w:type="dxa"/>
            <w:vAlign w:val="bottom"/>
          </w:tcPr>
          <w:p>
            <w:pPr>
              <w:ind w:left="3400"/>
              <w:spacing w:after="0"/>
              <w:rPr>
                <w:sz w:val="20"/>
                <w:szCs w:val="20"/>
                <w:color w:val="auto"/>
              </w:rPr>
            </w:pPr>
            <w:r>
              <w:rPr>
                <w:rFonts w:ascii="Arial" w:cs="Arial" w:eastAsia="Arial" w:hAnsi="Arial"/>
                <w:sz w:val="18"/>
                <w:szCs w:val="18"/>
                <w:color w:val="auto"/>
              </w:rPr>
              <w:t>- 6 -</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Accumulated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Common</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Preferred</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stock</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paid-in</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Retained</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income</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stock</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stock</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issuable</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capital</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earnings</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(loss), net</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17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2013</w:t>
            </w:r>
          </w:p>
        </w:tc>
        <w:tc>
          <w:tcPr>
            <w:tcW w:w="3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Balance - January 1, 2013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872,500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64,088</w:t>
            </w:r>
          </w:p>
        </w:tc>
        <w:tc>
          <w:tcPr>
            <w:tcW w:w="540" w:type="dxa"/>
            <w:vAlign w:val="bottom"/>
          </w:tcPr>
          <w:p>
            <w:pPr>
              <w:jc w:val="right"/>
              <w:spacing w:after="0"/>
              <w:rPr>
                <w:sz w:val="20"/>
                <w:szCs w:val="20"/>
                <w:color w:val="auto"/>
              </w:rPr>
            </w:pPr>
            <w:r>
              <w:rPr>
                <w:rFonts w:ascii="Arial" w:cs="Arial" w:eastAsia="Arial" w:hAnsi="Arial"/>
                <w:sz w:val="18"/>
                <w:szCs w:val="18"/>
                <w:color w:val="auto"/>
              </w:rPr>
              <w:t>3,473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3,025,520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6,477,276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(240,264)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10,202,593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274,113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14,311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288,424</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(13,363)</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2,127</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gridSpan w:val="2"/>
          </w:tcPr>
          <w:p>
            <w:pPr>
              <w:spacing w:after="0" w:line="201" w:lineRule="exact"/>
              <w:rPr>
                <w:sz w:val="20"/>
                <w:szCs w:val="20"/>
                <w:color w:val="auto"/>
              </w:rPr>
            </w:pPr>
            <w:r>
              <w:rPr>
                <w:rFonts w:ascii="Arial" w:cs="Arial" w:eastAsia="Arial" w:hAnsi="Arial"/>
                <w:sz w:val="18"/>
                <w:szCs w:val="18"/>
                <w:color w:val="auto"/>
                <w:w w:val="92"/>
              </w:rPr>
              <w:t>Exercise of 407,542 Series C stock warrants into 186,589 shares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of common stock</w:t>
            </w:r>
          </w:p>
        </w:tc>
        <w:tc>
          <w:tcPr>
            <w:tcW w:w="100" w:type="dxa"/>
            <w:vAlign w:val="bottom"/>
          </w:tcPr>
          <w:p>
            <w:pPr>
              <w:spacing w:after="0"/>
              <w:rPr>
                <w:sz w:val="20"/>
                <w:szCs w:val="20"/>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0"/>
                <w:szCs w:val="20"/>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Compensation expense, net</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12,911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Exercises of stock options,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21,570</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Directors’ stock plan</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(90,672)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(90,672)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Balance - March 31, 2013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874,627</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64,476</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3,061,783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6,645,195</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(225,953)</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10,422,957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Balance - January 1,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881,500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65,258</w:t>
            </w:r>
          </w:p>
        </w:tc>
        <w:tc>
          <w:tcPr>
            <w:tcW w:w="540" w:type="dxa"/>
            <w:vAlign w:val="bottom"/>
          </w:tcPr>
          <w:p>
            <w:pPr>
              <w:jc w:val="right"/>
              <w:spacing w:after="0"/>
              <w:rPr>
                <w:sz w:val="20"/>
                <w:szCs w:val="20"/>
                <w:color w:val="auto"/>
              </w:rPr>
            </w:pPr>
            <w:r>
              <w:rPr>
                <w:rFonts w:ascii="Arial" w:cs="Arial" w:eastAsia="Arial" w:hAnsi="Arial"/>
                <w:sz w:val="18"/>
                <w:szCs w:val="18"/>
                <w:color w:val="auto"/>
              </w:rPr>
              <w:t>2,915</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3,232,014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7,188,004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(64,159)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11,305,532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229,017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38,898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267,915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(14,674)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(14,674)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Series E preferred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346,500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14,122</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Exercises of stock options, net</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49,228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49,494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 purchase plan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Directors’ stock plan</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2"/>
        </w:trPr>
        <w:tc>
          <w:tcPr>
            <w:tcW w:w="48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compensation plans, net, including dividend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8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$.70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(92,406)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(92,406)</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Balance - March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1,231,500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65,694</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3,302,402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7,309,912</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(25,261)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11,886,863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ind w:left="640"/>
              <w:spacing w:after="0"/>
              <w:rPr>
                <w:sz w:val="20"/>
                <w:szCs w:val="20"/>
                <w:color w:val="auto"/>
              </w:rPr>
            </w:pPr>
            <w:r>
              <w:rPr>
                <w:rFonts w:ascii="Arial" w:cs="Arial" w:eastAsia="Arial" w:hAnsi="Arial"/>
                <w:sz w:val="18"/>
                <w:szCs w:val="18"/>
                <w:color w:val="auto"/>
              </w:rPr>
              <w:t>- 7 -</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2013 Annual Report. In the opinion of management, all adjustments necessary for a fair presentation have been made and were all of a normal recurring nature.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21"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will be acquired by M&amp;T. Pursuant to the terms of the agreement, Hudson City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As of March 31, 2014 total consideration to be paid was valued at approximately $5.2 billion.</w:t>
      </w:r>
    </w:p>
    <w:p>
      <w:pPr>
        <w:spacing w:after="0" w:line="193"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At March 31, 2014, Hudson City had $38.2 billion of assets, including $23.8 billion of loans and $8.5 billion of investment securities, and $33.4 billion of liabilities, including $21.1 billion of deposits. The merger has received the approval of the common shareholders of M&amp;T and Hudson City. However, the merger is subject to a number of other conditions, including regulatory approvals.</w:t>
      </w:r>
    </w:p>
    <w:p>
      <w:pPr>
        <w:spacing w:after="0" w:line="18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On June 17, 2013, M&amp;T and Manufacturers and Traders Trust Company (“M&amp;T Bank”), M&amp;T’s principal banking subsidiary, entered into a written agreement with the Federal Reserve Bank of New York (“Federal Reserve Bank”). Under the terms of the agreement, M&amp;T and M&amp;T Bank are required to submit to the Federal Reserve Bank a revised compliance risk management program designed to ensure compliance with the Bank Secrecy Act and anti-money-laundering laws and regulations and to take certain other steps to enhance their compliance practices. The Company has commenced a major initiative, including the hiring of outside consulting firms, intended to fully address the Federal Reserve Bank’s concerns. In view of the timeframe required to implement this initiative, demonstrate its efficacy to the satisfaction of the Federal Reserve Bank and otherwise meet any other regulatory requirements that may be imposed in connection with these matters, M&amp;T and Hudson City extended the date after which either party may elect to terminate the merger agreement if the merger has not yet been completed to December 31, 2014. Nevertheless, there can be no assurances that the merger will be completed by that date.</w:t>
      </w:r>
    </w:p>
    <w:p>
      <w:pPr>
        <w:spacing w:after="0" w:line="19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connection with the pending acquisition, the Company incurred merger-related expenses related to preparing for systems conversions and other costs of integrating and conforming acquired operations with and into the Company. Those expenses consisted largely of professional services and other temporary help fees associated with planning for the conversion of systems and/or integration of operations; initial marketing and promotion expenses designed to introduce M&amp;T Bank to its new customers; travel costs; and printing, postage, supplies and other costs of planning for the transaction and commencing operations in new markets and offices.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continued</w:t>
      </w:r>
    </w:p>
    <w:p>
      <w:pPr>
        <w:spacing w:after="0" w:line="162" w:lineRule="exact"/>
        <w:rPr>
          <w:sz w:val="20"/>
          <w:szCs w:val="20"/>
          <w:color w:val="auto"/>
        </w:rPr>
      </w:pPr>
    </w:p>
    <w:p>
      <w:pPr>
        <w:jc w:val="both"/>
        <w:ind w:right="320" w:firstLine="913"/>
        <w:spacing w:after="0" w:line="342" w:lineRule="auto"/>
        <w:rPr>
          <w:sz w:val="20"/>
          <w:szCs w:val="20"/>
          <w:color w:val="auto"/>
        </w:rPr>
      </w:pPr>
      <w:r>
        <w:rPr>
          <w:rFonts w:ascii="Arial" w:cs="Arial" w:eastAsia="Arial" w:hAnsi="Arial"/>
          <w:sz w:val="16"/>
          <w:szCs w:val="16"/>
          <w:color w:val="auto"/>
        </w:rPr>
        <w:t>A summary of merger-related expenses in the first quarter of 2013 associated with the pending Hudson City acquisition included in the consolidated statement of income is presented below. There were no merger-related expenses during the three-month period ended March 31, 2014.</w:t>
      </w:r>
    </w:p>
    <w:p>
      <w:pPr>
        <w:sectPr>
          <w:pgSz w:w="11900" w:h="16838" w:orient="portrait"/>
          <w:cols w:equalWidth="0" w:num="1">
            <w:col w:w="10960"/>
          </w:cols>
          <w:pgMar w:left="24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Salaries and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6"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Equipment and net occupancy</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Printing, postage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-116205</wp:posOffset>
            </wp:positionV>
            <wp:extent cx="49225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 cost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22860</wp:posOffset>
            </wp:positionV>
            <wp:extent cx="49225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460"/>
        <w:spacing w:after="0"/>
        <w:rPr>
          <w:sz w:val="20"/>
          <w:szCs w:val="20"/>
          <w:color w:val="auto"/>
        </w:rPr>
      </w:pPr>
      <w:r>
        <w:rPr>
          <w:rFonts w:ascii="Arial" w:cs="Arial" w:eastAsia="Arial" w:hAnsi="Arial"/>
          <w:sz w:val="12"/>
          <w:szCs w:val="12"/>
          <w:color w:val="auto"/>
        </w:rPr>
        <w:t>Three months ended</w:t>
      </w:r>
    </w:p>
    <w:p>
      <w:pPr>
        <w:spacing w:after="0" w:line="23" w:lineRule="exact"/>
        <w:rPr>
          <w:sz w:val="20"/>
          <w:szCs w:val="20"/>
          <w:color w:val="auto"/>
        </w:rPr>
      </w:pPr>
    </w:p>
    <w:p>
      <w:pPr>
        <w:jc w:val="center"/>
        <w:ind w:right="1460"/>
        <w:spacing w:after="0"/>
        <w:rPr>
          <w:sz w:val="20"/>
          <w:szCs w:val="20"/>
          <w:color w:val="auto"/>
        </w:rPr>
      </w:pPr>
      <w:r>
        <w:rPr>
          <w:rFonts w:ascii="Arial" w:cs="Arial" w:eastAsia="Arial" w:hAnsi="Arial"/>
          <w:sz w:val="14"/>
          <w:szCs w:val="14"/>
          <w:color w:val="auto"/>
        </w:rPr>
        <w:t>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46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180"/>
        <w:spacing w:after="0" w:line="235" w:lineRule="auto"/>
        <w:rPr>
          <w:sz w:val="20"/>
          <w:szCs w:val="20"/>
          <w:color w:val="auto"/>
        </w:rPr>
      </w:pPr>
      <w:r>
        <w:rPr>
          <w:rFonts w:ascii="Arial" w:cs="Arial" w:eastAsia="Arial" w:hAnsi="Arial"/>
          <w:sz w:val="14"/>
          <w:szCs w:val="14"/>
          <w:color w:val="auto"/>
        </w:rPr>
        <w:t>(in thousands)</w:t>
      </w:r>
    </w:p>
    <w:p>
      <w:pPr>
        <w:ind w:left="900" w:hanging="89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536</w:t>
      </w:r>
    </w:p>
    <w:p>
      <w:pPr>
        <w:spacing w:after="0" w:line="30"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201</w:t>
      </w:r>
    </w:p>
    <w:p>
      <w:pPr>
        <w:spacing w:after="0" w:line="32"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6"/>
          <w:szCs w:val="16"/>
          <w:color w:val="auto"/>
        </w:rPr>
        <w:t>827</w:t>
      </w:r>
    </w:p>
    <w:p>
      <w:pPr>
        <w:spacing w:after="0" w:line="32"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3,168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 w:lineRule="exact"/>
        <w:rPr>
          <w:sz w:val="20"/>
          <w:szCs w:val="20"/>
          <w:color w:val="auto"/>
        </w:rPr>
      </w:pPr>
    </w:p>
    <w:p>
      <w:pPr>
        <w:ind w:left="780" w:hanging="779"/>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4,732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746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53975</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0" w:space="720"/>
            <w:col w:w="2640"/>
          </w:cols>
          <w:pgMar w:left="240" w:top="459" w:right="69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Gross</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Amortized</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unrealized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Estimated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color w:val="auto"/>
              </w:rPr>
              <w:t>cost</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gains</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42,415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10,148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306</w:t>
            </w: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5,722,948</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85,193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7,050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5,801,091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235</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466</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38,451</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23,623</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138,197</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Equity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89,669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63,431</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152,737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6,042,063</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175,169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6,191,571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162,894</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3,486,786</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26,847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3,475,915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215,649</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51,434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8,656</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3,873,985</w:t>
            </w: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30,127</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89,346</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3,814,766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298,693</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298,693</w:t>
            </w: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10,214,741</w:t>
            </w:r>
          </w:p>
        </w:tc>
        <w:tc>
          <w:tcPr>
            <w:tcW w:w="4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205,296</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115,007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10,305,030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60" w:type="dxa"/>
            <w:vAlign w:val="bottom"/>
            <w:vMerge w:val="restart"/>
          </w:tcPr>
          <w:p>
            <w:pPr>
              <w:jc w:val="right"/>
              <w:ind w:right="610"/>
              <w:spacing w:after="0"/>
              <w:rPr>
                <w:sz w:val="20"/>
                <w:szCs w:val="20"/>
                <w:color w:val="auto"/>
              </w:rPr>
            </w:pPr>
            <w:r>
              <w:rPr>
                <w:rFonts w:ascii="Arial" w:cs="Arial" w:eastAsia="Arial" w:hAnsi="Arial"/>
                <w:sz w:val="18"/>
                <w:szCs w:val="18"/>
                <w:color w:val="auto"/>
              </w:rPr>
              <w:t>- 9 -</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Gross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color w:val="auto"/>
                <w:w w:val="95"/>
              </w:rPr>
              <w:t>Amortized</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unrealized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Estimated</w:t>
            </w:r>
          </w:p>
        </w:tc>
      </w:t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cost</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color w:val="auto"/>
                <w:w w:val="89"/>
              </w:rPr>
              <w:t>gains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fair value</w:t>
            </w: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37,396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37,776</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10,484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333</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4,123,435</w:t>
            </w: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61,001</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19,350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4,165,086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10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42,274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21,666</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63,083</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137,828</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1,722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120,085</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91,480</w:t>
            </w:r>
          </w:p>
        </w:tc>
        <w:tc>
          <w:tcPr>
            <w:tcW w:w="38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41,842</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133,095</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4,444,365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127,333</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4,531,786</w:t>
            </w:r>
          </w:p>
        </w:tc>
        <w:tc>
          <w:tcPr>
            <w:tcW w:w="10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169,684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173,293</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3,567,905</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16,160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3,518,916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219,628</w:t>
            </w:r>
          </w:p>
        </w:tc>
        <w:tc>
          <w:tcPr>
            <w:tcW w:w="360" w:type="dxa"/>
            <w:vAlign w:val="bottom"/>
          </w:tcPr>
          <w:p>
            <w:pPr>
              <w:spacing w:after="0"/>
              <w:rPr>
                <w:sz w:val="18"/>
                <w:szCs w:val="18"/>
                <w:color w:val="auto"/>
              </w:rPr>
            </w:pPr>
          </w:p>
        </w:tc>
        <w:tc>
          <w:tcPr>
            <w:tcW w:w="10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60,623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159,005</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8,913</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8,913</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3,966,130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19,904</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125,907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3,860,127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298,581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298,581</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8,709,076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147,237</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165,819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8,690,494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There were no gross realized gains or losses from sales of investment securities for the quarters ended March 31, 2014 and 2013. The Company recognized $10 million of pre-tax other-than-temporary impairment (“OTTI”) losses during the quarter ended March 31, 2013 related to privately issued mortgage-backed securities. The impairment charges were recognized in light of deterioration of real estate values and a rise in delinquencies and charge-offs of underlying mortgage loans collateralizing those securities. The OTTI losses represented management’s estimate of credit losses inherent in the debt securities considering projected cash flows using assumptions for delinquency rates, loss severities, and other estimates of future collateral performance. There were no OTTI losses during the first quarter of 2014.</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Changes in credit losses associated with debt securities for which OTTI losses have been recognized in earnings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follows:</w:t>
      </w:r>
    </w:p>
    <w:p>
      <w:pPr>
        <w:spacing w:after="0" w:line="2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4"/>
                <w:szCs w:val="14"/>
                <w:color w:val="auto"/>
                <w:w w:val="91"/>
              </w:rPr>
              <w:t>Three months ended</w:t>
            </w:r>
          </w:p>
        </w:tc>
      </w:tr>
      <w:tr>
        <w:trPr>
          <w:trHeight w:val="167"/>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March 31, 2013</w:t>
            </w: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right="36"/>
              <w:spacing w:after="0" w:line="142" w:lineRule="exact"/>
              <w:rPr>
                <w:sz w:val="20"/>
                <w:szCs w:val="20"/>
                <w:color w:val="auto"/>
              </w:rPr>
            </w:pPr>
            <w:r>
              <w:rPr>
                <w:rFonts w:ascii="Arial" w:cs="Arial" w:eastAsia="Arial" w:hAnsi="Arial"/>
                <w:sz w:val="14"/>
                <w:szCs w:val="14"/>
                <w:color w:val="auto"/>
                <w:w w:val="92"/>
              </w:rPr>
              <w:t>(in thousands)</w:t>
            </w:r>
          </w:p>
        </w:tc>
        <w:tc>
          <w:tcPr>
            <w:tcW w:w="12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197,809</w:t>
            </w:r>
          </w:p>
        </w:tc>
        <w:tc>
          <w:tcPr>
            <w:tcW w:w="1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Additions for credit losses not previously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realized losses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(20,495)</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187,114</w:t>
            </w:r>
          </w:p>
        </w:tc>
        <w:tc>
          <w:tcPr>
            <w:tcW w:w="12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600" w:right="560"/>
        <w:spacing w:after="0" w:line="449" w:lineRule="auto"/>
        <w:rPr>
          <w:sz w:val="20"/>
          <w:szCs w:val="20"/>
          <w:color w:val="auto"/>
        </w:rPr>
      </w:pPr>
      <w:r>
        <w:rPr>
          <w:rFonts w:ascii="Arial" w:cs="Arial" w:eastAsia="Arial" w:hAnsi="Arial"/>
          <w:sz w:val="18"/>
          <w:szCs w:val="18"/>
          <w:color w:val="auto"/>
        </w:rPr>
        <w:t>There were no significant credit losses associated with debt securities held by the Company as of March 31, 2014 or December 31, 2013. - 10 -</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March 31, 2014, the amortized cost and estimated fair value of debt securities by contractual maturity were as follows: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3"/>
              <w:spacing w:after="0"/>
              <w:rPr>
                <w:sz w:val="20"/>
                <w:szCs w:val="20"/>
                <w:color w:val="auto"/>
              </w:rPr>
            </w:pPr>
            <w:r>
              <w:rPr>
                <w:rFonts w:ascii="Arial" w:cs="Arial" w:eastAsia="Arial" w:hAnsi="Arial"/>
                <w:sz w:val="14"/>
                <w:szCs w:val="14"/>
                <w:color w:val="auto"/>
                <w:w w:val="95"/>
              </w:rPr>
              <w:t>Amortized</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37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color w:val="auto"/>
              </w:rPr>
              <w:t>cost</w:t>
            </w:r>
          </w:p>
        </w:tc>
        <w:tc>
          <w:tcPr>
            <w:tcW w:w="4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3"/>
          </w:tcPr>
          <w:p>
            <w:pPr>
              <w:jc w:val="right"/>
              <w:ind w:right="53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9,830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229,211</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5,723,183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5,801,787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5,952,394</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6,038,834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171,550</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3,702,435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3,640,130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3,873,985</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3,814,766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840" w:type="dxa"/>
            <w:vAlign w:val="bottom"/>
            <w:vMerge w:val="restart"/>
          </w:tcPr>
          <w:p>
            <w:pPr>
              <w:jc w:val="right"/>
              <w:ind w:right="1930"/>
              <w:spacing w:after="0"/>
              <w:rPr>
                <w:sz w:val="20"/>
                <w:szCs w:val="20"/>
                <w:color w:val="auto"/>
              </w:rPr>
            </w:pPr>
            <w:r>
              <w:rPr>
                <w:rFonts w:ascii="Arial" w:cs="Arial" w:eastAsia="Arial" w:hAnsi="Arial"/>
                <w:sz w:val="18"/>
                <w:szCs w:val="18"/>
                <w:color w:val="auto"/>
              </w:rPr>
              <w:t>- 11 -</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 summary of investment securities that as of March 31, 2014 and December 31, 2013 had been in a continuous unrealized loss position for less than twelve months and those that had been in a continuous unrealized loss position for twelve months or longer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4"/>
                <w:szCs w:val="14"/>
                <w:color w:val="auto"/>
              </w:rPr>
              <w:t>Less than 12 months</w:t>
            </w:r>
          </w:p>
        </w:tc>
        <w:tc>
          <w:tcPr>
            <w:tcW w:w="1780" w:type="dxa"/>
            <w:vAlign w:val="bottom"/>
            <w:gridSpan w:val="4"/>
          </w:tcPr>
          <w:p>
            <w:pPr>
              <w:jc w:val="right"/>
              <w:ind w:right="32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68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40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Fair</w:t>
            </w:r>
          </w:p>
        </w:tc>
        <w:tc>
          <w:tcPr>
            <w:tcW w:w="6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color w:val="auto"/>
              </w:rPr>
              <w:t>value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color w:val="auto"/>
              </w:rPr>
              <w:t>losses</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rPr>
              <w:t>value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29,346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1,930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1,725,859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(6,919)</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5,215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6,097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105,418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2,307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1,760,369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(7,419)</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117,260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17,490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1,715,149</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(37,718)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164,215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1,732,639</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(37,873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166,873</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3,493,008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(45,292)</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284,133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(69,715)</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745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1,697,094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(19,225)</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5,815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1,428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103,602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1,699,426</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116,330</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13,517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1,558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issued or guaranteed</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2,629,950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(65,149)</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Privately issued</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159,005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2,643,467</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(65,269</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160,563</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4,342,893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(84,727)</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276,893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40" w:type="dxa"/>
            <w:vAlign w:val="bottom"/>
            <w:vMerge w:val="restart"/>
          </w:tcPr>
          <w:p>
            <w:pPr>
              <w:jc w:val="right"/>
              <w:ind w:right="930"/>
              <w:spacing w:after="0"/>
              <w:rPr>
                <w:sz w:val="20"/>
                <w:szCs w:val="20"/>
                <w:color w:val="auto"/>
              </w:rPr>
            </w:pPr>
            <w:r>
              <w:rPr>
                <w:rFonts w:ascii="Arial" w:cs="Arial" w:eastAsia="Arial" w:hAnsi="Arial"/>
                <w:sz w:val="18"/>
                <w:szCs w:val="18"/>
                <w:color w:val="auto"/>
              </w:rPr>
              <w:t>- 12 -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 continued</w:t>
      </w:r>
    </w:p>
    <w:p>
      <w:pPr>
        <w:spacing w:after="0" w:line="162"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Company owned 392 individual investment securities with aggregate gross unrealized losses of $115 million at March 31, 2014. Based on a review of each of the securities in the investment securities portfolio at March 31, 2014, the Company concluded that it expected to recover the amortized cost basis of its investment. As of March 31, 2014, the Company does not intend to sell nor is it anticipated that it would be required to sell any of its impaired investment securities at a loss. At March 31, 2014, the Company has not identified events or changes in circumstances which may have a significant adverse effect on the fair value of the $299 million of cost method investment securities.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were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tcPr>
          <w:p>
            <w:pPr>
              <w:jc w:val="right"/>
              <w:ind w:right="42"/>
              <w:spacing w:after="0"/>
              <w:rPr>
                <w:sz w:val="20"/>
                <w:szCs w:val="20"/>
                <w:color w:val="auto"/>
              </w:rPr>
            </w:pPr>
            <w:r>
              <w:rPr>
                <w:rFonts w:ascii="Arial" w:cs="Arial" w:eastAsia="Arial" w:hAnsi="Arial"/>
                <w:sz w:val="14"/>
                <w:szCs w:val="14"/>
                <w:color w:val="auto"/>
              </w:rPr>
              <w:t>March 31,</w:t>
            </w:r>
          </w:p>
        </w:tc>
        <w:tc>
          <w:tcPr>
            <w:tcW w:w="1340" w:type="dxa"/>
            <w:vAlign w:val="bottom"/>
            <w:gridSpan w:val="3"/>
          </w:tcPr>
          <w:p>
            <w:pPr>
              <w:ind w:left="420"/>
              <w:spacing w:after="0"/>
              <w:rPr>
                <w:sz w:val="20"/>
                <w:szCs w:val="20"/>
                <w:color w:val="auto"/>
              </w:rPr>
            </w:pPr>
            <w:r>
              <w:rPr>
                <w:rFonts w:ascii="Arial" w:cs="Arial" w:eastAsia="Arial" w:hAnsi="Arial"/>
                <w:sz w:val="14"/>
                <w:szCs w:val="14"/>
                <w:color w:val="auto"/>
              </w:rPr>
              <w:t>December 31,</w:t>
            </w:r>
          </w:p>
        </w:tc>
      </w:tr>
      <w:tr>
        <w:trPr>
          <w:trHeight w:val="167"/>
        </w:trPr>
        <w:tc>
          <w:tcPr>
            <w:tcW w:w="4720" w:type="dxa"/>
            <w:vAlign w:val="bottom"/>
          </w:tcPr>
          <w:p>
            <w:pPr>
              <w:spacing w:after="0"/>
              <w:rPr>
                <w:sz w:val="14"/>
                <w:szCs w:val="14"/>
                <w:color w:val="auto"/>
              </w:rPr>
            </w:pPr>
          </w:p>
        </w:tc>
        <w:tc>
          <w:tcPr>
            <w:tcW w:w="2620" w:type="dxa"/>
            <w:vAlign w:val="bottom"/>
            <w:gridSpan w:val="2"/>
          </w:tcPr>
          <w:p>
            <w:pPr>
              <w:jc w:val="right"/>
              <w:ind w:right="202"/>
              <w:spacing w:after="0"/>
              <w:rPr>
                <w:sz w:val="20"/>
                <w:szCs w:val="20"/>
                <w:color w:val="auto"/>
              </w:rPr>
            </w:pPr>
            <w:r>
              <w:rPr>
                <w:rFonts w:ascii="Arial" w:cs="Arial" w:eastAsia="Arial" w:hAnsi="Arial"/>
                <w:sz w:val="14"/>
                <w:szCs w:val="14"/>
                <w:color w:val="auto"/>
              </w:rPr>
              <w:t>2014</w:t>
            </w:r>
          </w:p>
        </w:tc>
        <w:tc>
          <w:tcPr>
            <w:tcW w:w="1240" w:type="dxa"/>
            <w:vAlign w:val="bottom"/>
            <w:gridSpan w:val="2"/>
          </w:tcPr>
          <w:p>
            <w:pPr>
              <w:jc w:val="right"/>
              <w:ind w:right="17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60" w:type="dxa"/>
            <w:vAlign w:val="bottom"/>
            <w:tcBorders>
              <w:top w:val="single" w:sz="8" w:color="auto"/>
            </w:tcBorders>
            <w:gridSpan w:val="3"/>
          </w:tcPr>
          <w:p>
            <w:pPr>
              <w:jc w:val="right"/>
              <w:ind w:right="53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$4,302,336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4,656,811</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Carrying amount:</w:t>
            </w: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474,612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580,685</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1,412,397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1,541,368</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551,698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576,473</w:t>
            </w:r>
          </w:p>
        </w:tc>
        <w:tc>
          <w:tcPr>
            <w:tcW w:w="100" w:type="dxa"/>
            <w:vAlign w:val="bottom"/>
            <w:shd w:val="clear" w:color="auto" w:fill="CCEEFF"/>
          </w:tcPr>
          <w:p>
            <w:pPr>
              <w:spacing w:after="0"/>
              <w:rPr>
                <w:sz w:val="18"/>
                <w:szCs w:val="18"/>
                <w:color w:val="auto"/>
              </w:rPr>
            </w:pPr>
          </w:p>
        </w:tc>
      </w:tr>
      <w:tr>
        <w:trPr>
          <w:trHeight w:val="223"/>
        </w:trPr>
        <w:tc>
          <w:tcPr>
            <w:tcW w:w="472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1,258,875</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1,308,926</w:t>
            </w:r>
          </w:p>
        </w:tc>
        <w:tc>
          <w:tcPr>
            <w:tcW w:w="100" w:type="dxa"/>
            <w:vAlign w:val="bottom"/>
          </w:tcPr>
          <w:p>
            <w:pPr>
              <w:spacing w:after="0"/>
              <w:rPr>
                <w:sz w:val="19"/>
                <w:szCs w:val="19"/>
                <w:color w:val="auto"/>
              </w:rPr>
            </w:pPr>
          </w:p>
        </w:tc>
      </w:tr>
      <w:tr>
        <w:trPr>
          <w:trHeight w:val="216"/>
        </w:trPr>
        <w:tc>
          <w:tcPr>
            <w:tcW w:w="47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3,697,582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4,007,452</w:t>
            </w:r>
          </w:p>
        </w:tc>
        <w:tc>
          <w:tcPr>
            <w:tcW w:w="100" w:type="dxa"/>
            <w:vAlign w:val="bottom"/>
            <w:shd w:val="clear" w:color="auto" w:fill="CCEEFF"/>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Purchased impaired loans included in the table above totaled $303 million at March 31, 2014 and $331 million at December 31, 2013, representing less than 1% of the Company’s assets as of each date. A summary of changes in the accretable yield for acquired loans for the three months ended March 31, 2014 and 2013 follows: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80" w:type="dxa"/>
            <w:vAlign w:val="bottom"/>
            <w:gridSpan w:val="7"/>
          </w:tcPr>
          <w:p>
            <w:pPr>
              <w:ind w:left="320"/>
              <w:spacing w:after="0"/>
              <w:rPr>
                <w:sz w:val="20"/>
                <w:szCs w:val="20"/>
                <w:color w:val="auto"/>
              </w:rPr>
            </w:pPr>
            <w:r>
              <w:rPr>
                <w:rFonts w:ascii="Arial" w:cs="Arial" w:eastAsia="Arial" w:hAnsi="Arial"/>
                <w:sz w:val="14"/>
                <w:szCs w:val="14"/>
                <w:color w:val="auto"/>
              </w:rPr>
              <w:t>Three months ended March 31, 2014</w:t>
            </w:r>
          </w:p>
        </w:tc>
        <w:tc>
          <w:tcPr>
            <w:tcW w:w="0" w:type="dxa"/>
            <w:vAlign w:val="bottom"/>
          </w:tcPr>
          <w:p>
            <w:pPr>
              <w:spacing w:after="0"/>
              <w:rPr>
                <w:sz w:val="1"/>
                <w:szCs w:val="1"/>
                <w:color w:val="auto"/>
              </w:rPr>
            </w:pPr>
          </w:p>
        </w:tc>
      </w:tr>
      <w:tr>
        <w:trPr>
          <w:trHeight w:val="123"/>
        </w:trPr>
        <w:tc>
          <w:tcPr>
            <w:tcW w:w="40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w w:val="83"/>
              </w:rPr>
              <w:t>Purchased</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Other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impaired</w:t>
            </w:r>
          </w:p>
        </w:tc>
        <w:tc>
          <w:tcPr>
            <w:tcW w:w="2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$37,230</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538,633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575,863</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Interest income</w:t>
            </w:r>
          </w:p>
        </w:tc>
        <w:tc>
          <w:tcPr>
            <w:tcW w:w="3420" w:type="dxa"/>
            <w:vAlign w:val="bottom"/>
            <w:gridSpan w:val="3"/>
          </w:tcPr>
          <w:p>
            <w:pPr>
              <w:jc w:val="right"/>
              <w:ind w:right="160"/>
              <w:spacing w:after="0"/>
              <w:rPr>
                <w:sz w:val="20"/>
                <w:szCs w:val="20"/>
                <w:color w:val="auto"/>
              </w:rPr>
            </w:pPr>
            <w:r>
              <w:rPr>
                <w:rFonts w:ascii="Arial" w:cs="Arial" w:eastAsia="Arial" w:hAnsi="Arial"/>
                <w:sz w:val="18"/>
                <w:szCs w:val="18"/>
                <w:color w:val="auto"/>
              </w:rPr>
              <w:t>(6,328)</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(52,633)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(58,961)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3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 (a)</w:t>
            </w:r>
          </w:p>
        </w:tc>
        <w:tc>
          <w:tcPr>
            <w:tcW w:w="26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(838)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30,939</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485,162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516,101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20" w:type="dxa"/>
            <w:vAlign w:val="bottom"/>
            <w:vMerge w:val="restart"/>
          </w:tcPr>
          <w:p>
            <w:pPr>
              <w:jc w:val="right"/>
              <w:ind w:right="1630"/>
              <w:spacing w:after="0"/>
              <w:rPr>
                <w:sz w:val="20"/>
                <w:szCs w:val="20"/>
                <w:color w:val="auto"/>
              </w:rPr>
            </w:pPr>
            <w:r>
              <w:rPr>
                <w:rFonts w:ascii="Arial" w:cs="Arial" w:eastAsia="Arial" w:hAnsi="Arial"/>
                <w:sz w:val="18"/>
                <w:szCs w:val="18"/>
                <w:color w:val="auto"/>
              </w:rPr>
              <w:t>- 13 -</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8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57"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80" w:type="dxa"/>
            <w:vAlign w:val="bottom"/>
            <w:gridSpan w:val="7"/>
          </w:tcPr>
          <w:p>
            <w:pPr>
              <w:ind w:left="320"/>
              <w:spacing w:after="0"/>
              <w:rPr>
                <w:sz w:val="20"/>
                <w:szCs w:val="20"/>
                <w:color w:val="auto"/>
              </w:rPr>
            </w:pPr>
            <w:r>
              <w:rPr>
                <w:rFonts w:ascii="Arial" w:cs="Arial" w:eastAsia="Arial" w:hAnsi="Arial"/>
                <w:sz w:val="14"/>
                <w:szCs w:val="14"/>
                <w:color w:val="auto"/>
              </w:rPr>
              <w:t>Three months ended March 31, 2013</w:t>
            </w:r>
          </w:p>
        </w:tc>
      </w:tr>
      <w:tr>
        <w:trPr>
          <w:trHeight w:val="123"/>
        </w:trPr>
        <w:tc>
          <w:tcPr>
            <w:tcW w:w="51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w w:val="83"/>
              </w:rPr>
              <w:t>Purchased</w:t>
            </w: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600"/>
              <w:spacing w:after="0" w:line="123" w:lineRule="exact"/>
              <w:rPr>
                <w:sz w:val="20"/>
                <w:szCs w:val="20"/>
                <w:color w:val="auto"/>
              </w:rPr>
            </w:pPr>
            <w:r>
              <w:rPr>
                <w:rFonts w:ascii="Arial" w:cs="Arial" w:eastAsia="Arial" w:hAnsi="Arial"/>
                <w:sz w:val="14"/>
                <w:szCs w:val="14"/>
                <w:color w:val="auto"/>
              </w:rPr>
              <w:t>Other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impaired</w:t>
            </w:r>
          </w:p>
        </w:tc>
        <w:tc>
          <w:tcPr>
            <w:tcW w:w="2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acquired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142"/>
        </w:trPr>
        <w:tc>
          <w:tcPr>
            <w:tcW w:w="5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$42,252</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638,272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680,524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2360" w:type="dxa"/>
            <w:vAlign w:val="bottom"/>
            <w:gridSpan w:val="3"/>
          </w:tcPr>
          <w:p>
            <w:pPr>
              <w:jc w:val="right"/>
              <w:ind w:right="160"/>
              <w:spacing w:after="0"/>
              <w:rPr>
                <w:sz w:val="20"/>
                <w:szCs w:val="20"/>
                <w:color w:val="auto"/>
              </w:rPr>
            </w:pPr>
            <w:r>
              <w:rPr>
                <w:rFonts w:ascii="Arial" w:cs="Arial" w:eastAsia="Arial" w:hAnsi="Arial"/>
                <w:sz w:val="18"/>
                <w:szCs w:val="18"/>
                <w:color w:val="auto"/>
              </w:rPr>
              <w:t>(8,704)</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(61,747)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(70,451)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nonaccretable balance, net</w:t>
            </w:r>
          </w:p>
        </w:tc>
        <w:tc>
          <w:tcPr>
            <w:tcW w:w="2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10,817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10,997</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(a)</w:t>
            </w:r>
          </w:p>
        </w:tc>
        <w:tc>
          <w:tcPr>
            <w:tcW w:w="15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(9,733)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(9,733)</w:t>
            </w:r>
          </w:p>
        </w:tc>
      </w:tr>
      <w:tr>
        <w:trPr>
          <w:trHeight w:val="27"/>
        </w:trPr>
        <w:tc>
          <w:tcPr>
            <w:tcW w:w="5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33,728</w:t>
            </w:r>
          </w:p>
        </w:tc>
        <w:tc>
          <w:tcPr>
            <w:tcW w:w="13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577,609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611,337</w:t>
            </w:r>
          </w:p>
        </w:tc>
      </w:tr>
      <w:tr>
        <w:trPr>
          <w:trHeight w:val="20"/>
        </w:trPr>
        <w:tc>
          <w:tcPr>
            <w:tcW w:w="5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summary of current, past due and nonaccrual loans as of March 31, 2014 and December 31,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2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color w:val="auto"/>
                <w:w w:val="93"/>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3"/>
              </w:rPr>
              <w:t>Days</w:t>
            </w:r>
          </w:p>
        </w:tc>
        <w:tc>
          <w:tcPr>
            <w:tcW w:w="640" w:type="dxa"/>
            <w:vAlign w:val="bottom"/>
            <w:tcBorders>
              <w:top w:val="single" w:sz="8" w:color="auto"/>
            </w:tcBorders>
          </w:tcPr>
          <w:p>
            <w:pPr>
              <w:jc w:val="right"/>
              <w:ind w:right="96"/>
              <w:spacing w:after="0" w:line="123" w:lineRule="exact"/>
              <w:rPr>
                <w:sz w:val="20"/>
                <w:szCs w:val="20"/>
                <w:color w:val="auto"/>
              </w:rPr>
            </w:pPr>
            <w:r>
              <w:rPr>
                <w:rFonts w:ascii="Arial" w:cs="Arial" w:eastAsia="Arial" w:hAnsi="Arial"/>
                <w:sz w:val="14"/>
                <w:szCs w:val="14"/>
                <w:color w:val="auto"/>
              </w:rPr>
              <w:t>Non-</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past due</w:t>
            </w:r>
          </w:p>
        </w:tc>
        <w:tc>
          <w:tcPr>
            <w:tcW w:w="640" w:type="dxa"/>
            <w:vAlign w:val="bottom"/>
          </w:tcPr>
          <w:p>
            <w:pPr>
              <w:jc w:val="right"/>
              <w:spacing w:after="0"/>
              <w:rPr>
                <w:sz w:val="20"/>
                <w:szCs w:val="20"/>
                <w:color w:val="auto"/>
              </w:rPr>
            </w:pPr>
            <w:r>
              <w:rPr>
                <w:rFonts w:ascii="Arial" w:cs="Arial" w:eastAsia="Arial" w:hAnsi="Arial"/>
                <w:sz w:val="14"/>
                <w:szCs w:val="14"/>
                <w:color w:val="auto"/>
              </w:rPr>
              <w:t>acquired</w:t>
            </w:r>
          </w:p>
        </w:tc>
        <w:tc>
          <w:tcPr>
            <w:tcW w:w="2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tcPr>
          <w:p>
            <w:pPr>
              <w:jc w:val="center"/>
              <w:ind w:right="40"/>
              <w:spacing w:after="0" w:line="155"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$18,686,680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43,019</w:t>
            </w:r>
          </w:p>
        </w:tc>
        <w:tc>
          <w:tcPr>
            <w:tcW w:w="640" w:type="dxa"/>
            <w:vAlign w:val="bottom"/>
          </w:tcPr>
          <w:p>
            <w:pPr>
              <w:jc w:val="right"/>
              <w:spacing w:after="0"/>
              <w:rPr>
                <w:sz w:val="20"/>
                <w:szCs w:val="20"/>
                <w:color w:val="auto"/>
              </w:rPr>
            </w:pPr>
            <w:r>
              <w:rPr>
                <w:rFonts w:ascii="Arial" w:cs="Arial" w:eastAsia="Arial" w:hAnsi="Arial"/>
                <w:sz w:val="18"/>
                <w:szCs w:val="18"/>
                <w:color w:val="auto"/>
              </w:rPr>
              <w:t>8,245</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4,295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15,560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138,271</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18,896,070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21,309,518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158,281</w:t>
            </w:r>
          </w:p>
        </w:tc>
        <w:tc>
          <w:tcPr>
            <w:tcW w:w="640" w:type="dxa"/>
            <w:vAlign w:val="bottom"/>
          </w:tcPr>
          <w:p>
            <w:pPr>
              <w:jc w:val="right"/>
              <w:spacing w:after="0"/>
              <w:rPr>
                <w:sz w:val="20"/>
                <w:szCs w:val="20"/>
                <w:color w:val="auto"/>
              </w:rPr>
            </w:pPr>
            <w:r>
              <w:rPr>
                <w:rFonts w:ascii="Arial" w:cs="Arial" w:eastAsia="Arial" w:hAnsi="Arial"/>
                <w:sz w:val="18"/>
                <w:szCs w:val="18"/>
                <w:color w:val="auto"/>
              </w:rPr>
              <w:t>7,870</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33,560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91,312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175,984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21,776,525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1,073,532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3,613</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122,757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89,563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2,915,804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41,861</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2,381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44,175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25,063</w:t>
            </w:r>
          </w:p>
        </w:tc>
        <w:tc>
          <w:tcPr>
            <w:tcW w:w="860" w:type="dxa"/>
            <w:vAlign w:val="bottom"/>
          </w:tcPr>
          <w:p>
            <w:pPr>
              <w:jc w:val="right"/>
              <w:spacing w:after="0"/>
              <w:rPr>
                <w:sz w:val="20"/>
                <w:szCs w:val="20"/>
                <w:color w:val="auto"/>
              </w:rPr>
            </w:pPr>
            <w:r>
              <w:rPr>
                <w:rFonts w:ascii="Arial" w:cs="Arial" w:eastAsia="Arial" w:hAnsi="Arial"/>
                <w:sz w:val="18"/>
                <w:szCs w:val="18"/>
                <w:color w:val="auto"/>
              </w:rPr>
              <w:t>3,029,284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7,530,046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254,376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285,478</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45,733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26,986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259,678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272,463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20,815</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78,520</w:t>
            </w:r>
          </w:p>
        </w:tc>
        <w:tc>
          <w:tcPr>
            <w:tcW w:w="860" w:type="dxa"/>
            <w:vAlign w:val="bottom"/>
          </w:tcPr>
          <w:p>
            <w:pPr>
              <w:jc w:val="right"/>
              <w:spacing w:after="0"/>
              <w:rPr>
                <w:sz w:val="20"/>
                <w:szCs w:val="20"/>
                <w:color w:val="auto"/>
              </w:rPr>
            </w:pPr>
            <w:r>
              <w:rPr>
                <w:rFonts w:ascii="Arial" w:cs="Arial" w:eastAsia="Arial" w:hAnsi="Arial"/>
                <w:sz w:val="18"/>
                <w:szCs w:val="18"/>
                <w:color w:val="auto"/>
              </w:rPr>
              <w:t>371,798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5,914,788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36,440</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26,039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2,598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82,555</w:t>
            </w:r>
          </w:p>
        </w:tc>
        <w:tc>
          <w:tcPr>
            <w:tcW w:w="860" w:type="dxa"/>
            <w:vAlign w:val="bottom"/>
          </w:tcPr>
          <w:p>
            <w:pPr>
              <w:jc w:val="right"/>
              <w:spacing w:after="0"/>
              <w:rPr>
                <w:sz w:val="20"/>
                <w:szCs w:val="20"/>
                <w:color w:val="auto"/>
              </w:rPr>
            </w:pPr>
            <w:r>
              <w:rPr>
                <w:rFonts w:ascii="Arial" w:cs="Arial" w:eastAsia="Arial" w:hAnsi="Arial"/>
                <w:sz w:val="18"/>
                <w:szCs w:val="18"/>
                <w:color w:val="auto"/>
              </w:rPr>
              <w:t>6,062,420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1,454,199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20,441</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2,744,821</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32,087</w:t>
            </w:r>
          </w:p>
        </w:tc>
        <w:tc>
          <w:tcPr>
            <w:tcW w:w="640" w:type="dxa"/>
            <w:vAlign w:val="bottom"/>
          </w:tcPr>
          <w:p>
            <w:pPr>
              <w:jc w:val="right"/>
              <w:spacing w:after="0"/>
              <w:rPr>
                <w:sz w:val="20"/>
                <w:szCs w:val="20"/>
                <w:color w:val="auto"/>
              </w:rPr>
            </w:pPr>
            <w:r>
              <w:rPr>
                <w:rFonts w:ascii="Arial" w:cs="Arial" w:eastAsia="Arial" w:hAnsi="Arial"/>
                <w:sz w:val="18"/>
                <w:szCs w:val="18"/>
                <w:color w:val="auto"/>
              </w:rPr>
              <w:t>5,424</w:t>
            </w:r>
          </w:p>
        </w:tc>
        <w:tc>
          <w:tcPr>
            <w:tcW w:w="2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24,908</w:t>
            </w:r>
          </w:p>
        </w:tc>
        <w:tc>
          <w:tcPr>
            <w:tcW w:w="860" w:type="dxa"/>
            <w:vAlign w:val="bottom"/>
          </w:tcPr>
          <w:p>
            <w:pPr>
              <w:jc w:val="right"/>
              <w:spacing w:after="0"/>
              <w:rPr>
                <w:sz w:val="20"/>
                <w:szCs w:val="20"/>
                <w:color w:val="auto"/>
              </w:rPr>
            </w:pPr>
            <w:r>
              <w:rPr>
                <w:rFonts w:ascii="Arial" w:cs="Arial" w:eastAsia="Arial" w:hAnsi="Arial"/>
                <w:sz w:val="18"/>
                <w:szCs w:val="18"/>
                <w:color w:val="auto"/>
              </w:rPr>
              <w:t>2,807,240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61,901,851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610,933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307,017</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120,996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303,388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890,893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64,135,078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- 14 -</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4"/>
                <w:szCs w:val="14"/>
                <w:color w:val="auto"/>
                <w:w w:val="94"/>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5"/>
          </w:tcPr>
          <w:p>
            <w:pPr>
              <w:jc w:val="center"/>
              <w:ind w:right="220"/>
              <w:spacing w:after="0" w:line="149" w:lineRule="exact"/>
              <w:rPr>
                <w:sz w:val="20"/>
                <w:szCs w:val="20"/>
                <w:color w:val="auto"/>
              </w:rPr>
            </w:pPr>
            <w:r>
              <w:rPr>
                <w:rFonts w:ascii="Arial" w:cs="Arial" w:eastAsia="Arial" w:hAnsi="Arial"/>
                <w:sz w:val="14"/>
                <w:szCs w:val="14"/>
                <w:color w:val="auto"/>
                <w:w w:val="89"/>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4"/>
              </w:rPr>
              <w:t>30-89</w:t>
            </w:r>
          </w:p>
        </w:tc>
        <w:tc>
          <w:tcPr>
            <w:tcW w:w="220" w:type="dxa"/>
            <w:vAlign w:val="bottom"/>
          </w:tcPr>
          <w:p>
            <w:pPr>
              <w:spacing w:after="0"/>
              <w:rPr>
                <w:sz w:val="14"/>
                <w:szCs w:val="14"/>
                <w:color w:val="auto"/>
              </w:rPr>
            </w:pPr>
          </w:p>
        </w:tc>
        <w:tc>
          <w:tcPr>
            <w:tcW w:w="1700" w:type="dxa"/>
            <w:vAlign w:val="bottom"/>
            <w:gridSpan w:val="5"/>
          </w:tcPr>
          <w:p>
            <w:pPr>
              <w:jc w:val="center"/>
              <w:ind w:right="220"/>
              <w:spacing w:after="0"/>
              <w:rPr>
                <w:sz w:val="20"/>
                <w:szCs w:val="20"/>
                <w:color w:val="auto"/>
              </w:rPr>
            </w:pPr>
            <w:r>
              <w:rPr>
                <w:rFonts w:ascii="Arial" w:cs="Arial" w:eastAsia="Arial" w:hAnsi="Arial"/>
                <w:sz w:val="14"/>
                <w:szCs w:val="14"/>
                <w:color w:val="auto"/>
                <w:w w:val="93"/>
              </w:rPr>
              <w:t>due and accruing</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Purchased</w:t>
            </w: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3"/>
              </w:rPr>
              <w:t>Days</w:t>
            </w:r>
          </w:p>
        </w:tc>
        <w:tc>
          <w:tcPr>
            <w:tcW w:w="700" w:type="dxa"/>
            <w:vAlign w:val="bottom"/>
            <w:tcBorders>
              <w:top w:val="single" w:sz="8" w:color="auto"/>
            </w:tcBorders>
            <w:gridSpan w:val="2"/>
          </w:tcPr>
          <w:p>
            <w:pPr>
              <w:ind w:left="160"/>
              <w:spacing w:after="0" w:line="123" w:lineRule="exact"/>
              <w:rPr>
                <w:sz w:val="20"/>
                <w:szCs w:val="20"/>
                <w:color w:val="auto"/>
              </w:rPr>
            </w:pPr>
            <w:r>
              <w:rPr>
                <w:rFonts w:ascii="Arial" w:cs="Arial" w:eastAsia="Arial" w:hAnsi="Arial"/>
                <w:sz w:val="14"/>
                <w:szCs w:val="14"/>
                <w:color w:val="auto"/>
              </w:rPr>
              <w:t>Non-</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Acquired</w:t>
            </w:r>
          </w:p>
        </w:tc>
        <w:tc>
          <w:tcPr>
            <w:tcW w:w="22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6"/>
              </w:rPr>
              <w:t>impaired</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past due</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acquired</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(b)</w:t>
            </w:r>
          </w:p>
        </w:tc>
        <w:tc>
          <w:tcPr>
            <w:tcW w:w="880" w:type="dxa"/>
            <w:vAlign w:val="bottom"/>
            <w:gridSpan w:val="2"/>
          </w:tcPr>
          <w:p>
            <w:pPr>
              <w:spacing w:after="0"/>
              <w:rPr>
                <w:sz w:val="20"/>
                <w:szCs w:val="20"/>
                <w:color w:val="auto"/>
              </w:rPr>
            </w:pPr>
            <w:r>
              <w:rPr>
                <w:rFonts w:ascii="Arial" w:cs="Arial" w:eastAsia="Arial" w:hAnsi="Arial"/>
                <w:sz w:val="14"/>
                <w:szCs w:val="14"/>
                <w:color w:val="auto"/>
              </w:rPr>
              <w:t>Nonaccrual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center"/>
              <w:ind w:right="100"/>
              <w:spacing w:after="0" w:line="155"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$18,489,474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77,538</w:t>
            </w:r>
          </w:p>
        </w:tc>
        <w:tc>
          <w:tcPr>
            <w:tcW w:w="640" w:type="dxa"/>
            <w:vAlign w:val="bottom"/>
          </w:tcPr>
          <w:p>
            <w:pPr>
              <w:jc w:val="right"/>
              <w:spacing w:after="0"/>
              <w:rPr>
                <w:sz w:val="20"/>
                <w:szCs w:val="20"/>
                <w:color w:val="auto"/>
              </w:rPr>
            </w:pPr>
            <w:r>
              <w:rPr>
                <w:rFonts w:ascii="Arial" w:cs="Arial" w:eastAsia="Arial" w:hAnsi="Arial"/>
                <w:sz w:val="18"/>
                <w:szCs w:val="18"/>
                <w:color w:val="auto"/>
              </w:rPr>
              <w:t>4,981</w:t>
            </w:r>
          </w:p>
        </w:tc>
        <w:tc>
          <w:tcPr>
            <w:tcW w:w="6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6,778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15,706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110,739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18,705,216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21,236,071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145,749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63,353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35,603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88,034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173,048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21,741,858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1,025,984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7,930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137,544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96,427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Other commercial construction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2,986,598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42,234</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8,031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57,707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35,268</w:t>
            </w:r>
          </w:p>
        </w:tc>
        <w:tc>
          <w:tcPr>
            <w:tcW w:w="860" w:type="dxa"/>
            <w:vAlign w:val="bottom"/>
          </w:tcPr>
          <w:p>
            <w:pPr>
              <w:jc w:val="right"/>
              <w:spacing w:after="0"/>
              <w:rPr>
                <w:sz w:val="20"/>
                <w:szCs w:val="20"/>
                <w:color w:val="auto"/>
              </w:rPr>
            </w:pPr>
            <w:r>
              <w:rPr>
                <w:rFonts w:ascii="Arial" w:cs="Arial" w:eastAsia="Arial" w:hAnsi="Arial"/>
                <w:sz w:val="18"/>
                <w:szCs w:val="18"/>
                <w:color w:val="auto"/>
              </w:rPr>
              <w:t>3,129,838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7,630,368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295,131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294,649</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43,700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29,184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252,805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Residential Alt-A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283,253</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18,009</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81,122</w:t>
            </w:r>
          </w:p>
        </w:tc>
        <w:tc>
          <w:tcPr>
            <w:tcW w:w="860" w:type="dxa"/>
            <w:vAlign w:val="bottom"/>
          </w:tcPr>
          <w:p>
            <w:pPr>
              <w:jc w:val="right"/>
              <w:spacing w:after="0"/>
              <w:rPr>
                <w:sz w:val="20"/>
                <w:szCs w:val="20"/>
                <w:color w:val="auto"/>
              </w:rPr>
            </w:pPr>
            <w:r>
              <w:rPr>
                <w:rFonts w:ascii="Arial" w:cs="Arial" w:eastAsia="Arial" w:hAnsi="Arial"/>
                <w:sz w:val="18"/>
                <w:szCs w:val="18"/>
                <w:color w:val="auto"/>
              </w:rPr>
              <w:t>382,384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Home equity lines and loans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5,972,365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40,537</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27,754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2,617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78,516</w:t>
            </w:r>
          </w:p>
        </w:tc>
        <w:tc>
          <w:tcPr>
            <w:tcW w:w="860" w:type="dxa"/>
            <w:vAlign w:val="bottom"/>
          </w:tcPr>
          <w:p>
            <w:pPr>
              <w:jc w:val="right"/>
              <w:spacing w:after="0"/>
              <w:rPr>
                <w:sz w:val="20"/>
                <w:szCs w:val="20"/>
                <w:color w:val="auto"/>
              </w:rPr>
            </w:pPr>
            <w:r>
              <w:rPr>
                <w:rFonts w:ascii="Arial" w:cs="Arial" w:eastAsia="Arial" w:hAnsi="Arial"/>
                <w:sz w:val="18"/>
                <w:szCs w:val="18"/>
                <w:color w:val="auto"/>
              </w:rPr>
              <w:t>6,121,789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Automobile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1,314,246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29,144</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Other</w:t>
            </w:r>
          </w:p>
        </w:tc>
        <w:tc>
          <w:tcPr>
            <w:tcW w:w="900" w:type="dxa"/>
            <w:vAlign w:val="bottom"/>
          </w:tcPr>
          <w:p>
            <w:pPr>
              <w:jc w:val="right"/>
              <w:spacing w:after="0"/>
              <w:rPr>
                <w:sz w:val="20"/>
                <w:szCs w:val="20"/>
                <w:color w:val="auto"/>
              </w:rPr>
            </w:pPr>
            <w:r>
              <w:rPr>
                <w:rFonts w:ascii="Arial" w:cs="Arial" w:eastAsia="Arial" w:hAnsi="Arial"/>
                <w:sz w:val="18"/>
                <w:szCs w:val="18"/>
                <w:color w:val="auto"/>
              </w:rPr>
              <w:t>2,726,522</w:t>
            </w:r>
          </w:p>
        </w:tc>
        <w:tc>
          <w:tcPr>
            <w:tcW w:w="2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47,830</w:t>
            </w:r>
          </w:p>
        </w:tc>
        <w:tc>
          <w:tcPr>
            <w:tcW w:w="640" w:type="dxa"/>
            <w:vAlign w:val="bottom"/>
          </w:tcPr>
          <w:p>
            <w:pPr>
              <w:jc w:val="right"/>
              <w:spacing w:after="0"/>
              <w:rPr>
                <w:sz w:val="20"/>
                <w:szCs w:val="20"/>
                <w:color w:val="auto"/>
              </w:rPr>
            </w:pPr>
            <w:r>
              <w:rPr>
                <w:rFonts w:ascii="Arial" w:cs="Arial" w:eastAsia="Arial" w:hAnsi="Arial"/>
                <w:sz w:val="18"/>
                <w:szCs w:val="18"/>
                <w:color w:val="auto"/>
              </w:rPr>
              <w:t>5,386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25,087</w:t>
            </w:r>
          </w:p>
        </w:tc>
        <w:tc>
          <w:tcPr>
            <w:tcW w:w="860" w:type="dxa"/>
            <w:vAlign w:val="bottom"/>
          </w:tcPr>
          <w:p>
            <w:pPr>
              <w:jc w:val="right"/>
              <w:spacing w:after="0"/>
              <w:rPr>
                <w:sz w:val="20"/>
                <w:szCs w:val="20"/>
                <w:color w:val="auto"/>
              </w:rPr>
            </w:pPr>
            <w:r>
              <w:rPr>
                <w:rFonts w:ascii="Arial" w:cs="Arial" w:eastAsia="Arial" w:hAnsi="Arial"/>
                <w:sz w:val="18"/>
                <w:szCs w:val="18"/>
                <w:color w:val="auto"/>
              </w:rPr>
              <w:t>2,804,825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61,664,881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704,658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368,510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130,162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330,792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874,156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64,073,159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58"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spacing w:after="0" w:line="1" w:lineRule="exact"/>
        <w:rPr>
          <w:rFonts w:ascii="Arial" w:cs="Arial" w:eastAsia="Arial" w:hAnsi="Arial"/>
          <w:sz w:val="18"/>
          <w:szCs w:val="18"/>
          <w:i w:val="1"/>
          <w:iCs w:val="1"/>
          <w:color w:val="auto"/>
        </w:rPr>
      </w:pPr>
    </w:p>
    <w:p>
      <w:pPr>
        <w:ind w:left="460" w:hanging="452"/>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211"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One-to-four family residential mortgage loans held for sale were $292 million and $401 million at March 31, 2014 and December 31, 2013, respectively. Commercial mortgage loans held for sale were $38 million at March 31, 2014 and $68 million at December 31, 2013.</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the allowance for credit losses for the three months ended March 31,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Commercial,</w:t>
            </w:r>
          </w:p>
        </w:tc>
        <w:tc>
          <w:tcPr>
            <w:tcW w:w="196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36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Financial,</w:t>
            </w:r>
          </w:p>
        </w:tc>
        <w:tc>
          <w:tcPr>
            <w:tcW w:w="196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Leasing, 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Residential</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$ 273,383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324,978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78,656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164,644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75,015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060" w:type="dxa"/>
            <w:vAlign w:val="bottom"/>
            <w:gridSpan w:val="3"/>
          </w:tcPr>
          <w:p>
            <w:pPr>
              <w:jc w:val="right"/>
              <w:ind w:right="300"/>
              <w:spacing w:after="0"/>
              <w:rPr>
                <w:sz w:val="20"/>
                <w:szCs w:val="20"/>
                <w:color w:val="auto"/>
              </w:rPr>
            </w:pPr>
            <w:r>
              <w:rPr>
                <w:rFonts w:ascii="Arial" w:cs="Arial" w:eastAsia="Arial" w:hAnsi="Arial"/>
                <w:sz w:val="18"/>
                <w:szCs w:val="18"/>
                <w:color w:val="auto"/>
              </w:rPr>
              <w:t>12,598</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4,228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14,141</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917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3060" w:type="dxa"/>
            <w:vAlign w:val="bottom"/>
            <w:gridSpan w:val="3"/>
          </w:tcPr>
          <w:p>
            <w:pPr>
              <w:jc w:val="right"/>
              <w:ind w:right="240"/>
              <w:spacing w:after="0"/>
              <w:rPr>
                <w:sz w:val="20"/>
                <w:szCs w:val="20"/>
                <w:color w:val="auto"/>
              </w:rPr>
            </w:pPr>
            <w:r>
              <w:rPr>
                <w:rFonts w:ascii="Arial" w:cs="Arial" w:eastAsia="Arial" w:hAnsi="Arial"/>
                <w:sz w:val="18"/>
                <w:szCs w:val="18"/>
                <w:color w:val="auto"/>
              </w:rPr>
              <w:t>(14,809)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(3,486)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(7,453)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(21,691)</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3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5,040</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15,531</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20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(16,651)</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$ 276,835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324,805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77,062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162,134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75,932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916,768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60" w:type="dxa"/>
            <w:vAlign w:val="bottom"/>
            <w:gridSpan w:val="2"/>
          </w:tcPr>
          <w:p>
            <w:pPr>
              <w:jc w:val="right"/>
              <w:ind w:right="481"/>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Changes in the allowance for credit losses for the three months ended March 31, 2013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Commercial,</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1960" w:type="dxa"/>
            <w:vAlign w:val="bottom"/>
            <w:gridSpan w:val="4"/>
          </w:tcPr>
          <w:p>
            <w:pPr>
              <w:jc w:val="right"/>
              <w:ind w:right="800"/>
              <w:spacing w:after="0" w:line="149" w:lineRule="exact"/>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2"/>
          </w:tcPr>
          <w:p>
            <w:pPr>
              <w:jc w:val="center"/>
              <w:ind w:right="300"/>
              <w:spacing w:after="0" w:line="116" w:lineRule="exact"/>
              <w:rPr>
                <w:sz w:val="20"/>
                <w:szCs w:val="20"/>
                <w:color w:val="auto"/>
              </w:rPr>
            </w:pPr>
            <w:r>
              <w:rPr>
                <w:rFonts w:ascii="Arial" w:cs="Arial" w:eastAsia="Arial" w:hAnsi="Arial"/>
                <w:sz w:val="13"/>
                <w:szCs w:val="13"/>
                <w:color w:val="auto"/>
              </w:rPr>
              <w:t>Leasing,</w:t>
            </w: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1"/>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etc.</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w w:val="93"/>
              </w:rPr>
              <w:t>Commercial</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w w:val="89"/>
              </w:rPr>
              <w:t>Residential</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w w:val="92"/>
              </w:rPr>
              <w:t>Consumer</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w w:val="91"/>
              </w:rPr>
              <w:t>Unallocated</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right"/>
              <w:ind w:right="353"/>
              <w:spacing w:after="0" w:line="116" w:lineRule="exact"/>
              <w:rPr>
                <w:sz w:val="20"/>
                <w:szCs w:val="20"/>
                <w:color w:val="auto"/>
              </w:rPr>
            </w:pPr>
            <w:r>
              <w:rPr>
                <w:rFonts w:ascii="Arial" w:cs="Arial" w:eastAsia="Arial" w:hAnsi="Arial"/>
                <w:sz w:val="13"/>
                <w:szCs w:val="13"/>
                <w:color w:val="auto"/>
              </w:rPr>
              <w:t>(in thousands)</w:t>
            </w: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$ 246,759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337,101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179,418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73,775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925,860</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960" w:type="dxa"/>
            <w:vAlign w:val="bottom"/>
            <w:gridSpan w:val="4"/>
          </w:tcPr>
          <w:p>
            <w:pPr>
              <w:jc w:val="right"/>
              <w:ind w:right="300"/>
              <w:spacing w:after="0"/>
              <w:rPr>
                <w:sz w:val="20"/>
                <w:szCs w:val="20"/>
                <w:color w:val="auto"/>
              </w:rPr>
            </w:pPr>
            <w:r>
              <w:rPr>
                <w:rFonts w:ascii="Arial" w:cs="Arial" w:eastAsia="Arial" w:hAnsi="Arial"/>
                <w:sz w:val="18"/>
                <w:szCs w:val="18"/>
                <w:color w:val="auto"/>
              </w:rPr>
              <w:t>17,880</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5,036</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14,836</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560</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38,000</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Charge-offs</w:t>
            </w:r>
          </w:p>
        </w:tc>
        <w:tc>
          <w:tcPr>
            <w:tcW w:w="2960" w:type="dxa"/>
            <w:vAlign w:val="bottom"/>
            <w:gridSpan w:val="4"/>
          </w:tcPr>
          <w:p>
            <w:pPr>
              <w:jc w:val="right"/>
              <w:ind w:right="240"/>
              <w:spacing w:after="0"/>
              <w:rPr>
                <w:sz w:val="20"/>
                <w:szCs w:val="20"/>
                <w:color w:val="auto"/>
              </w:rPr>
            </w:pPr>
            <w:r>
              <w:rPr>
                <w:rFonts w:ascii="Arial" w:cs="Arial" w:eastAsia="Arial" w:hAnsi="Arial"/>
                <w:sz w:val="18"/>
                <w:szCs w:val="18"/>
                <w:color w:val="auto"/>
              </w:rPr>
              <w:t>(9,544)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(9,588)</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(8,171)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(21,645)</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(48,948)</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2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2,756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4,184</w:t>
            </w: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12,205</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Net charge-offs</w:t>
            </w:r>
          </w:p>
        </w:tc>
        <w:tc>
          <w:tcPr>
            <w:tcW w:w="1900" w:type="dxa"/>
            <w:vAlign w:val="bottom"/>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(6,788)</w:t>
            </w: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(8,773)</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(17,461)</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$ 257,851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328,016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90,122</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176,793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74,335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927,117</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loan or lease type.</w:t>
      </w: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 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24"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following tables provide information with respect to loans and leases that were considered impaired as of March 31, 2014 and December 31, 2013 and for the three month periods ended March 31, 2014 and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March 31, 2014</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1"/>
              </w:rPr>
              <w:t>December 31, 2013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4"/>
              </w:rPr>
              <w:t>Unpaid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4"/>
              </w:rPr>
              <w:t>Unpaid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8"/>
              </w:rPr>
              <w:t>Recorded</w:t>
            </w: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principal</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Related</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5"/>
              </w:rPr>
              <w:t>Recorded</w:t>
            </w: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principal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investment</w:t>
            </w: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balance</w:t>
            </w:r>
          </w:p>
        </w:tc>
        <w:tc>
          <w:tcPr>
            <w:tcW w:w="800" w:type="dxa"/>
            <w:vAlign w:val="bottom"/>
            <w:gridSpan w:val="2"/>
          </w:tcPr>
          <w:p>
            <w:pPr>
              <w:spacing w:after="0"/>
              <w:rPr>
                <w:sz w:val="20"/>
                <w:szCs w:val="20"/>
                <w:color w:val="auto"/>
              </w:rPr>
            </w:pPr>
            <w:r>
              <w:rPr>
                <w:rFonts w:ascii="Arial" w:cs="Arial" w:eastAsia="Arial" w:hAnsi="Arial"/>
                <w:sz w:val="14"/>
                <w:szCs w:val="14"/>
                <w:color w:val="auto"/>
              </w:rPr>
              <w:t>allowance</w:t>
            </w:r>
          </w:p>
        </w:tc>
        <w:tc>
          <w:tcPr>
            <w:tcW w:w="640" w:type="dxa"/>
            <w:vAlign w:val="bottom"/>
          </w:tcPr>
          <w:p>
            <w:pPr>
              <w:jc w:val="right"/>
              <w:spacing w:after="0"/>
              <w:rPr>
                <w:sz w:val="20"/>
                <w:szCs w:val="20"/>
                <w:color w:val="auto"/>
              </w:rPr>
            </w:pPr>
            <w:r>
              <w:rPr>
                <w:rFonts w:ascii="Arial" w:cs="Arial" w:eastAsia="Arial" w:hAnsi="Arial"/>
                <w:sz w:val="14"/>
                <w:szCs w:val="14"/>
                <w:color w:val="auto"/>
                <w:w w:val="91"/>
              </w:rPr>
              <w:t>investment</w:t>
            </w: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balance</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271"/>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$104,878</w:t>
            </w: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130,132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21,578</w:t>
            </w:r>
          </w:p>
        </w:tc>
        <w:tc>
          <w:tcPr>
            <w:tcW w:w="640" w:type="dxa"/>
            <w:vAlign w:val="bottom"/>
          </w:tcPr>
          <w:p>
            <w:pPr>
              <w:jc w:val="right"/>
              <w:spacing w:after="0"/>
              <w:rPr>
                <w:sz w:val="20"/>
                <w:szCs w:val="20"/>
                <w:color w:val="auto"/>
              </w:rPr>
            </w:pPr>
            <w:r>
              <w:rPr>
                <w:rFonts w:ascii="Arial" w:cs="Arial" w:eastAsia="Arial" w:hAnsi="Arial"/>
                <w:sz w:val="18"/>
                <w:szCs w:val="18"/>
                <w:color w:val="auto"/>
              </w:rPr>
              <w:t>90,293</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112,092</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102,898</w:t>
            </w: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120,165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15,811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113,570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132,325</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31,314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45,625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77,054</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81,296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5,933</w:t>
            </w:r>
          </w:p>
        </w:tc>
        <w:tc>
          <w:tcPr>
            <w:tcW w:w="640" w:type="dxa"/>
            <w:vAlign w:val="bottom"/>
          </w:tcPr>
          <w:p>
            <w:pPr>
              <w:jc w:val="right"/>
              <w:spacing w:after="0"/>
              <w:rPr>
                <w:sz w:val="20"/>
                <w:szCs w:val="20"/>
                <w:color w:val="auto"/>
              </w:rPr>
            </w:pPr>
            <w:r>
              <w:rPr>
                <w:rFonts w:ascii="Arial" w:cs="Arial" w:eastAsia="Arial" w:hAnsi="Arial"/>
                <w:sz w:val="18"/>
                <w:szCs w:val="18"/>
                <w:color w:val="auto"/>
              </w:rPr>
              <w:t>86,260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90,515</w:t>
            </w:r>
          </w:p>
        </w:tc>
        <w:tc>
          <w:tcPr>
            <w:tcW w:w="58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93,029</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112,025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96,508</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114,521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109,986</w:t>
            </w: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124,319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111,911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124,528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17,522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18,592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5,225</w:t>
            </w:r>
          </w:p>
        </w:tc>
        <w:tc>
          <w:tcPr>
            <w:tcW w:w="640" w:type="dxa"/>
            <w:vAlign w:val="bottom"/>
          </w:tcPr>
          <w:p>
            <w:pPr>
              <w:jc w:val="right"/>
              <w:spacing w:after="0"/>
              <w:rPr>
                <w:sz w:val="20"/>
                <w:szCs w:val="20"/>
                <w:color w:val="auto"/>
              </w:rPr>
            </w:pPr>
            <w:r>
              <w:rPr>
                <w:rFonts w:ascii="Arial" w:cs="Arial" w:eastAsia="Arial" w:hAnsi="Arial"/>
                <w:sz w:val="18"/>
                <w:szCs w:val="18"/>
                <w:color w:val="auto"/>
              </w:rPr>
              <w:t>13,672</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14,796</w:t>
            </w:r>
          </w:p>
        </w:tc>
        <w:tc>
          <w:tcPr>
            <w:tcW w:w="58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38,068</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17,832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17,832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4,780</w:t>
            </w:r>
          </w:p>
        </w:tc>
        <w:tc>
          <w:tcPr>
            <w:tcW w:w="640" w:type="dxa"/>
            <w:vAlign w:val="bottom"/>
          </w:tcPr>
          <w:p>
            <w:pPr>
              <w:jc w:val="right"/>
              <w:spacing w:after="0"/>
              <w:rPr>
                <w:sz w:val="20"/>
                <w:szCs w:val="20"/>
                <w:color w:val="auto"/>
              </w:rPr>
            </w:pPr>
            <w:r>
              <w:rPr>
                <w:rFonts w:ascii="Arial" w:cs="Arial" w:eastAsia="Arial" w:hAnsi="Arial"/>
                <w:sz w:val="18"/>
                <w:szCs w:val="18"/>
                <w:color w:val="auto"/>
              </w:rPr>
              <w:t>17,660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17,660</w:t>
            </w:r>
          </w:p>
        </w:tc>
        <w:tc>
          <w:tcPr>
            <w:tcW w:w="58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688,054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603,626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702,000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8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financial, leasing, etc.</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40,542</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42,948</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33,095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83,194</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104,359</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84,333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builder and developer</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68,487</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101,354</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72,366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104,768</w:t>
            </w:r>
          </w:p>
        </w:tc>
        <w:tc>
          <w:tcPr>
            <w:tcW w:w="2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commercial construction</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5,801</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9,400</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84,328</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94,408</w:t>
            </w: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84,144</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95,358</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Alt-A</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28,047</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51,001</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310,399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403,470</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285,600</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381,258</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financial, leasing, etc.</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145,420</w:t>
            </w: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173,080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21,578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118,386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145,187</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Commercial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186,092</w:t>
            </w: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224,524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15,811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178,841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216,658</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 builder and developer</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99,801</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146,979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105,677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159,890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 commercial construction</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82,855</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90,696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5,933</w:t>
            </w:r>
          </w:p>
        </w:tc>
        <w:tc>
          <w:tcPr>
            <w:tcW w:w="640" w:type="dxa"/>
            <w:vAlign w:val="bottom"/>
          </w:tcPr>
          <w:p>
            <w:pPr>
              <w:jc w:val="right"/>
              <w:spacing w:after="0"/>
              <w:rPr>
                <w:sz w:val="20"/>
                <w:szCs w:val="20"/>
                <w:color w:val="auto"/>
              </w:rPr>
            </w:pPr>
            <w:r>
              <w:rPr>
                <w:rFonts w:ascii="Arial" w:cs="Arial" w:eastAsia="Arial" w:hAnsi="Arial"/>
                <w:sz w:val="18"/>
                <w:szCs w:val="18"/>
                <w:color w:val="auto"/>
              </w:rPr>
              <w:t>93,629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102,008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Residential</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177,357</w:t>
            </w: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206,433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180,652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209,879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Residential Alt-A</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138,033</w:t>
            </w:r>
          </w:p>
        </w:tc>
        <w:tc>
          <w:tcPr>
            <w:tcW w:w="6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175,320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13,000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140,268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176,739</w:t>
            </w: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Home equity lines and loans</w:t>
            </w:r>
          </w:p>
        </w:tc>
        <w:tc>
          <w:tcPr>
            <w:tcW w:w="2620" w:type="dxa"/>
            <w:vAlign w:val="bottom"/>
            <w:gridSpan w:val="3"/>
          </w:tcPr>
          <w:p>
            <w:pPr>
              <w:jc w:val="right"/>
              <w:ind w:right="60"/>
              <w:spacing w:after="0"/>
              <w:rPr>
                <w:sz w:val="20"/>
                <w:szCs w:val="20"/>
                <w:color w:val="auto"/>
              </w:rPr>
            </w:pPr>
            <w:r>
              <w:rPr>
                <w:rFonts w:ascii="Arial" w:cs="Arial" w:eastAsia="Arial" w:hAnsi="Arial"/>
                <w:sz w:val="18"/>
                <w:szCs w:val="18"/>
                <w:color w:val="auto"/>
              </w:rPr>
              <w:t>17,522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18,592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5,225</w:t>
            </w:r>
          </w:p>
        </w:tc>
        <w:tc>
          <w:tcPr>
            <w:tcW w:w="640" w:type="dxa"/>
            <w:vAlign w:val="bottom"/>
          </w:tcPr>
          <w:p>
            <w:pPr>
              <w:jc w:val="right"/>
              <w:spacing w:after="0"/>
              <w:rPr>
                <w:sz w:val="20"/>
                <w:szCs w:val="20"/>
                <w:color w:val="auto"/>
              </w:rPr>
            </w:pPr>
            <w:r>
              <w:rPr>
                <w:rFonts w:ascii="Arial" w:cs="Arial" w:eastAsia="Arial" w:hAnsi="Arial"/>
                <w:sz w:val="18"/>
                <w:szCs w:val="18"/>
                <w:color w:val="auto"/>
              </w:rPr>
              <w:t>13,672</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14,796</w:t>
            </w:r>
          </w:p>
        </w:tc>
        <w:tc>
          <w:tcPr>
            <w:tcW w:w="58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Automobile</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38,068</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38,068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40,441</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40,441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70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17,832</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17,832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4,780</w:t>
            </w:r>
          </w:p>
        </w:tc>
        <w:tc>
          <w:tcPr>
            <w:tcW w:w="640" w:type="dxa"/>
            <w:vAlign w:val="bottom"/>
          </w:tcPr>
          <w:p>
            <w:pPr>
              <w:jc w:val="right"/>
              <w:spacing w:after="0"/>
              <w:rPr>
                <w:sz w:val="20"/>
                <w:szCs w:val="20"/>
                <w:color w:val="auto"/>
              </w:rPr>
            </w:pPr>
            <w:r>
              <w:rPr>
                <w:rFonts w:ascii="Arial" w:cs="Arial" w:eastAsia="Arial" w:hAnsi="Arial"/>
                <w:sz w:val="18"/>
                <w:szCs w:val="18"/>
                <w:color w:val="auto"/>
              </w:rPr>
              <w:t>17,660</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17,660</w:t>
            </w:r>
          </w:p>
        </w:tc>
        <w:tc>
          <w:tcPr>
            <w:tcW w:w="580" w:type="dxa"/>
            <w:vAlign w:val="bottom"/>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902,980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1,091,524</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889,226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1,083,258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80" w:type="dxa"/>
            <w:vAlign w:val="bottom"/>
            <w:vMerge w:val="restart"/>
          </w:tcPr>
          <w:p>
            <w:pPr>
              <w:jc w:val="right"/>
              <w:ind w:right="230"/>
              <w:spacing w:after="0"/>
              <w:rPr>
                <w:sz w:val="20"/>
                <w:szCs w:val="20"/>
                <w:color w:val="auto"/>
              </w:rPr>
            </w:pPr>
            <w:r>
              <w:rPr>
                <w:rFonts w:ascii="Arial" w:cs="Arial" w:eastAsia="Arial" w:hAnsi="Arial"/>
                <w:sz w:val="18"/>
                <w:szCs w:val="18"/>
                <w:color w:val="auto"/>
              </w:rPr>
              <w:t>- 17 -</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00" w:type="dxa"/>
            <w:vAlign w:val="bottom"/>
            <w:gridSpan w:val="6"/>
          </w:tcPr>
          <w:p>
            <w:pPr>
              <w:jc w:val="center"/>
              <w:ind w:left="336"/>
              <w:spacing w:after="0"/>
              <w:rPr>
                <w:sz w:val="20"/>
                <w:szCs w:val="20"/>
                <w:color w:val="auto"/>
              </w:rPr>
            </w:pPr>
            <w:r>
              <w:rPr>
                <w:rFonts w:ascii="Arial" w:cs="Arial" w:eastAsia="Arial" w:hAnsi="Arial"/>
                <w:sz w:val="14"/>
                <w:szCs w:val="14"/>
                <w:color w:val="auto"/>
                <w:w w:val="91"/>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1600" w:type="dxa"/>
            <w:vAlign w:val="bottom"/>
            <w:tcBorders>
              <w:bottom w:val="single" w:sz="8" w:color="auto"/>
            </w:tcBorders>
            <w:gridSpan w:val="6"/>
          </w:tcPr>
          <w:p>
            <w:pPr>
              <w:jc w:val="center"/>
              <w:ind w:left="336"/>
              <w:spacing w:after="0"/>
              <w:rPr>
                <w:sz w:val="20"/>
                <w:szCs w:val="20"/>
                <w:color w:val="auto"/>
              </w:rPr>
            </w:pPr>
            <w:r>
              <w:rPr>
                <w:rFonts w:ascii="Arial" w:cs="Arial" w:eastAsia="Arial" w:hAnsi="Arial"/>
                <w:sz w:val="14"/>
                <w:szCs w:val="14"/>
                <w:color w:val="auto"/>
                <w:w w:val="92"/>
              </w:rPr>
              <w:t>March 31, 2014</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rPr>
              <w:t>March 31, 2013</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4"/>
          </w:tcPr>
          <w:p>
            <w:pPr>
              <w:jc w:val="center"/>
              <w:spacing w:after="0" w:line="123" w:lineRule="exact"/>
              <w:rPr>
                <w:sz w:val="20"/>
                <w:szCs w:val="20"/>
                <w:color w:val="auto"/>
              </w:rPr>
            </w:pPr>
            <w:r>
              <w:rPr>
                <w:rFonts w:ascii="Arial" w:cs="Arial" w:eastAsia="Arial" w:hAnsi="Arial"/>
                <w:sz w:val="14"/>
                <w:szCs w:val="14"/>
                <w:color w:val="auto"/>
                <w:w w:val="91"/>
              </w:rPr>
              <w:t>Interest income</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jc w:val="right"/>
              <w:ind w:right="13"/>
              <w:spacing w:after="0" w:line="123"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color w:val="auto"/>
                <w:w w:val="91"/>
              </w:rPr>
              <w:t>Average</w:t>
            </w:r>
          </w:p>
        </w:tc>
        <w:tc>
          <w:tcPr>
            <w:tcW w:w="1320" w:type="dxa"/>
            <w:vAlign w:val="bottom"/>
            <w:gridSpan w:val="5"/>
          </w:tcPr>
          <w:p>
            <w:pPr>
              <w:jc w:val="center"/>
              <w:ind w:right="200"/>
              <w:spacing w:after="0"/>
              <w:rPr>
                <w:sz w:val="20"/>
                <w:szCs w:val="20"/>
                <w:color w:val="auto"/>
              </w:rPr>
            </w:pPr>
            <w:r>
              <w:rPr>
                <w:rFonts w:ascii="Arial" w:cs="Arial" w:eastAsia="Arial" w:hAnsi="Arial"/>
                <w:sz w:val="14"/>
                <w:szCs w:val="14"/>
                <w:color w:val="auto"/>
                <w:w w:val="93"/>
              </w:rPr>
              <w:t>recognized</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8"/>
              </w:rPr>
              <w:t>Average</w:t>
            </w:r>
          </w:p>
        </w:tc>
        <w:tc>
          <w:tcPr>
            <w:tcW w:w="1220" w:type="dxa"/>
            <w:vAlign w:val="bottom"/>
            <w:gridSpan w:val="4"/>
          </w:tcPr>
          <w:p>
            <w:pPr>
              <w:jc w:val="right"/>
              <w:ind w:right="340"/>
              <w:spacing w:after="0"/>
              <w:rPr>
                <w:sz w:val="20"/>
                <w:szCs w:val="20"/>
                <w:color w:val="auto"/>
              </w:rPr>
            </w:pPr>
            <w:r>
              <w:rPr>
                <w:rFonts w:ascii="Arial" w:cs="Arial" w:eastAsia="Arial" w:hAnsi="Arial"/>
                <w:sz w:val="14"/>
                <w:szCs w:val="14"/>
                <w:color w:val="auto"/>
              </w:rPr>
              <w:t>recognized</w:t>
            </w:r>
          </w:p>
        </w:tc>
        <w:tc>
          <w:tcPr>
            <w:tcW w:w="0" w:type="dxa"/>
            <w:vAlign w:val="bottom"/>
          </w:tcPr>
          <w:p>
            <w:pPr>
              <w:spacing w:after="0"/>
              <w:rPr>
                <w:sz w:val="1"/>
                <w:szCs w:val="1"/>
                <w:color w:val="auto"/>
              </w:rPr>
            </w:pPr>
          </w:p>
        </w:tc>
      </w:tr>
      <w:tr>
        <w:trPr>
          <w:trHeight w:val="110"/>
        </w:trPr>
        <w:tc>
          <w:tcPr>
            <w:tcW w:w="700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recorded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investment</w:t>
            </w:r>
          </w:p>
        </w:tc>
        <w:tc>
          <w:tcPr>
            <w:tcW w:w="700" w:type="dxa"/>
            <w:vAlign w:val="bottom"/>
            <w:gridSpan w:val="3"/>
          </w:tcPr>
          <w:p>
            <w:pPr>
              <w:ind w:left="80"/>
              <w:spacing w:after="0"/>
              <w:rPr>
                <w:sz w:val="20"/>
                <w:szCs w:val="20"/>
                <w:color w:val="auto"/>
              </w:rPr>
            </w:pPr>
            <w:r>
              <w:rPr>
                <w:rFonts w:ascii="Arial" w:cs="Arial" w:eastAsia="Arial" w:hAnsi="Arial"/>
                <w:sz w:val="14"/>
                <w:szCs w:val="14"/>
                <w:color w:val="auto"/>
              </w:rPr>
              <w:t>Total</w:t>
            </w:r>
          </w:p>
        </w:tc>
        <w:tc>
          <w:tcPr>
            <w:tcW w:w="620" w:type="dxa"/>
            <w:vAlign w:val="bottom"/>
            <w:gridSpan w:val="2"/>
          </w:tcPr>
          <w:p>
            <w:pPr>
              <w:ind w:left="40"/>
              <w:spacing w:after="0"/>
              <w:rPr>
                <w:sz w:val="20"/>
                <w:szCs w:val="20"/>
                <w:color w:val="auto"/>
              </w:rPr>
            </w:pPr>
            <w:r>
              <w:rPr>
                <w:rFonts w:ascii="Arial" w:cs="Arial" w:eastAsia="Arial" w:hAnsi="Arial"/>
                <w:sz w:val="14"/>
                <w:szCs w:val="14"/>
                <w:color w:val="auto"/>
              </w:rPr>
              <w:t>basis</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investment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7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620"/>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$134,306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167,793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2,434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Real estate:</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185,425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194,446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Residential builder and developer</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101,253</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183,853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4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commercial construction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87,292</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1,087</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635</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174,168</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1,400</w:t>
            </w:r>
          </w:p>
        </w:tc>
        <w:tc>
          <w:tcPr>
            <w:tcW w:w="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902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188,075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1,470</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139,651</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1,626</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156,971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1,740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Consumer: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15,676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12,454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ind w:left="360"/>
              <w:spacing w:after="0"/>
              <w:rPr>
                <w:sz w:val="20"/>
                <w:szCs w:val="20"/>
                <w:color w:val="auto"/>
              </w:rPr>
            </w:pPr>
            <w:r>
              <w:rPr>
                <w:rFonts w:ascii="Arial" w:cs="Arial" w:eastAsia="Arial" w:hAnsi="Arial"/>
                <w:sz w:val="18"/>
                <w:szCs w:val="18"/>
                <w:color w:val="auto"/>
              </w:rPr>
              <w:t>Automobile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39,383</w:t>
            </w: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47,606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14,930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894,854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6,581</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4,264</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1,064,446</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7,816</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400"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vMerge w:val="restart"/>
          </w:tcPr>
          <w:p>
            <w:pPr>
              <w:jc w:val="center"/>
              <w:ind w:right="300"/>
              <w:spacing w:after="0"/>
              <w:rPr>
                <w:sz w:val="20"/>
                <w:szCs w:val="20"/>
                <w:color w:val="auto"/>
              </w:rPr>
            </w:pPr>
            <w:r>
              <w:rPr>
                <w:rFonts w:ascii="Arial" w:cs="Arial" w:eastAsia="Arial" w:hAnsi="Arial"/>
                <w:sz w:val="14"/>
                <w:szCs w:val="14"/>
                <w:color w:val="auto"/>
                <w:w w:val="94"/>
              </w:rPr>
              <w:t>Commercial,</w:t>
            </w: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auto"/>
                <w:w w:val="91"/>
              </w:rPr>
              <w:t>Real Estate</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gridSpan w:val="2"/>
          </w:tcPr>
          <w:p>
            <w:pPr>
              <w:jc w:val="center"/>
              <w:ind w:right="280"/>
              <w:spacing w:after="0" w:line="123" w:lineRule="exact"/>
              <w:rPr>
                <w:sz w:val="20"/>
                <w:szCs w:val="20"/>
                <w:color w:val="auto"/>
              </w:rPr>
            </w:pPr>
            <w:r>
              <w:rPr>
                <w:rFonts w:ascii="Arial" w:cs="Arial" w:eastAsia="Arial" w:hAnsi="Arial"/>
                <w:sz w:val="14"/>
                <w:szCs w:val="14"/>
                <w:color w:val="auto"/>
                <w:w w:val="92"/>
              </w:rPr>
              <w:t>Residential</w:t>
            </w: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6"/>
              </w:rPr>
              <w:t>Financial,</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Builder and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20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Leasing, etc.</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Commercial</w:t>
            </w: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Developer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920"/>
              <w:spacing w:after="0" w:line="142" w:lineRule="exact"/>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$18,022,241</w:t>
            </w:r>
          </w:p>
        </w:tc>
        <w:tc>
          <w:tcPr>
            <w:tcW w:w="2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21,053,068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1,151,202</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2,946,152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735,558</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547,473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57,512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138,271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175,984</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89,563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18,896,070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21,776,525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1,298,277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3,029,284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$17,894,592</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20,972,257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1,107,144</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3,040,106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699,885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596,553</w:t>
            </w:r>
          </w:p>
        </w:tc>
        <w:tc>
          <w:tcPr>
            <w:tcW w:w="3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72,941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110,739</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173,048</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96,427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35,268</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18,705,216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21,741,858</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1,276,512</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3,129,838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the original balance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8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allocation of the allowance for credit losses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rPr>
              <w:t>Commercial,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Financial,</w:t>
            </w:r>
          </w:p>
        </w:tc>
        <w:tc>
          <w:tcPr>
            <w:tcW w:w="1980" w:type="dxa"/>
            <w:vAlign w:val="bottom"/>
            <w:gridSpan w:val="5"/>
          </w:tcPr>
          <w:p>
            <w:pPr>
              <w:jc w:val="right"/>
              <w:ind w:right="82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Leasing, etc.</w:t>
            </w:r>
          </w:p>
        </w:tc>
        <w:tc>
          <w:tcPr>
            <w:tcW w:w="78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w w:val="91"/>
              </w:rPr>
              <w:t>Commercial</w:t>
            </w: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Residential</w:t>
            </w:r>
          </w:p>
        </w:tc>
        <w:tc>
          <w:tcPr>
            <w:tcW w:w="320" w:type="dxa"/>
            <w:vAlign w:val="bottom"/>
          </w:tcPr>
          <w:p>
            <w:pPr>
              <w:spacing w:after="0"/>
              <w:rPr>
                <w:sz w:val="12"/>
                <w:szCs w:val="12"/>
                <w:color w:val="auto"/>
              </w:rPr>
            </w:pPr>
          </w:p>
        </w:tc>
        <w:tc>
          <w:tcPr>
            <w:tcW w:w="96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w w:val="92"/>
              </w:rPr>
              <w:t>Consumer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9"/>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040" w:type="dxa"/>
            <w:vAlign w:val="bottom"/>
            <w:gridSpan w:val="2"/>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21,578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26,157</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18,243</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20,125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249,499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298,048</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56,797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140,409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Purchased impaired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5,758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600</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2,022</w:t>
            </w:r>
          </w:p>
        </w:tc>
        <w:tc>
          <w:tcPr>
            <w:tcW w:w="640" w:type="dxa"/>
            <w:vAlign w:val="bottom"/>
          </w:tcPr>
          <w:p>
            <w:pPr>
              <w:jc w:val="right"/>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276,835</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324,805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77,062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162,134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840,836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75,932</w:t>
            </w:r>
          </w:p>
        </w:tc>
        <w:tc>
          <w:tcPr>
            <w:tcW w:w="0" w:type="dxa"/>
            <w:vAlign w:val="bottom"/>
          </w:tcPr>
          <w:p>
            <w:pPr>
              <w:spacing w:after="0" w:line="20" w:lineRule="exact"/>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916,768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04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27,563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21,127</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18,927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246,096</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296,781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55,864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144,210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742,951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Allocated</w:t>
            </w: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273,383</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78,656</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164,644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841,661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75,015</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916,676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Commercial,</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color w:val="auto"/>
                <w:w w:val="96"/>
              </w:rPr>
              <w:t>Financial,</w:t>
            </w: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color w:val="auto"/>
                <w:w w:val="91"/>
              </w:rPr>
              <w:t>Real Estate</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220"/>
              <w:spacing w:after="0" w:line="142"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Commercial</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Residential</w:t>
            </w:r>
          </w:p>
        </w:tc>
        <w:tc>
          <w:tcPr>
            <w:tcW w:w="20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center"/>
              <w:ind w:right="240"/>
              <w:spacing w:after="0" w:line="142" w:lineRule="exact"/>
              <w:rPr>
                <w:sz w:val="20"/>
                <w:szCs w:val="20"/>
                <w:color w:val="auto"/>
              </w:rPr>
            </w:pPr>
            <w:r>
              <w:rPr>
                <w:rFonts w:ascii="Arial" w:cs="Arial" w:eastAsia="Arial" w:hAnsi="Arial"/>
                <w:sz w:val="14"/>
                <w:szCs w:val="14"/>
                <w:color w:val="auto"/>
                <w:w w:val="92"/>
              </w:rPr>
              <w:t>(in thousands)</w:t>
            </w: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145,420</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367,183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314,829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73,422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900,854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18,735,090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25,478,659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8,432,280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10,284,807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62,930,836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Purchased impaired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258,244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26,986</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18,896,070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26,104,086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8,774,095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10,360,827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64,135,078</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118,386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376,339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320,360</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71,773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18,571,124</w:t>
            </w: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25,488,584</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8,578,677</w:t>
            </w:r>
          </w:p>
        </w:tc>
        <w:tc>
          <w:tcPr>
            <w:tcW w:w="2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10,217,124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62,855,509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15,706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283,285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29,184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18,705,216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26,148,208</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8,928,221</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10,291,514</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64,073,159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loans. The types of concessions that the Company grants typically include principal deferrals and interest rate concessions, but may also include other types of concessions.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The tables below summarize the Company’s loan modification activities that were considered troubled debt restructurings for the three months ended March 31, 2014 and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1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5"/>
          </w:tcPr>
          <w:p>
            <w:pPr>
              <w:ind w:left="180"/>
              <w:spacing w:after="0"/>
              <w:rPr>
                <w:sz w:val="20"/>
                <w:szCs w:val="20"/>
                <w:color w:val="auto"/>
              </w:rPr>
            </w:pPr>
            <w:r>
              <w:rPr>
                <w:rFonts w:ascii="Arial" w:cs="Arial" w:eastAsia="Arial" w:hAnsi="Arial"/>
                <w:sz w:val="14"/>
                <w:szCs w:val="14"/>
                <w:color w:val="auto"/>
              </w:rPr>
              <w:t>Recorded investment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22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Borders>
              <w:top w:val="single" w:sz="8" w:color="auto"/>
            </w:tcBorders>
            <w:gridSpan w:val="2"/>
          </w:tcPr>
          <w:p>
            <w:pPr>
              <w:ind w:left="180"/>
              <w:spacing w:after="0" w:line="123" w:lineRule="exact"/>
              <w:rPr>
                <w:sz w:val="20"/>
                <w:szCs w:val="20"/>
                <w:color w:val="auto"/>
              </w:rPr>
            </w:pPr>
            <w:r>
              <w:rPr>
                <w:rFonts w:ascii="Arial" w:cs="Arial" w:eastAsia="Arial" w:hAnsi="Arial"/>
                <w:sz w:val="14"/>
                <w:szCs w:val="14"/>
                <w:color w:val="auto"/>
              </w:rPr>
              <w:t>Pre-</w:t>
            </w:r>
          </w:p>
        </w:tc>
        <w:tc>
          <w:tcPr>
            <w:tcW w:w="3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Post-</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23" w:lineRule="exact"/>
              <w:rPr>
                <w:sz w:val="20"/>
                <w:szCs w:val="20"/>
                <w:color w:val="auto"/>
              </w:rPr>
            </w:pPr>
            <w:r>
              <w:rPr>
                <w:rFonts w:ascii="Arial" w:cs="Arial" w:eastAsia="Arial" w:hAnsi="Arial"/>
                <w:sz w:val="14"/>
                <w:szCs w:val="14"/>
                <w:color w:val="auto"/>
                <w:w w:val="95"/>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0" w:type="dxa"/>
            <w:vAlign w:val="bottom"/>
            <w:gridSpan w:val="2"/>
            <w:vMerge w:val="restart"/>
          </w:tcPr>
          <w:p>
            <w:pPr>
              <w:spacing w:after="0"/>
              <w:rPr>
                <w:sz w:val="20"/>
                <w:szCs w:val="20"/>
                <w:color w:val="auto"/>
              </w:rPr>
            </w:pPr>
            <w:r>
              <w:rPr>
                <w:rFonts w:ascii="Arial" w:cs="Arial" w:eastAsia="Arial" w:hAnsi="Arial"/>
                <w:sz w:val="14"/>
                <w:szCs w:val="14"/>
                <w:color w:val="auto"/>
              </w:rPr>
              <w:t>Three months ended March 31, 2014</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modifica-</w:t>
            </w:r>
          </w:p>
        </w:tc>
        <w:tc>
          <w:tcPr>
            <w:tcW w:w="3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8"/>
              </w:rPr>
              <w:t>modifica-</w:t>
            </w:r>
          </w:p>
        </w:tc>
        <w:tc>
          <w:tcPr>
            <w:tcW w:w="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7000" w:type="dxa"/>
            <w:vAlign w:val="bottom"/>
            <w:gridSpan w:val="2"/>
            <w:vMerge w:val="continue"/>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w w:val="96"/>
              </w:rPr>
              <w:t>Number</w:t>
            </w:r>
          </w:p>
        </w:tc>
        <w:tc>
          <w:tcPr>
            <w:tcW w:w="360" w:type="dxa"/>
            <w:vAlign w:val="bottom"/>
          </w:tcPr>
          <w:p>
            <w:pPr>
              <w:spacing w:after="0"/>
              <w:rPr>
                <w:sz w:val="14"/>
                <w:szCs w:val="14"/>
                <w:color w:val="auto"/>
              </w:rPr>
            </w:pPr>
          </w:p>
        </w:tc>
        <w:tc>
          <w:tcPr>
            <w:tcW w:w="640" w:type="dxa"/>
            <w:vAlign w:val="bottom"/>
            <w:gridSpan w:val="2"/>
          </w:tcPr>
          <w:p>
            <w:pPr>
              <w:ind w:left="200"/>
              <w:spacing w:after="0"/>
              <w:rPr>
                <w:sz w:val="20"/>
                <w:szCs w:val="20"/>
                <w:color w:val="auto"/>
              </w:rPr>
            </w:pPr>
            <w:r>
              <w:rPr>
                <w:rFonts w:ascii="Arial" w:cs="Arial" w:eastAsia="Arial" w:hAnsi="Arial"/>
                <w:sz w:val="14"/>
                <w:szCs w:val="14"/>
                <w:color w:val="auto"/>
              </w:rPr>
              <w:t>tion</w:t>
            </w:r>
          </w:p>
        </w:tc>
        <w:tc>
          <w:tcPr>
            <w:tcW w:w="3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color w:val="auto"/>
                <w:w w:val="97"/>
              </w:rPr>
              <w:t>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94"/>
              </w:rPr>
              <w:t>(dollars in thousands)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$14,954</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$14,848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7,044</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7,002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1,602</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1,663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Interest rate reduction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2,188</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2,160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Residential Alt-A</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166</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1,746</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280</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1,856</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993</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Principal deferral</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c>
          <w:tcPr>
            <w:tcW w:w="1320" w:type="dxa"/>
            <w:vAlign w:val="bottom"/>
            <w:gridSpan w:val="3"/>
          </w:tcPr>
          <w:p>
            <w:pPr>
              <w:jc w:val="right"/>
              <w:ind w:right="38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32,530</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(869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color w:val="auto"/>
              </w:rPr>
              <w:t>Recorded investment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ind w:left="220"/>
              <w:spacing w:after="0"/>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Pre-</w:t>
            </w: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52"/>
              <w:spacing w:after="0" w:line="123" w:lineRule="exact"/>
              <w:rPr>
                <w:sz w:val="20"/>
                <w:szCs w:val="20"/>
                <w:color w:val="auto"/>
              </w:rPr>
            </w:pPr>
            <w:r>
              <w:rPr>
                <w:rFonts w:ascii="Arial" w:cs="Arial" w:eastAsia="Arial" w:hAnsi="Arial"/>
                <w:sz w:val="14"/>
                <w:szCs w:val="14"/>
                <w:color w:val="auto"/>
              </w:rPr>
              <w:t>Post-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440"/>
              <w:spacing w:after="0" w:line="123" w:lineRule="exact"/>
              <w:rPr>
                <w:sz w:val="20"/>
                <w:szCs w:val="20"/>
                <w:color w:val="auto"/>
              </w:rPr>
            </w:pPr>
            <w:r>
              <w:rPr>
                <w:rFonts w:ascii="Arial" w:cs="Arial" w:eastAsia="Arial" w:hAnsi="Arial"/>
                <w:sz w:val="14"/>
                <w:szCs w:val="14"/>
                <w:color w:val="auto"/>
                <w:w w:val="95"/>
              </w:rPr>
              <w:t>Recorded</w:t>
            </w: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March 31, 2013</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modifica-</w:t>
            </w: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modifica-</w:t>
            </w:r>
          </w:p>
        </w:tc>
        <w:tc>
          <w:tcPr>
            <w:tcW w:w="2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Interest</w:t>
            </w:r>
          </w:p>
        </w:tc>
        <w:tc>
          <w:tcPr>
            <w:tcW w:w="0" w:type="dxa"/>
            <w:vAlign w:val="bottom"/>
          </w:tcPr>
          <w:p>
            <w:pPr>
              <w:spacing w:after="0"/>
              <w:rPr>
                <w:sz w:val="1"/>
                <w:szCs w:val="1"/>
                <w:color w:val="auto"/>
              </w:rPr>
            </w:pPr>
          </w:p>
        </w:tc>
      </w:tr>
      <w:tr>
        <w:trPr>
          <w:trHeight w:val="167"/>
        </w:trPr>
        <w:tc>
          <w:tcPr>
            <w:tcW w:w="7000" w:type="dxa"/>
            <w:vAlign w:val="bottom"/>
            <w:gridSpan w:val="3"/>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tion</w:t>
            </w:r>
          </w:p>
        </w:tc>
        <w:tc>
          <w:tcPr>
            <w:tcW w:w="8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(a)</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1,982</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47,200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47,200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18,478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18,363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Residential Alt-A</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Combination of concession types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8"/>
                <w:szCs w:val="18"/>
                <w:color w:val="auto"/>
              </w:rPr>
              <w:t>Automobile</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Interest rate reduction</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Principal deferral</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700"/>
              <w:spacing w:after="0"/>
              <w:rPr>
                <w:sz w:val="20"/>
                <w:szCs w:val="20"/>
                <w:color w:val="auto"/>
              </w:rPr>
            </w:pPr>
            <w:r>
              <w:rPr>
                <w:rFonts w:ascii="Arial" w:cs="Arial" w:eastAsia="Arial" w:hAnsi="Arial"/>
                <w:sz w:val="18"/>
                <w:szCs w:val="18"/>
                <w:color w:val="auto"/>
              </w:rPr>
              <w:t>Combination of concession types</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1,217</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79,681</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79,660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Financial effects impacting the recorded investment included principal payments or advances, charge-offs and capitalized escrow arrearages.</w:t>
      </w:r>
    </w:p>
    <w:p>
      <w:pPr>
        <w:spacing w:after="0" w:line="34" w:lineRule="exact"/>
        <w:rPr>
          <w:rFonts w:ascii="Arial" w:cs="Arial" w:eastAsia="Arial" w:hAnsi="Arial"/>
          <w:sz w:val="17"/>
          <w:szCs w:val="17"/>
          <w:i w:val="1"/>
          <w:iCs w:val="1"/>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21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March 31, 2014 and 2013 and for which there was a subsequent payment default during the three-month periods ended March 31, 2014 and 2013, respectively, were not material.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M&amp;T had $834 million of fixed and floating rate junior subordinated deferrable interest debentures (“Junior Subordinated Debentures”) outstanding at March 31, 2014 that are held by various trusts and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93"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Under the Federal Reserve Board’s current risk-based capital guidelines, the Capital Securities are includable in M&amp;T’s Tier 1 capital. However, in July 2013, the Federal Reserve Board, the Office of the Comptroller of the Currency and the Federal Deposit Insurance Corporation issued a final rule to comprehensively revise the capital framework for the U.S. banking sector. Under that rule, trust preferred capital securities will be phased out from inclusion in Tier 1 capital such that in 2015 only 25% of then-outstanding securities will be included in Tier 1 capital and beginning in 2016 none of the securities will be included in Tier 1 capital.</w:t>
      </w:r>
    </w:p>
    <w:p>
      <w:pPr>
        <w:spacing w:after="0" w:line="18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89"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93"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On February 27, 2014, M&amp;T redeemed all of the issued and outstanding 8.5% $350 million trust preferred securities issued by M&amp;T Capital Trust IV and the related junior subordinated debentures held by M&amp;T Capital Trust IV.</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Also included in long-term borrowings are agreements to repurchase securities of $1.4 billion at each of March 31, 2014 and December 31, 2013. The agreements are subject to master netting arrangements, however the Company has not offset any amounts related to these agreements in its consolidated financial statements. The Company posted collateral of $1.6 billion at each of March 31, 2014 and December 31, 2013.</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5"/>
              </w:rPr>
              <w:t>Shares</w:t>
            </w:r>
          </w:p>
        </w:tc>
        <w:tc>
          <w:tcPr>
            <w:tcW w:w="600" w:type="dxa"/>
            <w:vAlign w:val="bottom"/>
          </w:tcPr>
          <w:p>
            <w:pPr>
              <w:spacing w:after="0"/>
              <w:rPr>
                <w:sz w:val="14"/>
                <w:szCs w:val="14"/>
                <w:color w:val="auto"/>
              </w:rPr>
            </w:pPr>
          </w:p>
        </w:tc>
        <w:tc>
          <w:tcPr>
            <w:tcW w:w="1200" w:type="dxa"/>
            <w:vAlign w:val="bottom"/>
          </w:tcPr>
          <w:p>
            <w:pPr>
              <w:jc w:val="center"/>
              <w:ind w:right="228"/>
              <w:spacing w:after="0"/>
              <w:rPr>
                <w:sz w:val="20"/>
                <w:szCs w:val="20"/>
                <w:color w:val="auto"/>
              </w:rPr>
            </w:pPr>
            <w:r>
              <w:rPr>
                <w:rFonts w:ascii="Arial" w:cs="Arial" w:eastAsia="Arial" w:hAnsi="Arial"/>
                <w:sz w:val="14"/>
                <w:szCs w:val="14"/>
                <w:color w:val="auto"/>
                <w:w w:val="94"/>
              </w:rPr>
              <w:t>Carrying</w:t>
            </w:r>
          </w:p>
        </w:tc>
        <w:tc>
          <w:tcPr>
            <w:tcW w:w="5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4"/>
              </w:rPr>
              <w:t>Carrying</w:t>
            </w:r>
          </w:p>
        </w:tc>
      </w:tr>
      <w:tr>
        <w:trPr>
          <w:trHeight w:val="149"/>
        </w:trPr>
        <w:tc>
          <w:tcPr>
            <w:tcW w:w="4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8"/>
              </w:rPr>
              <w:t>issued and</w:t>
            </w:r>
          </w:p>
        </w:tc>
        <w:tc>
          <w:tcPr>
            <w:tcW w:w="600" w:type="dxa"/>
            <w:vAlign w:val="bottom"/>
          </w:tcPr>
          <w:p>
            <w:pPr>
              <w:spacing w:after="0"/>
              <w:rPr>
                <w:sz w:val="12"/>
                <w:szCs w:val="12"/>
                <w:color w:val="auto"/>
              </w:rPr>
            </w:pPr>
          </w:p>
        </w:tc>
        <w:tc>
          <w:tcPr>
            <w:tcW w:w="120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89"/>
              </w:rPr>
              <w:t>value</w:t>
            </w:r>
          </w:p>
        </w:tc>
        <w:tc>
          <w:tcPr>
            <w:tcW w:w="5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value</w:t>
            </w:r>
          </w:p>
        </w:tc>
      </w:tr>
      <w:tr>
        <w:trPr>
          <w:trHeight w:val="167"/>
        </w:trPr>
        <w:tc>
          <w:tcPr>
            <w:tcW w:w="4380" w:type="dxa"/>
            <w:vAlign w:val="bottom"/>
          </w:tcPr>
          <w:p>
            <w:pPr>
              <w:spacing w:after="0"/>
              <w:rPr>
                <w:sz w:val="14"/>
                <w:szCs w:val="14"/>
                <w:color w:val="auto"/>
              </w:rPr>
            </w:pPr>
          </w:p>
        </w:tc>
        <w:tc>
          <w:tcPr>
            <w:tcW w:w="960" w:type="dxa"/>
            <w:vAlign w:val="bottom"/>
            <w:gridSpan w:val="2"/>
          </w:tcPr>
          <w:p>
            <w:pPr>
              <w:jc w:val="center"/>
              <w:ind w:left="194"/>
              <w:spacing w:after="0"/>
              <w:rPr>
                <w:sz w:val="20"/>
                <w:szCs w:val="20"/>
                <w:color w:val="auto"/>
              </w:rPr>
            </w:pPr>
            <w:r>
              <w:rPr>
                <w:rFonts w:ascii="Arial" w:cs="Arial" w:eastAsia="Arial" w:hAnsi="Arial"/>
                <w:sz w:val="14"/>
                <w:szCs w:val="14"/>
                <w:color w:val="auto"/>
                <w:w w:val="93"/>
              </w:rPr>
              <w:t>outstanding</w:t>
            </w:r>
          </w:p>
        </w:tc>
        <w:tc>
          <w:tcPr>
            <w:tcW w:w="1800" w:type="dxa"/>
            <w:vAlign w:val="bottom"/>
            <w:gridSpan w:val="2"/>
          </w:tcPr>
          <w:p>
            <w:pPr>
              <w:jc w:val="center"/>
              <w:ind w:left="194"/>
              <w:spacing w:after="0"/>
              <w:rPr>
                <w:sz w:val="20"/>
                <w:szCs w:val="20"/>
                <w:color w:val="auto"/>
              </w:rPr>
            </w:pPr>
            <w:r>
              <w:rPr>
                <w:rFonts w:ascii="Arial" w:cs="Arial" w:eastAsia="Arial" w:hAnsi="Arial"/>
                <w:sz w:val="14"/>
                <w:szCs w:val="14"/>
                <w:color w:val="auto"/>
                <w:w w:val="94"/>
              </w:rPr>
              <w:t>March 31, 2014</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color w:val="auto"/>
              </w:rPr>
              <w:t>December 31, 2013</w:t>
            </w:r>
          </w:p>
        </w:tc>
      </w:tr>
      <w:tr>
        <w:trPr>
          <w:trHeight w:val="142"/>
        </w:trPr>
        <w:tc>
          <w:tcPr>
            <w:tcW w:w="4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tcBorders>
              <w:top w:val="single" w:sz="8" w:color="auto"/>
            </w:tcBorders>
            <w:gridSpan w:val="3"/>
          </w:tcPr>
          <w:p>
            <w:pPr>
              <w:jc w:val="right"/>
              <w:ind w:right="616"/>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Series A (a)</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w w:val="95"/>
              </w:rPr>
              <w:t>Fixed Rate Cumulative Perpetual Preferred Stock, Series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A, $1,000 liquidation preference per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1800" w:type="dxa"/>
            <w:vAlign w:val="bottom"/>
            <w:gridSpan w:val="2"/>
          </w:tcPr>
          <w:p>
            <w:pPr>
              <w:jc w:val="right"/>
              <w:ind w:right="228"/>
              <w:spacing w:after="0"/>
              <w:rPr>
                <w:sz w:val="20"/>
                <w:szCs w:val="20"/>
                <w:color w:val="auto"/>
              </w:rPr>
            </w:pPr>
            <w:r>
              <w:rPr>
                <w:rFonts w:ascii="Arial" w:cs="Arial" w:eastAsia="Arial" w:hAnsi="Arial"/>
                <w:sz w:val="18"/>
                <w:szCs w:val="18"/>
                <w:color w:val="auto"/>
              </w:rPr>
              <w:t>$   230,000</w:t>
            </w: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Series C (a)</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w w:val="95"/>
              </w:rPr>
              <w:t>Fixed Rate Cumulative Perpetual Preferred Stock, Series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C, $1,000 liquidation preference per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151,500</w:t>
            </w:r>
          </w:p>
        </w:tc>
        <w:tc>
          <w:tcPr>
            <w:tcW w:w="1800" w:type="dxa"/>
            <w:vAlign w:val="bottom"/>
            <w:gridSpan w:val="2"/>
          </w:tcPr>
          <w:p>
            <w:pPr>
              <w:jc w:val="right"/>
              <w:ind w:right="228"/>
              <w:spacing w:after="0"/>
              <w:rPr>
                <w:sz w:val="20"/>
                <w:szCs w:val="20"/>
                <w:color w:val="auto"/>
              </w:rPr>
            </w:pPr>
            <w:r>
              <w:rPr>
                <w:rFonts w:ascii="Arial" w:cs="Arial" w:eastAsia="Arial" w:hAnsi="Arial"/>
                <w:sz w:val="18"/>
                <w:szCs w:val="18"/>
                <w:color w:val="auto"/>
              </w:rPr>
              <w:t>151,500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151,500</w:t>
            </w:r>
          </w:p>
        </w:tc>
        <w:tc>
          <w:tcPr>
            <w:tcW w:w="10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Series D (b)</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w w:val="99"/>
              </w:rPr>
              <w:t>Fixed Rate Non-Cumulative Perpetual Preferred Stock,</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Series D, $10,000 liquidation preference per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800" w:type="dxa"/>
            <w:vAlign w:val="bottom"/>
            <w:gridSpan w:val="2"/>
          </w:tcPr>
          <w:p>
            <w:pPr>
              <w:jc w:val="right"/>
              <w:ind w:right="228"/>
              <w:spacing w:after="0"/>
              <w:rPr>
                <w:sz w:val="20"/>
                <w:szCs w:val="20"/>
                <w:color w:val="auto"/>
              </w:rPr>
            </w:pPr>
            <w:r>
              <w:rPr>
                <w:rFonts w:ascii="Arial" w:cs="Arial" w:eastAsia="Arial" w:hAnsi="Arial"/>
                <w:sz w:val="18"/>
                <w:szCs w:val="18"/>
                <w:color w:val="auto"/>
              </w:rPr>
              <w:t>500,000</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Series E (c)</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Fixed-to-Floating Rate Non-Cumulative Perpetual</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Preferred Stock, Series E, $1,000 liquidation</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preference per share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350,000</w:t>
            </w:r>
          </w:p>
        </w:tc>
        <w:tc>
          <w:tcPr>
            <w:tcW w:w="1800" w:type="dxa"/>
            <w:vAlign w:val="bottom"/>
            <w:gridSpan w:val="2"/>
          </w:tcPr>
          <w:p>
            <w:pPr>
              <w:jc w:val="right"/>
              <w:ind w:right="228"/>
              <w:spacing w:after="0"/>
              <w:rPr>
                <w:sz w:val="20"/>
                <w:szCs w:val="20"/>
                <w:color w:val="auto"/>
              </w:rPr>
            </w:pPr>
            <w:r>
              <w:rPr>
                <w:rFonts w:ascii="Arial" w:cs="Arial" w:eastAsia="Arial" w:hAnsi="Arial"/>
                <w:sz w:val="18"/>
                <w:szCs w:val="18"/>
                <w:color w:val="auto"/>
              </w:rPr>
              <w:t>350,000</w:t>
            </w:r>
          </w:p>
        </w:tc>
        <w:tc>
          <w:tcPr>
            <w:tcW w:w="50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right="40" w:hanging="452"/>
        <w:spacing w:after="0" w:line="268" w:lineRule="auto"/>
        <w:tabs>
          <w:tab w:leader="none" w:pos="46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Dividends, if declared, were paid quarterly at a rate of 5% per year through November 14, 2013 and are paid at 6.375% thereafter. M&amp;T has agreed to not redeem the preferred shares until on or after November 15, 2018. Warrants to purchase M&amp;T common stock were issued in connection with the Series A and C preferred stock (Series A – 1,218,522 common shares at $73.86 per share; Series C – 407,542 common shares at $55.76 per share). In March 2013, the Series C warrants were exercised in a “cashless” exercise, resulting in the issuance of 186,589 common shares. During 2013, 69,127 of the Series A warrants were exercised in “cashless” exercises, resulting in the issuance of 25,427 common shares. Remaining outstanding Series A warrants that expire in 2018 were 1,149,395 at March 31, 2014.</w:t>
      </w:r>
    </w:p>
    <w:p>
      <w:pPr>
        <w:spacing w:after="0" w:line="1" w:lineRule="exact"/>
        <w:rPr>
          <w:rFonts w:ascii="Arial" w:cs="Arial" w:eastAsia="Arial" w:hAnsi="Arial"/>
          <w:sz w:val="17"/>
          <w:szCs w:val="17"/>
          <w:i w:val="1"/>
          <w:iCs w:val="1"/>
          <w:color w:val="auto"/>
        </w:rPr>
      </w:pPr>
    </w:p>
    <w:p>
      <w:pPr>
        <w:ind w:left="460" w:hanging="452"/>
        <w:spacing w:after="0" w:line="255"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22" w:lineRule="exact"/>
        <w:rPr>
          <w:rFonts w:ascii="Arial" w:cs="Arial" w:eastAsia="Arial" w:hAnsi="Arial"/>
          <w:sz w:val="18"/>
          <w:szCs w:val="18"/>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 continued</w:t>
      </w:r>
    </w:p>
    <w:p>
      <w:pPr>
        <w:spacing w:after="0" w:line="162" w:lineRule="exact"/>
        <w:rPr>
          <w:sz w:val="20"/>
          <w:szCs w:val="20"/>
          <w:color w:val="auto"/>
        </w:rPr>
      </w:pPr>
    </w:p>
    <w:p>
      <w:pPr>
        <w:ind w:left="460" w:right="180" w:hanging="452"/>
        <w:spacing w:after="0" w:line="259"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will be paid semi-annually at a rate of 6.45% through February 14, 2024 and thereafter will be paid quarterly at a rate of the three-month London Interbank Offered Rate plus 361 basis points (hundredths of one percent).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8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In addition to the Series A and Series C warrants mentioned in (a) above, a warrant to purchase 95,383 shares of M&amp;T common stock at $518.96 per share was outstanding at March 31, 2014 and December 31, 2013. The obligation under that warrant was assumed by M&amp;T in an acquisition.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for defined benefit plans consisted of the following:</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ind w:left="520"/>
              <w:spacing w:after="0" w:line="149" w:lineRule="exact"/>
              <w:rPr>
                <w:sz w:val="20"/>
                <w:szCs w:val="20"/>
                <w:color w:val="auto"/>
              </w:rPr>
            </w:pPr>
            <w:r>
              <w:rPr>
                <w:rFonts w:ascii="Arial" w:cs="Arial" w:eastAsia="Arial" w:hAnsi="Arial"/>
                <w:sz w:val="14"/>
                <w:szCs w:val="14"/>
                <w:color w:val="auto"/>
                <w:w w:val="90"/>
              </w:rPr>
              <w:t>Pension</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3"/>
              </w:rPr>
              <w:t>postretirement</w:t>
            </w:r>
          </w:p>
        </w:tc>
      </w:t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color w:val="auto"/>
                <w:w w:val="93"/>
              </w:rPr>
              <w:t>benefits</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ind w:left="276"/>
              <w:spacing w:after="0"/>
              <w:rPr>
                <w:sz w:val="20"/>
                <w:szCs w:val="20"/>
                <w:color w:val="auto"/>
              </w:rPr>
            </w:pPr>
            <w:r>
              <w:rPr>
                <w:rFonts w:ascii="Arial" w:cs="Arial" w:eastAsia="Arial" w:hAnsi="Arial"/>
                <w:sz w:val="14"/>
                <w:szCs w:val="14"/>
                <w:color w:val="auto"/>
                <w:w w:val="93"/>
              </w:rPr>
              <w:t>benefits</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7"/>
          </w:tcPr>
          <w:p>
            <w:pPr>
              <w:ind w:left="40"/>
              <w:spacing w:after="0" w:line="123" w:lineRule="exact"/>
              <w:rPr>
                <w:sz w:val="20"/>
                <w:szCs w:val="20"/>
                <w:color w:val="auto"/>
              </w:rPr>
            </w:pPr>
            <w:r>
              <w:rPr>
                <w:rFonts w:ascii="Arial" w:cs="Arial" w:eastAsia="Arial" w:hAnsi="Arial"/>
                <w:sz w:val="14"/>
                <w:szCs w:val="14"/>
                <w:color w:val="auto"/>
              </w:rPr>
              <w:t>Three months ended March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2014</w:t>
            </w: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6,050</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17,250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15,126</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w w:val="92"/>
              </w:rPr>
              <w:t>(22,925)</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(21,875)</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(1,650)</w:t>
            </w:r>
          </w:p>
        </w:tc>
        <w:tc>
          <w:tcPr>
            <w:tcW w:w="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780" w:type="dxa"/>
            <w:vAlign w:val="bottom"/>
            <w:gridSpan w:val="2"/>
          </w:tcPr>
          <w:p>
            <w:pPr>
              <w:ind w:left="60"/>
              <w:spacing w:after="0"/>
              <w:rPr>
                <w:sz w:val="20"/>
                <w:szCs w:val="20"/>
                <w:color w:val="auto"/>
              </w:rPr>
            </w:pPr>
            <w:r>
              <w:rPr>
                <w:rFonts w:ascii="Arial" w:cs="Arial" w:eastAsia="Arial" w:hAnsi="Arial"/>
                <w:sz w:val="18"/>
                <w:szCs w:val="18"/>
                <w:color w:val="auto"/>
              </w:rPr>
              <w:t>(350)</w:t>
            </w:r>
          </w:p>
        </w:tc>
        <w:tc>
          <w:tcPr>
            <w:tcW w:w="4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(350)</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10,400</w:t>
            </w:r>
          </w:p>
        </w:tc>
        <w:tc>
          <w:tcPr>
            <w:tcW w:w="8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r>
      <w:tr>
        <w:trPr>
          <w:trHeight w:val="223"/>
        </w:trPr>
        <w:tc>
          <w:tcPr>
            <w:tcW w:w="71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475</w:t>
            </w:r>
          </w:p>
        </w:tc>
        <w:tc>
          <w:tcPr>
            <w:tcW w:w="4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Expense incurred in connection with the Company’s defined contribution pension and retirement savings plans totaled $15,732,000 and $15,755,000 for the three months ended March 31, 2014 and 2013, respectively.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247" w:lineRule="exact"/>
        <w:rPr>
          <w:sz w:val="20"/>
          <w:szCs w:val="20"/>
          <w:color w:val="auto"/>
        </w:rPr>
      </w:pPr>
    </w:p>
    <w:p>
      <w:pPr>
        <w:jc w:val="center"/>
        <w:ind w:left="6700"/>
        <w:spacing w:after="0"/>
        <w:rPr>
          <w:sz w:val="20"/>
          <w:szCs w:val="20"/>
          <w:color w:val="auto"/>
        </w:rPr>
      </w:pPr>
      <w:r>
        <w:rPr>
          <w:rFonts w:ascii="Arial" w:cs="Arial" w:eastAsia="Arial" w:hAnsi="Arial"/>
          <w:sz w:val="14"/>
          <w:szCs w:val="14"/>
          <w:color w:val="auto"/>
        </w:rPr>
        <w:t>Three months ended</w:t>
      </w:r>
    </w:p>
    <w:p>
      <w:pPr>
        <w:jc w:val="center"/>
        <w:ind w:left="6700"/>
        <w:spacing w:after="0"/>
        <w:rPr>
          <w:sz w:val="20"/>
          <w:szCs w:val="20"/>
          <w:color w:val="auto"/>
        </w:rPr>
      </w:pPr>
      <w:r>
        <w:rPr>
          <w:rFonts w:ascii="Arial" w:cs="Arial" w:eastAsia="Arial" w:hAnsi="Arial"/>
          <w:sz w:val="14"/>
          <w:szCs w:val="14"/>
          <w:color w:val="auto"/>
        </w:rPr>
        <w:t>March 31</w:t>
      </w:r>
    </w:p>
    <w:tbl>
      <w:tblPr>
        <w:tblLayout w:type="fixed"/>
        <w:tblInd w:w="13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4"/>
              <w:spacing w:after="0" w:line="157" w:lineRule="exact"/>
              <w:rPr>
                <w:sz w:val="20"/>
                <w:szCs w:val="20"/>
                <w:color w:val="auto"/>
              </w:rPr>
            </w:pPr>
            <w:r>
              <w:rPr>
                <w:rFonts w:ascii="Arial" w:cs="Arial" w:eastAsia="Arial" w:hAnsi="Arial"/>
                <w:sz w:val="14"/>
                <w:szCs w:val="14"/>
                <w:color w:val="auto"/>
              </w:rPr>
              <w:t>2014</w:t>
            </w: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right"/>
              <w:ind w:right="392"/>
              <w:spacing w:after="0" w:line="123"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color w:val="auto"/>
              </w:rPr>
              <w:t>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229,017</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Preferred stock dividends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(14,674)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Amortization of preferred stock discount (a)</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equity</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214,343</w:t>
            </w: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(2,623)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211,720</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Common shares outstanding (including common stock issuable) and unvested stock-</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based compensation awards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131,800</w:t>
            </w:r>
          </w:p>
        </w:tc>
        <w:tc>
          <w:tcPr>
            <w:tcW w:w="4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129,449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130,212</w:t>
            </w:r>
          </w:p>
        </w:tc>
        <w:tc>
          <w:tcPr>
            <w:tcW w:w="4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Including impact of not as yet declared cumulative dividends.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common share,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computations of diluted earnings per common share follow:</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left="437"/>
              <w:spacing w:after="0" w:line="149" w:lineRule="exact"/>
              <w:rPr>
                <w:sz w:val="20"/>
                <w:szCs w:val="20"/>
                <w:color w:val="auto"/>
              </w:rPr>
            </w:pPr>
            <w:r>
              <w:rPr>
                <w:rFonts w:ascii="Arial" w:cs="Arial" w:eastAsia="Arial" w:hAnsi="Arial"/>
                <w:sz w:val="14"/>
                <w:szCs w:val="14"/>
                <w:color w:val="auto"/>
                <w:w w:val="95"/>
              </w:rPr>
              <w:t>March 31</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0"/>
              </w:rPr>
              <w:t>(in thousands,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4"/>
          </w:tcPr>
          <w:p>
            <w:pPr>
              <w:jc w:val="center"/>
              <w:ind w:right="220"/>
              <w:spacing w:after="0"/>
              <w:rPr>
                <w:sz w:val="20"/>
                <w:szCs w:val="20"/>
                <w:color w:val="auto"/>
              </w:rPr>
            </w:pPr>
            <w:r>
              <w:rPr>
                <w:rFonts w:ascii="Arial" w:cs="Arial" w:eastAsia="Arial" w:hAnsi="Arial"/>
                <w:sz w:val="14"/>
                <w:szCs w:val="14"/>
                <w:color w:val="auto"/>
                <w:w w:val="89"/>
              </w:rPr>
              <w:t>except 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214,343</w:t>
            </w: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258,603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(2,612)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211,731</w:t>
            </w: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255,096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and unvested stock-based compensation awards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131,800</w:t>
            </w: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129,449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Less: Unvested stock-based compensation awards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(1,588)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Plus: Incremental shares from assumed conversion of stock-based compensation</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awards</w:t>
            </w:r>
          </w:p>
        </w:tc>
        <w:tc>
          <w:tcPr>
            <w:tcW w:w="3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480" w:type="dxa"/>
            <w:vAlign w:val="bottom"/>
            <w:tcBorders>
              <w:right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Adjusted weighted-average shares outstanding</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131,126</w:t>
            </w: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128,636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Stock-based compensation awards and warrants to purchase common stock of M&amp;T representing approximately 3.0 million and 4.7 million common shares during the three-month periods ended March 31, 2014 and 2013, respectively, were not included in the computations of diluted earnings per common share because the effect on those periods would have been antidilutive.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display the components of other comprehensive income (loss) and amounts reclassified from accumulated other comprehensive income (loss) to net income: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5"/>
          </w:tcPr>
          <w:p>
            <w:pPr>
              <w:jc w:val="right"/>
              <w:ind w:right="380"/>
              <w:spacing w:after="0"/>
              <w:rPr>
                <w:sz w:val="20"/>
                <w:szCs w:val="20"/>
                <w:color w:val="auto"/>
              </w:rPr>
            </w:pPr>
            <w:r>
              <w:rPr>
                <w:rFonts w:ascii="Arial" w:cs="Arial" w:eastAsia="Arial" w:hAnsi="Arial"/>
                <w:sz w:val="14"/>
                <w:szCs w:val="14"/>
                <w:color w:val="auto"/>
                <w:w w:val="98"/>
              </w:rPr>
              <w:t>Investment Securities</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5"/>
              </w:rPr>
              <w:t>Defined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color w:val="auto"/>
                <w:w w:val="89"/>
              </w:rPr>
              <w:t>Total</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9"/>
              </w:rPr>
              <w:t>With</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All</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benefit</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4"/>
              </w:rPr>
              <w:t>amount</w:t>
            </w: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Income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jc w:val="center"/>
              <w:ind w:right="280"/>
              <w:spacing w:after="0"/>
              <w:rPr>
                <w:sz w:val="20"/>
                <w:szCs w:val="20"/>
                <w:color w:val="auto"/>
              </w:rPr>
            </w:pPr>
            <w:r>
              <w:rPr>
                <w:rFonts w:ascii="Arial" w:cs="Arial" w:eastAsia="Arial" w:hAnsi="Arial"/>
                <w:sz w:val="14"/>
                <w:szCs w:val="14"/>
                <w:color w:val="auto"/>
              </w:rPr>
              <w:t>OTTI</w:t>
            </w:r>
          </w:p>
        </w:tc>
        <w:tc>
          <w:tcPr>
            <w:tcW w:w="84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other</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plans</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auto"/>
              </w:rPr>
              <w:t>Other</w:t>
            </w: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color w:val="auto"/>
                <w:w w:val="93"/>
              </w:rPr>
              <w:t>before tax</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tax</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6"/>
          </w:tcPr>
          <w:p>
            <w:pPr>
              <w:jc w:val="right"/>
              <w:ind w:right="106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$37,255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18,450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(161,617)</w:t>
            </w: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(105,797)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41,638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$(64,159)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net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19,968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42,119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62,087</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(24,374)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(234)</w:t>
            </w: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before reclassifications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42,119</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61,853</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(24,276)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09"/>
        </w:trPr>
        <w:tc>
          <w:tcPr>
            <w:tcW w:w="4760" w:type="dxa"/>
            <w:vAlign w:val="bottom"/>
            <w:gridSpan w:val="2"/>
          </w:tcPr>
          <w:p>
            <w:pPr>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income that (increase) decrease net income:</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unrealized holding losses on held-to-maturity</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(“HTM”) securities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825(a)</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18"/>
                <w:szCs w:val="18"/>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(2,000)(c)</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losses</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Total reclassifications</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5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gain (loss) during the period</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19,970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42,942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c>
          <w:tcPr>
            <w:tcW w:w="8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64,028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(25,130)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Balance – March 31, 2014</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57,225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61,392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(160,267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6"/>
              </w:rPr>
              <w:t>(119)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(41,769</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16,508</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8"/>
                <w:szCs w:val="18"/>
                <w:color w:val="auto"/>
              </w:rPr>
              <w:t>- 28 -</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ind w:left="180"/>
              <w:spacing w:after="0"/>
              <w:rPr>
                <w:sz w:val="20"/>
                <w:szCs w:val="20"/>
                <w:color w:val="auto"/>
              </w:rPr>
            </w:pPr>
            <w:r>
              <w:rPr>
                <w:rFonts w:ascii="Arial" w:cs="Arial" w:eastAsia="Arial" w:hAnsi="Arial"/>
                <w:sz w:val="14"/>
                <w:szCs w:val="14"/>
                <w:color w:val="auto"/>
              </w:rPr>
              <w:t>Investment Securities</w:t>
            </w: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5"/>
              </w:rPr>
              <w:t>Defined</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color w:val="auto"/>
                <w:w w:val="89"/>
              </w:rPr>
              <w:t>Total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With</w:t>
            </w:r>
          </w:p>
        </w:tc>
        <w:tc>
          <w:tcPr>
            <w:tcW w:w="9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All</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benefit</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4"/>
              </w:rPr>
              <w:t>amount</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Income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OTTI</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color w:val="auto"/>
              </w:rPr>
              <w:t>other</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plans</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before tax</w:t>
            </w: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rPr>
              <w:t>tax</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5"/>
          </w:tcPr>
          <w:p>
            <w:pPr>
              <w:jc w:val="right"/>
              <w:ind w:right="1200"/>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$(91,835)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152,199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(455,590)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$(395,657)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155,393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$(240,264)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gains (losses), net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24,540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(18,959)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5,581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(1,452)</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(1,452)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other comprehensive income before reclassifications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(18,959)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(1,452)</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4,129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9"/>
        </w:trPr>
        <w:tc>
          <w:tcPr>
            <w:tcW w:w="4640" w:type="dxa"/>
            <w:vAlign w:val="bottom"/>
            <w:gridSpan w:val="2"/>
          </w:tcPr>
          <w:p>
            <w:pPr>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income that (increase) decrease net income:</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Accretion of unrealized holding losses on HTM securities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1,195(a)</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OTTI charges recognized in net income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9,800</w:t>
            </w:r>
          </w:p>
        </w:tc>
        <w:tc>
          <w:tcPr>
            <w:tcW w:w="2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9,800(b)</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(3,847)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prior service credit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(2,000)(c)</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Amortization of actuarial losses</w:t>
            </w:r>
          </w:p>
        </w:tc>
        <w:tc>
          <w:tcPr>
            <w:tcW w:w="1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10,500</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10,500(c)</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(4,121)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19,495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11,843</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Total gain (loss) during the period</w:t>
            </w: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34,389</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(17,813)</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(1,452</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23,624</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2013</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(57,446)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134,386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(447,090)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(1,883)</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(372,033)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146,080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(225,953)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interest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OTTI losses recognized in earnings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salaries and employee benefits expense</w:t>
      </w:r>
    </w:p>
    <w:p>
      <w:pPr>
        <w:spacing w:after="0" w:line="210"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Accumulated other comprehensive income (loss), net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Defined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Arial" w:cs="Arial" w:eastAsia="Arial" w:hAnsi="Arial"/>
                <w:sz w:val="14"/>
                <w:szCs w:val="14"/>
                <w:color w:val="auto"/>
                <w:w w:val="98"/>
              </w:rPr>
              <w:t>Investment securities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benefit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color w:val="auto"/>
                <w:w w:val="97"/>
              </w:rPr>
              <w:t>With OTTI</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All other</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2" w:lineRule="exact"/>
              <w:rPr>
                <w:sz w:val="20"/>
                <w:szCs w:val="20"/>
                <w:color w:val="auto"/>
              </w:rPr>
            </w:pPr>
            <w:r>
              <w:rPr>
                <w:rFonts w:ascii="Arial" w:cs="Arial" w:eastAsia="Arial" w:hAnsi="Arial"/>
                <w:sz w:val="14"/>
                <w:szCs w:val="14"/>
                <w:color w:val="auto"/>
                <w:w w:val="89"/>
              </w:rPr>
              <w:t>plans</w:t>
            </w:r>
          </w:p>
        </w:tc>
        <w:tc>
          <w:tcPr>
            <w:tcW w:w="6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w w:val="96"/>
              </w:rPr>
              <w:t>Other</w:t>
            </w: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37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$ 22,632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11,294</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(98,182)</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37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12,132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26,082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2014</w:t>
            </w:r>
          </w:p>
        </w:tc>
        <w:tc>
          <w:tcPr>
            <w:tcW w:w="4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$ 34,764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37,376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(97,362)</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780" w:type="dxa"/>
            <w:vAlign w:val="bottom"/>
            <w:vMerge w:val="restart"/>
          </w:tcPr>
          <w:p>
            <w:pPr>
              <w:jc w:val="right"/>
              <w:ind w:right="1650"/>
              <w:spacing w:after="0"/>
              <w:rPr>
                <w:sz w:val="20"/>
                <w:szCs w:val="20"/>
                <w:color w:val="auto"/>
              </w:rPr>
            </w:pPr>
            <w:r>
              <w:rPr>
                <w:rFonts w:ascii="Arial" w:cs="Arial" w:eastAsia="Arial" w:hAnsi="Arial"/>
                <w:sz w:val="18"/>
                <w:szCs w:val="18"/>
                <w:color w:val="auto"/>
              </w:rPr>
              <w:t>- 29 -</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March 31, 2014.</w:t>
      </w:r>
    </w:p>
    <w:p>
      <w:pPr>
        <w:spacing w:after="0" w:line="193"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net effect of interest rate swap agreements was to increase net interest income by $11 million and $10 million for the three months ended March 31, 2014 and 2013, respectively.</w:t>
      </w:r>
    </w:p>
    <w:p>
      <w:pPr>
        <w:spacing w:after="0" w:line="170"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Information about interest rate swap agreements entered into for interest rate risk management purposes summarized by type of financial instrument the swap agreements were intended to hedge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80" w:type="dxa"/>
            <w:vAlign w:val="bottom"/>
            <w:gridSpan w:val="3"/>
          </w:tcPr>
          <w:p>
            <w:pPr>
              <w:jc w:val="center"/>
              <w:ind w:right="460"/>
              <w:spacing w:after="0"/>
              <w:rPr>
                <w:sz w:val="20"/>
                <w:szCs w:val="20"/>
                <w:color w:val="auto"/>
              </w:rPr>
            </w:pPr>
            <w:r>
              <w:rPr>
                <w:rFonts w:ascii="Arial" w:cs="Arial" w:eastAsia="Arial" w:hAnsi="Arial"/>
                <w:sz w:val="14"/>
                <w:szCs w:val="14"/>
                <w:color w:val="auto"/>
                <w:w w:val="97"/>
              </w:rPr>
              <w:t>Notional</w:t>
            </w:r>
          </w:p>
        </w:tc>
        <w:tc>
          <w:tcPr>
            <w:tcW w:w="1000" w:type="dxa"/>
            <w:vAlign w:val="bottom"/>
            <w:gridSpan w:val="2"/>
          </w:tcPr>
          <w:p>
            <w:pPr>
              <w:jc w:val="center"/>
              <w:ind w:right="460"/>
              <w:spacing w:after="0"/>
              <w:rPr>
                <w:sz w:val="20"/>
                <w:szCs w:val="20"/>
                <w:color w:val="auto"/>
              </w:rPr>
            </w:pPr>
            <w:r>
              <w:rPr>
                <w:rFonts w:ascii="Arial" w:cs="Arial" w:eastAsia="Arial" w:hAnsi="Arial"/>
                <w:sz w:val="14"/>
                <w:szCs w:val="14"/>
                <w:color w:val="auto"/>
                <w:w w:val="88"/>
              </w:rPr>
              <w:t>Average</w:t>
            </w:r>
          </w:p>
        </w:tc>
        <w:tc>
          <w:tcPr>
            <w:tcW w:w="1640" w:type="dxa"/>
            <w:vAlign w:val="bottom"/>
            <w:gridSpan w:val="4"/>
          </w:tcPr>
          <w:p>
            <w:pPr>
              <w:jc w:val="right"/>
              <w:ind w:right="560"/>
              <w:spacing w:after="0"/>
              <w:rPr>
                <w:sz w:val="20"/>
                <w:szCs w:val="20"/>
                <w:color w:val="auto"/>
              </w:rPr>
            </w:pPr>
            <w:r>
              <w:rPr>
                <w:rFonts w:ascii="Arial" w:cs="Arial" w:eastAsia="Arial" w:hAnsi="Arial"/>
                <w:sz w:val="14"/>
                <w:szCs w:val="14"/>
                <w:color w:val="auto"/>
              </w:rPr>
              <w:t>average rate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280" w:type="dxa"/>
            <w:vAlign w:val="bottom"/>
            <w:gridSpan w:val="3"/>
          </w:tcPr>
          <w:p>
            <w:pPr>
              <w:jc w:val="center"/>
              <w:ind w:right="480"/>
              <w:spacing w:after="0" w:line="142" w:lineRule="exact"/>
              <w:rPr>
                <w:sz w:val="20"/>
                <w:szCs w:val="20"/>
                <w:color w:val="auto"/>
              </w:rPr>
            </w:pPr>
            <w:r>
              <w:rPr>
                <w:rFonts w:ascii="Arial" w:cs="Arial" w:eastAsia="Arial" w:hAnsi="Arial"/>
                <w:sz w:val="14"/>
                <w:szCs w:val="14"/>
                <w:color w:val="auto"/>
                <w:w w:val="94"/>
              </w:rPr>
              <w:t>amount</w:t>
            </w:r>
          </w:p>
        </w:tc>
        <w:tc>
          <w:tcPr>
            <w:tcW w:w="1000" w:type="dxa"/>
            <w:vAlign w:val="bottom"/>
            <w:gridSpan w:val="2"/>
          </w:tcPr>
          <w:p>
            <w:pPr>
              <w:jc w:val="center"/>
              <w:ind w:right="460"/>
              <w:spacing w:after="0" w:line="142" w:lineRule="exact"/>
              <w:rPr>
                <w:sz w:val="20"/>
                <w:szCs w:val="20"/>
                <w:color w:val="auto"/>
              </w:rPr>
            </w:pPr>
            <w:r>
              <w:rPr>
                <w:rFonts w:ascii="Arial" w:cs="Arial" w:eastAsia="Arial" w:hAnsi="Arial"/>
                <w:sz w:val="14"/>
                <w:szCs w:val="14"/>
                <w:color w:val="auto"/>
              </w:rPr>
              <w:t>maturity</w:t>
            </w:r>
          </w:p>
        </w:tc>
        <w:tc>
          <w:tcPr>
            <w:tcW w:w="960" w:type="dxa"/>
            <w:vAlign w:val="bottom"/>
            <w:tcBorders>
              <w:top w:val="single" w:sz="8" w:color="auto"/>
            </w:tcBorders>
            <w:gridSpan w:val="2"/>
          </w:tcPr>
          <w:p>
            <w:pPr>
              <w:jc w:val="right"/>
              <w:ind w:right="528"/>
              <w:spacing w:after="0" w:line="142" w:lineRule="exact"/>
              <w:rPr>
                <w:sz w:val="20"/>
                <w:szCs w:val="20"/>
                <w:color w:val="auto"/>
              </w:rPr>
            </w:pPr>
            <w:r>
              <w:rPr>
                <w:rFonts w:ascii="Arial" w:cs="Arial" w:eastAsia="Arial" w:hAnsi="Arial"/>
                <w:sz w:val="14"/>
                <w:szCs w:val="14"/>
                <w:color w:val="auto"/>
                <w:w w:val="99"/>
              </w:rPr>
              <w:t>Fixed</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gridSpan w:val="2"/>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(in years)</w:t>
            </w:r>
          </w:p>
        </w:tc>
        <w:tc>
          <w:tcPr>
            <w:tcW w:w="4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March 31, 2014</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Fair value hedges: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9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8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1,400,000</w:t>
            </w:r>
          </w:p>
        </w:tc>
        <w:tc>
          <w:tcPr>
            <w:tcW w:w="4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ind w:right="348"/>
              <w:spacing w:after="0"/>
              <w:rPr>
                <w:sz w:val="20"/>
                <w:szCs w:val="20"/>
                <w:color w:val="auto"/>
              </w:rPr>
            </w:pPr>
            <w:r>
              <w:rPr>
                <w:rFonts w:ascii="Arial" w:cs="Arial" w:eastAsia="Arial" w:hAnsi="Arial"/>
                <w:sz w:val="18"/>
                <w:szCs w:val="18"/>
                <w:color w:val="auto"/>
              </w:rPr>
              <w:t>4.42%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Under the terms of these agreements, the Company receives settlement amounts at a fixed rate and pays at a variable rate.</w:t>
      </w:r>
    </w:p>
    <w:p>
      <w:pPr>
        <w:spacing w:after="0" w:line="225" w:lineRule="exact"/>
        <w:rPr>
          <w:sz w:val="20"/>
          <w:szCs w:val="20"/>
          <w:color w:val="auto"/>
        </w:rPr>
      </w:pPr>
    </w:p>
    <w:p>
      <w:pPr>
        <w:jc w:val="both"/>
        <w:ind w:right="80" w:firstLine="913"/>
        <w:spacing w:after="0" w:line="286" w:lineRule="auto"/>
        <w:rPr>
          <w:sz w:val="20"/>
          <w:szCs w:val="20"/>
          <w:color w:val="auto"/>
        </w:rPr>
      </w:pPr>
      <w:r>
        <w:rPr>
          <w:rFonts w:ascii="Arial" w:cs="Arial" w:eastAsia="Arial" w:hAnsi="Arial"/>
          <w:sz w:val="17"/>
          <w:szCs w:val="17"/>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66"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$17.1 billion and $17.4 billion at March 31, 2014 and December 31, 2013, respectively. The notional amounts of foreign currency and other option and futures contracts entered into for trading purposes aggregated $1.0 billion and $1.4 billion at March 31, 2014 and December 31, 2013, respectively.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right"/>
              <w:ind w:right="880"/>
              <w:spacing w:after="0"/>
              <w:rPr>
                <w:sz w:val="20"/>
                <w:szCs w:val="20"/>
                <w:color w:val="auto"/>
              </w:rPr>
            </w:pPr>
            <w:r>
              <w:rPr>
                <w:rFonts w:ascii="Arial" w:cs="Arial" w:eastAsia="Arial" w:hAnsi="Arial"/>
                <w:sz w:val="14"/>
                <w:szCs w:val="14"/>
                <w:color w:val="auto"/>
              </w:rPr>
              <w:t>Asset derivatives</w:t>
            </w:r>
          </w:p>
        </w:tc>
        <w:tc>
          <w:tcPr>
            <w:tcW w:w="100" w:type="dxa"/>
            <w:vAlign w:val="bottom"/>
          </w:tcPr>
          <w:p>
            <w:pPr>
              <w:spacing w:after="0"/>
              <w:rPr>
                <w:sz w:val="14"/>
                <w:szCs w:val="14"/>
                <w:color w:val="auto"/>
              </w:rPr>
            </w:pPr>
          </w:p>
        </w:tc>
        <w:tc>
          <w:tcPr>
            <w:tcW w:w="1920" w:type="dxa"/>
            <w:vAlign w:val="bottom"/>
            <w:gridSpan w:val="4"/>
          </w:tcPr>
          <w:p>
            <w:pPr>
              <w:jc w:val="right"/>
              <w:ind w:right="480"/>
              <w:spacing w:after="0"/>
              <w:rPr>
                <w:sz w:val="20"/>
                <w:szCs w:val="20"/>
                <w:color w:val="auto"/>
              </w:rPr>
            </w:pPr>
            <w:r>
              <w:rPr>
                <w:rFonts w:ascii="Arial" w:cs="Arial" w:eastAsia="Arial" w:hAnsi="Arial"/>
                <w:sz w:val="14"/>
                <w:szCs w:val="14"/>
                <w:color w:val="auto"/>
              </w:rPr>
              <w:t>Liability derivatives</w:t>
            </w: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3"/>
          </w:tcPr>
          <w:p>
            <w:pPr>
              <w:jc w:val="right"/>
              <w:ind w:right="574"/>
              <w:spacing w:after="0" w:line="142" w:lineRule="exact"/>
              <w:rPr>
                <w:sz w:val="20"/>
                <w:szCs w:val="20"/>
                <w:color w:val="auto"/>
              </w:rPr>
            </w:pPr>
            <w:r>
              <w:rPr>
                <w:rFonts w:ascii="Arial" w:cs="Arial" w:eastAsia="Arial" w:hAnsi="Arial"/>
                <w:sz w:val="14"/>
                <w:szCs w:val="14"/>
                <w:color w:val="auto"/>
              </w:rPr>
              <w:t>Fair value</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3"/>
          </w:tcPr>
          <w:p>
            <w:pPr>
              <w:jc w:val="right"/>
              <w:ind w:right="573"/>
              <w:spacing w:after="0" w:line="142" w:lineRule="exact"/>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3"/>
          </w:tcPr>
          <w:p>
            <w:pPr>
              <w:jc w:val="right"/>
              <w:ind w:right="460"/>
              <w:spacing w:after="0" w:line="123" w:lineRule="exact"/>
              <w:rPr>
                <w:sz w:val="20"/>
                <w:szCs w:val="20"/>
                <w:color w:val="auto"/>
              </w:rPr>
            </w:pPr>
            <w:r>
              <w:rPr>
                <w:rFonts w:ascii="Arial" w:cs="Arial" w:eastAsia="Arial" w:hAnsi="Arial"/>
                <w:sz w:val="14"/>
                <w:szCs w:val="14"/>
                <w:color w:val="auto"/>
                <w:w w:val="99"/>
              </w:rPr>
              <w:t>March 31,</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420" w:type="dxa"/>
            <w:vAlign w:val="bottom"/>
          </w:tcPr>
          <w:p>
            <w:pPr>
              <w:spacing w:after="0"/>
              <w:rPr>
                <w:sz w:val="10"/>
                <w:szCs w:val="10"/>
                <w:color w:val="auto"/>
              </w:rPr>
            </w:pPr>
          </w:p>
        </w:tc>
        <w:tc>
          <w:tcPr>
            <w:tcW w:w="1120" w:type="dxa"/>
            <w:vAlign w:val="bottom"/>
            <w:gridSpan w:val="3"/>
          </w:tcPr>
          <w:p>
            <w:pPr>
              <w:ind w:left="60"/>
              <w:spacing w:after="0" w:line="123" w:lineRule="exact"/>
              <w:rPr>
                <w:sz w:val="20"/>
                <w:szCs w:val="20"/>
                <w:color w:val="auto"/>
              </w:rPr>
            </w:pPr>
            <w:r>
              <w:rPr>
                <w:rFonts w:ascii="Arial" w:cs="Arial" w:eastAsia="Arial" w:hAnsi="Arial"/>
                <w:sz w:val="14"/>
                <w:szCs w:val="14"/>
                <w:color w:val="auto"/>
              </w:rPr>
              <w:t>March 31,</w:t>
            </w: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87"/>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420" w:type="dxa"/>
            <w:vAlign w:val="bottom"/>
          </w:tcPr>
          <w:p>
            <w:pPr>
              <w:spacing w:after="0"/>
              <w:rPr>
                <w:sz w:val="16"/>
                <w:szCs w:val="16"/>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2013</w:t>
            </w: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2014</w:t>
            </w:r>
          </w:p>
        </w:tc>
        <w:tc>
          <w:tcPr>
            <w:tcW w:w="420" w:type="dxa"/>
            <w:vAlign w:val="bottom"/>
          </w:tcPr>
          <w:p>
            <w:pPr>
              <w:spacing w:after="0"/>
              <w:rPr>
                <w:sz w:val="16"/>
                <w:szCs w:val="16"/>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5"/>
          </w:tcPr>
          <w:p>
            <w:pPr>
              <w:ind w:left="600"/>
              <w:spacing w:after="0" w:line="149"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Fair value hedges: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 agreements (a)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94,716</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Commitments to sell real estate loans (a)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1,303</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1,160</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96,019</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109,832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w w:val="99"/>
              </w:rPr>
              <w:t>Derivatives not designated and qualifying as hedging instruments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Mortgage-related commitments to originate real estate loans for sale (a)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13,878</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2,807</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1,895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Interest rate contracts (b)</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246,284</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274,864</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207,179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234,455</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and other option and futures contracts (b)</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8,963</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15,831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15,342</w:t>
            </w: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271,932</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219,550</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253,702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367,951</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414,263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220,710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254,189</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color w:val="auto"/>
                <w:w w:val="94"/>
              </w:rPr>
              <w:t>Amount of unrealized gain (loss) recognized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gridSpan w:val="6"/>
          </w:tcPr>
          <w:p>
            <w:pPr>
              <w:jc w:val="right"/>
              <w:ind w:right="640"/>
              <w:spacing w:after="0" w:line="123" w:lineRule="exact"/>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3"/>
          </w:tcPr>
          <w:p>
            <w:pPr>
              <w:jc w:val="right"/>
              <w:ind w:right="279"/>
              <w:spacing w:after="0" w:line="123" w:lineRule="exact"/>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80"/>
              <w:spacing w:after="0"/>
              <w:rPr>
                <w:sz w:val="20"/>
                <w:szCs w:val="20"/>
                <w:color w:val="auto"/>
              </w:rPr>
            </w:pPr>
            <w:r>
              <w:rPr>
                <w:rFonts w:ascii="Arial" w:cs="Arial" w:eastAsia="Arial" w:hAnsi="Arial"/>
                <w:sz w:val="14"/>
                <w:szCs w:val="14"/>
                <w:color w:val="auto"/>
              </w:rPr>
              <w:t>March 31, 2014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color w:val="auto"/>
              </w:rPr>
              <w:t>March 31, 2013</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78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Derivative</w:t>
            </w:r>
          </w:p>
        </w:tc>
        <w:tc>
          <w:tcPr>
            <w:tcW w:w="3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4"/>
          </w:tcPr>
          <w:p>
            <w:pPr>
              <w:jc w:val="center"/>
              <w:ind w:left="528"/>
              <w:spacing w:after="0" w:line="142" w:lineRule="exact"/>
              <w:rPr>
                <w:sz w:val="20"/>
                <w:szCs w:val="20"/>
                <w:color w:val="auto"/>
              </w:rPr>
            </w:pPr>
            <w:r>
              <w:rPr>
                <w:rFonts w:ascii="Arial" w:cs="Arial" w:eastAsia="Arial" w:hAnsi="Arial"/>
                <w:sz w:val="14"/>
                <w:szCs w:val="14"/>
                <w:color w:val="auto"/>
                <w:w w:val="92"/>
              </w:rPr>
              <w:t>(in thousands)</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(8,160)</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7,920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(8,873)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Interest rate contracts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(302)</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968</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and other option and futures contracts (b)</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(5,030)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(5,332</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other revenues from operations.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11"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$23 million at each of March 31, 2014 and December 31, 2013. Changes in unrealized gains and losses are included in mortgage banking revenues and, in general, are realized in subsequent periods as the related loans are sold and commitments satisfied.</w:t>
      </w:r>
    </w:p>
    <w:p>
      <w:pPr>
        <w:spacing w:after="0" w:line="16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The Company does not offset derivative asset and liability positions in its consolidated financial statements. The Company’s exposure to credit risk by entering into derivative contracts is mitigated through master netting agreements and collateral posting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aggregate fair value of derivative financial instruments in a liability position, which are subject to enforceable master netting arrangements, was $175 million and $194 million at March 31, 2014 and December 31, 2013, respectively. After consideration of such netting arrangements, the net liability positions with counterparties aggregated $101 million and $107 million at March 31, 2014 and December 31, 2013, respectively. The Company was required to post collateral relating to those positions of $93 million and $95 million, at March 31, 2014 and December 31, 2013,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financial instruments, continued</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counterparties of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March 31, 2014 was $32 million for which the Company had posted collateral of $22 million in the normal course of business. If the credit-risk-related contingent features had been triggered on March 31, 2014, the maximum amount of additional collateral the Company would have been required to post with counterparties was $10 million.</w:t>
      </w:r>
    </w:p>
    <w:p>
      <w:pPr>
        <w:spacing w:after="0" w:line="188"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The aggregate fair value of derivative financial instruments in an asset position, which are subject to an enforceable master netting arrangement, was $167 million and $183 million at March 31, 2014 and December 31, 2013, respectively. After consideration of such netting arrangements, the net asset positions with counterparties aggregated $94 million and $95 million at March 31, 2014 and December 31, 2013, respectively. Counterparties posted collateral relating to those positions of $92 million and $93 million at March 31, 2014 and December 31, 2013, respectively. Trading account interest rate swap agreements entered into with customers are subject to the Company’s credit risk standards and often contain collateral provisions.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March 31, 2014 and December 31, 2013, the carrying values of the loans in the securitization trust were $117 million and $121 million, respectively. The outstanding principal amount of mortgage-backed securities issued by the qualified special purpose trust that was held by parties unrelated to M&amp;T at March 31, 2014 and December 31, 2013 was $18 million. Because the transaction was non-recourse, the Company’s maximum exposure to loss as a result of its association with the trust at March 31, 2014 is limited to realizing the carrying value of the loans less the amount of the mortgage-backed securities held by third parties.</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March 31, 2014 and December 31, 2013,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has invested as a limited partner in various partnerships that collectively had total assets of approximately $1.3 billion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2014 and December 31, 2013. Those partnerships generally construct or acquire properties for which the investing partners are eligible to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federal income tax credits in accordance with government guidelines. Such investments may also provide tax deductible losses to the partners.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partnership investments also assist the Company in achieving its community reinvestment initiatives. As a limited partner, there is no recourse to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by creditors of the partnerships. However, the tax credits that result from the Company’s investments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 and asset securitizations, continued</w:t>
      </w:r>
    </w:p>
    <w:p>
      <w:pPr>
        <w:spacing w:after="0" w:line="1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such partnerships are generally subject to recapture should a partnership fail to comply with the respective government regulations. The Company’s maximum exposure to loss of its investments in such partnerships was $250 million, including $57 million of unfunded commitments, at March 31, 2014 and $236 million, including $45 million of unfunded commitments, at December 31, 2013.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March 31, 2014.</w:t>
      </w:r>
    </w:p>
    <w:p>
      <w:pPr>
        <w:spacing w:after="0" w:line="170"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87"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30" w:lineRule="exact"/>
        <w:rPr>
          <w:rFonts w:ascii="Arial" w:cs="Arial" w:eastAsia="Arial" w:hAnsi="Arial"/>
          <w:sz w:val="18"/>
          <w:szCs w:val="18"/>
          <w:color w:val="auto"/>
        </w:rPr>
      </w:pPr>
    </w:p>
    <w:p>
      <w:pPr>
        <w:ind w:left="900" w:right="340" w:hanging="325"/>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29" w:lineRule="exact"/>
        <w:rPr>
          <w:rFonts w:ascii="Arial" w:cs="Arial" w:eastAsia="Arial" w:hAnsi="Arial"/>
          <w:sz w:val="16"/>
          <w:szCs w:val="16"/>
          <w:color w:val="auto"/>
        </w:rPr>
      </w:pPr>
    </w:p>
    <w:p>
      <w:pPr>
        <w:ind w:left="900" w:right="20" w:hanging="325"/>
        <w:spacing w:after="0" w:line="308"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4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The Company sold substantially all of its privately issued mortgage-backed securities classified as available for sale during the second quarter of 2013. In prior periods, the Company generally used model-based techniques to value such securities because the Company was significantly restricted in the level of market observable assumptions that could be relied upon. Specifically, market assumptions regarding credit adjusted cash flows and liquidity influences on discount rates were difficult to observe at the individual bond level. Because of the inactivity in the markets and the lack of observable valuation inputs, the Company classified the valuation of privately issued mortgage-backed securities as Level 3.</w:t>
      </w:r>
    </w:p>
    <w:p>
      <w:pPr>
        <w:spacing w:after="0" w:line="173"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March 31, 2014 and December 31, 2013.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4% to 11% with a weighted-average of 7% was used. Significant unobservable inputs used in the determination of estimated fair value of collateralized debt obligations are included in the accompanying table of significant unobservable inputs to Level 3 measurements. At March 31, 2014, the total amortized cost and fair value of securities backed by trust preferred securities issued by financial institutions and other entities were $38 million and $62 million, respectively, and at December 31, 2013 were $42 million and $63 million, respectively. Privately issued mortgage-backed securities and securities backed by trust preferred securities issued by financial institutions and other entities constituted all of the available-for-sale investment securities classified as Level 3 valuations.</w:t>
      </w:r>
    </w:p>
    <w:p>
      <w:pPr>
        <w:spacing w:after="0" w:line="173"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Company ensures an appropriate control framework is in place over the valuation processes and techniques used for Level 3 fair value measurements. Internal pricing models used for significant valuation measurements have generally been subjected to validation procedures including testing of mathematical constructs, review of valuation methodology and significant assumptions used.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tables present assets and liabilities at March 31, 2014 and December 31, 2013 measured at estimated fair value on a recurring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basis:</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6"/>
              </w:rPr>
              <w:t>March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3"/>
              <w:spacing w:after="0"/>
              <w:rPr>
                <w:sz w:val="20"/>
                <w:szCs w:val="20"/>
                <w:color w:val="auto"/>
              </w:rPr>
            </w:pPr>
            <w:r>
              <w:rPr>
                <w:rFonts w:ascii="Arial" w:cs="Arial" w:eastAsia="Arial" w:hAnsi="Arial"/>
                <w:sz w:val="14"/>
                <w:szCs w:val="14"/>
                <w:color w:val="auto"/>
                <w:w w:val="89"/>
              </w:rPr>
              <w:t>2014</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112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49,473</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265,334</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and federal agencies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42,647</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42,647</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Obligations of states and political subdivisions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10,383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10,383</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720"/>
              <w:spacing w:after="0"/>
              <w:rPr>
                <w:sz w:val="20"/>
                <w:szCs w:val="20"/>
                <w:color w:val="auto"/>
              </w:rPr>
            </w:pPr>
            <w:r>
              <w:rPr>
                <w:rFonts w:ascii="Arial" w:cs="Arial" w:eastAsia="Arial" w:hAnsi="Arial"/>
                <w:sz w:val="18"/>
                <w:szCs w:val="18"/>
                <w:color w:val="auto"/>
              </w:rPr>
              <w:t>Government issued or guaranteed</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5,801,091</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5,801,091</w:t>
            </w:r>
          </w:p>
        </w:tc>
        <w:tc>
          <w:tcPr>
            <w:tcW w:w="4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Privately issued</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Collateralized debt obligations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61,768</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61,768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debt securities</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122,249</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152,737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80,580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72,157</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6,191,571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80,580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6,048,527</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62,464</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8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330,004</w:t>
            </w: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330,004</w:t>
            </w:r>
          </w:p>
        </w:tc>
        <w:tc>
          <w:tcPr>
            <w:tcW w:w="40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112,704</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98,826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13,878</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6,949,086</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130,053</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6,742,691</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216,366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216,366</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liabilities (b)</w:t>
            </w:r>
          </w:p>
        </w:tc>
        <w:tc>
          <w:tcPr>
            <w:tcW w:w="1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4,344</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3,055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220,710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219,421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80" w:type="dxa"/>
            <w:vAlign w:val="bottom"/>
            <w:vMerge w:val="restart"/>
          </w:tcPr>
          <w:p>
            <w:pPr>
              <w:jc w:val="right"/>
              <w:ind w:right="750"/>
              <w:spacing w:after="0"/>
              <w:rPr>
                <w:sz w:val="20"/>
                <w:szCs w:val="20"/>
                <w:color w:val="auto"/>
              </w:rPr>
            </w:pPr>
            <w:r>
              <w:rPr>
                <w:rFonts w:ascii="Arial" w:cs="Arial" w:eastAsia="Arial" w:hAnsi="Arial"/>
                <w:sz w:val="18"/>
                <w:szCs w:val="18"/>
                <w:color w:val="auto"/>
              </w:rPr>
              <w:t>- 37 -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color w:val="auto"/>
                <w:w w:val="91"/>
              </w:rPr>
              <w:t>Fair value</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color w:val="auto"/>
              </w:rPr>
              <w:t>measurements at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6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0"/>
              </w:rPr>
              <w:t>December 31,</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5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4"/>
                <w:szCs w:val="14"/>
                <w:color w:val="auto"/>
                <w:w w:val="89"/>
              </w:rPr>
              <w:t>2013</w:t>
            </w:r>
          </w:p>
        </w:tc>
        <w:tc>
          <w:tcPr>
            <w:tcW w:w="4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Level 1 (a)</w:t>
            </w: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Level 2 (a)</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Level 3</w:t>
            </w:r>
          </w:p>
        </w:tc>
      </w:tr>
      <w:tr>
        <w:trPr>
          <w:trHeight w:val="142"/>
        </w:trPr>
        <w:tc>
          <w:tcPr>
            <w:tcW w:w="50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4"/>
          </w:tcPr>
          <w:p>
            <w:pPr>
              <w:jc w:val="right"/>
              <w:ind w:right="112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376,131</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51,386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324,745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Treasury and federal agencies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37,776</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37,776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Obligations of states and political subdivisions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10,811</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10,811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Mortgage-backed securities: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720"/>
              <w:spacing w:after="0"/>
              <w:rPr>
                <w:sz w:val="20"/>
                <w:szCs w:val="20"/>
                <w:color w:val="auto"/>
              </w:rPr>
            </w:pPr>
            <w:r>
              <w:rPr>
                <w:rFonts w:ascii="Arial" w:cs="Arial" w:eastAsia="Arial" w:hAnsi="Arial"/>
                <w:sz w:val="18"/>
                <w:szCs w:val="18"/>
                <w:color w:val="auto"/>
              </w:rPr>
              <w:t>Government issued or guaranteed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4,165,086</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4,165,086</w:t>
            </w:r>
          </w:p>
        </w:tc>
        <w:tc>
          <w:tcPr>
            <w:tcW w:w="4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Privately issued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Collateralized debt obligations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63,083</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63,083</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debt securities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120,085</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133,095</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82,450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50,645</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4,531,786</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82,450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4,384,403</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64,933</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468,650</w:t>
            </w: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468,650</w:t>
            </w:r>
          </w:p>
        </w:tc>
        <w:tc>
          <w:tcPr>
            <w:tcW w:w="40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assets (b)</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123,568</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115,952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w:t>
            </w: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5,500,135</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133,836</w:t>
            </w: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5,293,750</w:t>
            </w:r>
          </w:p>
        </w:tc>
        <w:tc>
          <w:tcPr>
            <w:tcW w:w="4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72,549</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249,797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249,797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liabilities (b)</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4,392</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3,675</w:t>
            </w:r>
          </w:p>
        </w:tc>
      </w:tr>
      <w:tr>
        <w:trPr>
          <w:trHeight w:val="27"/>
        </w:trPr>
        <w:tc>
          <w:tcPr>
            <w:tcW w:w="5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254,189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250,514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3,675</w:t>
            </w:r>
          </w:p>
        </w:tc>
      </w:tr>
      <w:tr>
        <w:trPr>
          <w:trHeight w:val="20"/>
        </w:trPr>
        <w:tc>
          <w:tcPr>
            <w:tcW w:w="5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ended March 31, 2014 and the year ended December 31, 2013.</w:t>
      </w:r>
    </w:p>
    <w:p>
      <w:pPr>
        <w:spacing w:after="0" w:line="1" w:lineRule="exact"/>
        <w:rPr>
          <w:rFonts w:ascii="Arial" w:cs="Arial" w:eastAsia="Arial" w:hAnsi="Arial"/>
          <w:sz w:val="18"/>
          <w:szCs w:val="18"/>
          <w:i w:val="1"/>
          <w:iCs w:val="1"/>
          <w:color w:val="auto"/>
        </w:rPr>
      </w:pPr>
    </w:p>
    <w:p>
      <w:pPr>
        <w:ind w:left="460" w:right="380" w:hanging="452"/>
        <w:spacing w:after="0" w:line="261" w:lineRule="auto"/>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1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2014 were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60" w:type="dxa"/>
            <w:vAlign w:val="bottom"/>
            <w:gridSpan w:val="6"/>
          </w:tcPr>
          <w:p>
            <w:pPr>
              <w:jc w:val="right"/>
              <w:ind w:right="800"/>
              <w:spacing w:after="0"/>
              <w:rPr>
                <w:sz w:val="20"/>
                <w:szCs w:val="20"/>
                <w:color w:val="auto"/>
              </w:rPr>
            </w:pPr>
            <w:r>
              <w:rPr>
                <w:rFonts w:ascii="Arial" w:cs="Arial" w:eastAsia="Arial" w:hAnsi="Arial"/>
                <w:sz w:val="14"/>
                <w:szCs w:val="14"/>
                <w:color w:val="auto"/>
                <w:w w:val="97"/>
              </w:rPr>
              <w:t>Investment securities available for sale</w:t>
            </w:r>
          </w:p>
        </w:tc>
        <w:tc>
          <w:tcPr>
            <w:tcW w:w="34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4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tcBorders>
              <w:top w:val="single" w:sz="8" w:color="auto"/>
            </w:tcBorders>
            <w:gridSpan w:val="3"/>
          </w:tcPr>
          <w:p>
            <w:pPr>
              <w:jc w:val="center"/>
              <w:ind w:right="460"/>
              <w:spacing w:after="0" w:line="123" w:lineRule="exact"/>
              <w:rPr>
                <w:sz w:val="20"/>
                <w:szCs w:val="20"/>
                <w:color w:val="auto"/>
              </w:rPr>
            </w:pPr>
            <w:r>
              <w:rPr>
                <w:rFonts w:ascii="Arial" w:cs="Arial" w:eastAsia="Arial" w:hAnsi="Arial"/>
                <w:sz w:val="14"/>
                <w:szCs w:val="14"/>
                <w:color w:val="auto"/>
                <w:w w:val="93"/>
              </w:rPr>
              <w:t>Privately issued</w:t>
            </w:r>
          </w:p>
        </w:tc>
        <w:tc>
          <w:tcPr>
            <w:tcW w:w="4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6"/>
              </w:rPr>
              <w:t>Collateralized</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1"/>
              </w:rPr>
              <w:t>mortgage-backed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debt</w:t>
            </w:r>
          </w:p>
        </w:tc>
        <w:tc>
          <w:tcPr>
            <w:tcW w:w="340" w:type="dxa"/>
            <w:vAlign w:val="bottom"/>
          </w:tcPr>
          <w:p>
            <w:pPr>
              <w:spacing w:after="0"/>
              <w:rPr>
                <w:sz w:val="12"/>
                <w:szCs w:val="12"/>
                <w:color w:val="auto"/>
              </w:rPr>
            </w:pPr>
          </w:p>
        </w:tc>
        <w:tc>
          <w:tcPr>
            <w:tcW w:w="10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640"/>
              <w:spacing w:after="0"/>
              <w:rPr>
                <w:sz w:val="20"/>
                <w:szCs w:val="20"/>
                <w:color w:val="auto"/>
              </w:rPr>
            </w:pPr>
            <w:r>
              <w:rPr>
                <w:rFonts w:ascii="Arial" w:cs="Arial" w:eastAsia="Arial" w:hAnsi="Arial"/>
                <w:sz w:val="14"/>
                <w:szCs w:val="14"/>
                <w:color w:val="auto"/>
                <w:w w:val="91"/>
              </w:rPr>
              <w:t>securities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obligations</w:t>
            </w:r>
          </w:p>
        </w:tc>
        <w:tc>
          <w:tcPr>
            <w:tcW w:w="34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2014</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63,083</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22,383(b)</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67(e)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4,646(e)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(5,961)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(13,735)(d)</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2014</w:t>
            </w:r>
          </w:p>
        </w:tc>
        <w:tc>
          <w:tcPr>
            <w:tcW w:w="6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61,768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w w:val="93"/>
              </w:rPr>
              <w:t>Changes in unrealized gains included in earnings related to</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assets still held at March 31, 2014</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15,050(b)</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- 39 -</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March 31, 2013 were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8"/>
          </w:tcPr>
          <w:p>
            <w:pPr>
              <w:jc w:val="right"/>
              <w:ind w:right="820"/>
              <w:spacing w:after="0"/>
              <w:rPr>
                <w:sz w:val="20"/>
                <w:szCs w:val="20"/>
                <w:color w:val="auto"/>
              </w:rPr>
            </w:pPr>
            <w:r>
              <w:rPr>
                <w:rFonts w:ascii="Arial" w:cs="Arial" w:eastAsia="Arial" w:hAnsi="Arial"/>
                <w:sz w:val="14"/>
                <w:szCs w:val="14"/>
                <w:color w:val="auto"/>
              </w:rPr>
              <w:t>Investment securities available for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sale</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23"/>
        </w:trPr>
        <w:tc>
          <w:tcPr>
            <w:tcW w:w="5160" w:type="dxa"/>
            <w:vAlign w:val="bottom"/>
          </w:tcPr>
          <w:p>
            <w:pPr>
              <w:spacing w:after="0"/>
              <w:rPr>
                <w:sz w:val="10"/>
                <w:szCs w:val="10"/>
                <w:color w:val="auto"/>
              </w:rPr>
            </w:pPr>
          </w:p>
        </w:tc>
        <w:tc>
          <w:tcPr>
            <w:tcW w:w="1520" w:type="dxa"/>
            <w:vAlign w:val="bottom"/>
            <w:gridSpan w:val="5"/>
          </w:tcPr>
          <w:p>
            <w:pPr>
              <w:jc w:val="right"/>
              <w:ind w:right="508"/>
              <w:spacing w:after="0" w:line="123" w:lineRule="exact"/>
              <w:rPr>
                <w:sz w:val="20"/>
                <w:szCs w:val="20"/>
                <w:color w:val="auto"/>
              </w:rPr>
            </w:pPr>
            <w:r>
              <w:rPr>
                <w:rFonts w:ascii="Arial" w:cs="Arial" w:eastAsia="Arial" w:hAnsi="Arial"/>
                <w:sz w:val="14"/>
                <w:szCs w:val="14"/>
                <w:color w:val="auto"/>
                <w:w w:val="93"/>
              </w:rPr>
              <w:t>Privately issued</w:t>
            </w:r>
          </w:p>
        </w:tc>
        <w:tc>
          <w:tcPr>
            <w:tcW w:w="300" w:type="dxa"/>
            <w:vAlign w:val="bottom"/>
          </w:tcPr>
          <w:p>
            <w:pPr>
              <w:spacing w:after="0"/>
              <w:rPr>
                <w:sz w:val="10"/>
                <w:szCs w:val="10"/>
                <w:color w:val="auto"/>
              </w:rPr>
            </w:pP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91"/>
              </w:rPr>
              <w:t>Collateralized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20" w:type="dxa"/>
            <w:vAlign w:val="bottom"/>
            <w:gridSpan w:val="5"/>
          </w:tcPr>
          <w:p>
            <w:pPr>
              <w:spacing w:after="0" w:line="149" w:lineRule="exact"/>
              <w:rPr>
                <w:sz w:val="20"/>
                <w:szCs w:val="20"/>
                <w:color w:val="auto"/>
              </w:rPr>
            </w:pPr>
            <w:r>
              <w:rPr>
                <w:rFonts w:ascii="Arial" w:cs="Arial" w:eastAsia="Arial" w:hAnsi="Arial"/>
                <w:sz w:val="14"/>
                <w:szCs w:val="14"/>
                <w:color w:val="auto"/>
              </w:rPr>
              <w:t>mortgage-backed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debt</w:t>
            </w:r>
          </w:p>
        </w:tc>
        <w:tc>
          <w:tcPr>
            <w:tcW w:w="28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67"/>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4"/>
          </w:tcPr>
          <w:p>
            <w:pPr>
              <w:jc w:val="right"/>
              <w:ind w:right="688"/>
              <w:spacing w:after="0"/>
              <w:rPr>
                <w:sz w:val="20"/>
                <w:szCs w:val="20"/>
                <w:color w:val="auto"/>
              </w:rPr>
            </w:pPr>
            <w:r>
              <w:rPr>
                <w:rFonts w:ascii="Arial" w:cs="Arial" w:eastAsia="Arial" w:hAnsi="Arial"/>
                <w:sz w:val="14"/>
                <w:szCs w:val="14"/>
                <w:color w:val="auto"/>
                <w:w w:val="98"/>
              </w:rPr>
              <w:t>securities</w:t>
            </w:r>
          </w:p>
        </w:tc>
        <w:tc>
          <w:tcPr>
            <w:tcW w:w="300" w:type="dxa"/>
            <w:vAlign w:val="bottom"/>
          </w:tcPr>
          <w:p>
            <w:pPr>
              <w:spacing w:after="0"/>
              <w:rPr>
                <w:sz w:val="14"/>
                <w:szCs w:val="1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4"/>
                <w:szCs w:val="14"/>
                <w:color w:val="auto"/>
              </w:rPr>
              <w:t>obligations</w:t>
            </w:r>
          </w:p>
        </w:tc>
        <w:tc>
          <w:tcPr>
            <w:tcW w:w="28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660"/>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1,023,886</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61,869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1"/>
              </w:rPr>
              <w:t>(9,800)(a)</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43,312(b)</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jc w:val="right"/>
              <w:ind w:right="248"/>
              <w:spacing w:after="0"/>
              <w:rPr>
                <w:sz w:val="20"/>
                <w:szCs w:val="20"/>
                <w:color w:val="auto"/>
              </w:rPr>
            </w:pPr>
            <w:r>
              <w:rPr>
                <w:rFonts w:ascii="Arial" w:cs="Arial" w:eastAsia="Arial" w:hAnsi="Arial"/>
                <w:sz w:val="18"/>
                <w:szCs w:val="18"/>
                <w:color w:val="auto"/>
              </w:rPr>
              <w:t>26,381(e)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740(e)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388"/>
              <w:spacing w:after="0"/>
              <w:rPr>
                <w:sz w:val="20"/>
                <w:szCs w:val="20"/>
                <w:color w:val="auto"/>
              </w:rPr>
            </w:pPr>
            <w:r>
              <w:rPr>
                <w:rFonts w:ascii="Arial" w:cs="Arial" w:eastAsia="Arial" w:hAnsi="Arial"/>
                <w:sz w:val="18"/>
                <w:szCs w:val="18"/>
                <w:color w:val="auto"/>
              </w:rPr>
              <w:t>(47,220)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(55,052)(d)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Balance – March 31, 2013</w:t>
            </w:r>
          </w:p>
        </w:tc>
        <w:tc>
          <w:tcPr>
            <w:tcW w:w="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993,247</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line="17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line="176" w:lineRule="exact"/>
              <w:rPr>
                <w:sz w:val="20"/>
                <w:szCs w:val="20"/>
                <w:color w:val="auto"/>
              </w:rPr>
            </w:pPr>
            <w:r>
              <w:rPr>
                <w:rFonts w:ascii="Arial" w:cs="Arial" w:eastAsia="Arial" w:hAnsi="Arial"/>
                <w:sz w:val="18"/>
                <w:szCs w:val="18"/>
                <w:color w:val="auto"/>
              </w:rPr>
              <w:t>61,718</w:t>
            </w:r>
          </w:p>
        </w:tc>
        <w:tc>
          <w:tcPr>
            <w:tcW w:w="40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line="176" w:lineRule="exact"/>
              <w:rPr>
                <w:sz w:val="20"/>
                <w:szCs w:val="20"/>
                <w:color w:val="auto"/>
              </w:rPr>
            </w:pPr>
            <w:r>
              <w:rPr>
                <w:rFonts w:ascii="Arial" w:cs="Arial" w:eastAsia="Arial" w:hAnsi="Arial"/>
                <w:sz w:val="18"/>
                <w:szCs w:val="18"/>
                <w:color w:val="auto"/>
              </w:rPr>
              <w:t>36,119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Changes in unrealized gains (losses) included in earnings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60" w:type="dxa"/>
            <w:vAlign w:val="bottom"/>
          </w:tcPr>
          <w:p>
            <w:pPr>
              <w:ind w:left="180"/>
              <w:spacing w:after="0" w:line="190" w:lineRule="exact"/>
              <w:rPr>
                <w:sz w:val="20"/>
                <w:szCs w:val="20"/>
                <w:color w:val="auto"/>
              </w:rPr>
            </w:pPr>
            <w:r>
              <w:rPr>
                <w:rFonts w:ascii="Arial" w:cs="Arial" w:eastAsia="Arial" w:hAnsi="Arial"/>
                <w:sz w:val="18"/>
                <w:szCs w:val="18"/>
                <w:color w:val="auto"/>
              </w:rPr>
              <w:t>related to assets still held at March 31, 2013</w:t>
            </w:r>
          </w:p>
        </w:tc>
        <w:tc>
          <w:tcPr>
            <w:tcW w:w="1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8"/>
              <w:spacing w:after="0" w:line="190" w:lineRule="exact"/>
              <w:rPr>
                <w:sz w:val="20"/>
                <w:szCs w:val="20"/>
                <w:color w:val="auto"/>
              </w:rPr>
            </w:pPr>
            <w:r>
              <w:rPr>
                <w:rFonts w:ascii="Arial" w:cs="Arial" w:eastAsia="Arial" w:hAnsi="Arial"/>
                <w:sz w:val="18"/>
                <w:szCs w:val="18"/>
                <w:color w:val="auto"/>
                <w:w w:val="91"/>
              </w:rPr>
              <w:t>(9,800)(a)</w:t>
            </w:r>
          </w:p>
        </w:tc>
        <w:tc>
          <w:tcPr>
            <w:tcW w:w="480" w:type="dxa"/>
            <w:vAlign w:val="bottom"/>
            <w:gridSpan w:val="2"/>
          </w:tcPr>
          <w:p>
            <w:pPr>
              <w:ind w:left="300"/>
              <w:spacing w:after="0" w:line="190"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line="190" w:lineRule="exact"/>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line="190"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40"/>
              <w:spacing w:after="0" w:line="190" w:lineRule="exact"/>
              <w:rPr>
                <w:sz w:val="20"/>
                <w:szCs w:val="20"/>
                <w:color w:val="auto"/>
              </w:rPr>
            </w:pPr>
            <w:r>
              <w:rPr>
                <w:rFonts w:ascii="Arial" w:cs="Arial" w:eastAsia="Arial" w:hAnsi="Arial"/>
                <w:sz w:val="18"/>
                <w:szCs w:val="18"/>
                <w:color w:val="auto"/>
                <w:w w:val="90"/>
              </w:rPr>
              <w:t>31,398(b)</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an other-than-temporary impairment loss in the consolidated statement of income.</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right="140" w:hanging="452"/>
        <w:spacing w:after="0" w:line="250"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4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20% to 75% at March 31, 2014. As these discounts are not readily observable and are considered significant, the valuations have been classified as Level 3. Loans subject to nonrecurring fair value measurement were $161 million at March 31, 2014 ($100 million and $61 million of which were classified as Level 2 and Level 3, respectively), $222 million at December 31, 2013 ($173 million and $49 million of which were classified as Level 2 and Level 3, respectively) and $227 million at March 31, 2013 ($158 million and $69 million of which were classified as Level 2 and Level 3, respectively). Changes in fair value recognized for partial charge-offs of loans and loan impairment reserves on loans held by the Company on March 31, 2014 and 2013 were decreases of $15 million for each of the three month periods ended March 31, 2014 and 2013.</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$11 million and $19 million at March 31, 2014 and March 31, 2013 respectively. Changes in fair value recognized for those foreclosed assets held by the Company were not material during the three months ended March 31, 2014 or 2013.</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in the fair value measurements for Level 3 assets and liabilities at March 31, 2014 and December 31, 2013:</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color w:val="auto"/>
              </w:rPr>
              <w:t>Valuation</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center"/>
              <w:ind w:right="320"/>
              <w:spacing w:after="0" w:line="141" w:lineRule="exact"/>
              <w:rPr>
                <w:sz w:val="20"/>
                <w:szCs w:val="20"/>
                <w:color w:val="auto"/>
              </w:rPr>
            </w:pPr>
            <w:r>
              <w:rPr>
                <w:rFonts w:ascii="Arial" w:cs="Arial" w:eastAsia="Arial" w:hAnsi="Arial"/>
                <w:sz w:val="14"/>
                <w:szCs w:val="14"/>
                <w:color w:val="auto"/>
                <w:w w:val="93"/>
              </w:rPr>
              <w:t>Fair value at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460"/>
              <w:spacing w:after="0" w:line="141" w:lineRule="exact"/>
              <w:rPr>
                <w:sz w:val="20"/>
                <w:szCs w:val="20"/>
                <w:color w:val="auto"/>
              </w:rPr>
            </w:pPr>
            <w:r>
              <w:rPr>
                <w:rFonts w:ascii="Arial" w:cs="Arial" w:eastAsia="Arial" w:hAnsi="Arial"/>
                <w:sz w:val="14"/>
                <w:szCs w:val="14"/>
                <w:color w:val="auto"/>
                <w:w w:val="92"/>
              </w:rPr>
              <w:t>Unobservable</w:t>
            </w:r>
          </w:p>
        </w:tc>
        <w:tc>
          <w:tcPr>
            <w:tcW w:w="132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color w:val="auto"/>
                <w:w w:val="94"/>
              </w:rPr>
              <w:t>March 31, 2014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technique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input/assumptions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Recurring fair value measurements</w:t>
            </w:r>
          </w:p>
        </w:tc>
        <w:tc>
          <w:tcPr>
            <w:tcW w:w="23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4"/>
          </w:tcPr>
          <w:p>
            <w:pPr>
              <w:spacing w:after="0" w:line="201" w:lineRule="exact"/>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Two</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w w:val="92"/>
              </w:rPr>
              <w:t>independent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pricing</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5"/>
          </w:tcPr>
          <w:p>
            <w:pPr>
              <w:jc w:val="right"/>
              <w:ind w:right="68"/>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color w:val="auto"/>
              </w:rPr>
              <w:t>quotes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Discounted</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Probability</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61,768</w:t>
            </w:r>
          </w:p>
        </w:tc>
        <w:tc>
          <w:tcPr>
            <w:tcW w:w="2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 default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16%-54% (37%)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3"/>
          </w:tcPr>
          <w:p>
            <w:pPr>
              <w:spacing w:after="0" w:line="201" w:lineRule="exact"/>
              <w:rPr>
                <w:sz w:val="20"/>
                <w:szCs w:val="20"/>
                <w:color w:val="auto"/>
              </w:rPr>
            </w:pPr>
            <w:r>
              <w:rPr>
                <w:rFonts w:ascii="Arial" w:cs="Arial" w:eastAsia="Arial" w:hAnsi="Arial"/>
                <w:sz w:val="18"/>
                <w:szCs w:val="18"/>
                <w:color w:val="auto"/>
              </w:rPr>
              <w:t>Loss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auto"/>
              </w:rPr>
              <w:t>severity</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rPr>
              <w:t>Discounted</w:t>
            </w: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Commitment</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12,589</w:t>
            </w:r>
          </w:p>
        </w:tc>
        <w:tc>
          <w:tcPr>
            <w:tcW w:w="2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expirations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 (17%)</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4"/>
                <w:szCs w:val="14"/>
                <w:color w:val="auto"/>
                <w:w w:val="93"/>
              </w:rPr>
              <w:t>Fair value at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color w:val="auto"/>
              </w:rPr>
              <w:t>Valuation</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Range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4"/>
          </w:tcPr>
          <w:p>
            <w:pPr>
              <w:jc w:val="center"/>
              <w:ind w:right="280"/>
              <w:spacing w:after="0" w:line="141" w:lineRule="exact"/>
              <w:rPr>
                <w:sz w:val="20"/>
                <w:szCs w:val="20"/>
                <w:color w:val="auto"/>
              </w:rPr>
            </w:pPr>
            <w:r>
              <w:rPr>
                <w:rFonts w:ascii="Arial" w:cs="Arial" w:eastAsia="Arial" w:hAnsi="Arial"/>
                <w:sz w:val="14"/>
                <w:szCs w:val="14"/>
                <w:color w:val="auto"/>
                <w:w w:val="90"/>
              </w:rPr>
              <w:t>December 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460"/>
              <w:spacing w:after="0" w:line="141" w:lineRule="exact"/>
              <w:rPr>
                <w:sz w:val="20"/>
                <w:szCs w:val="20"/>
                <w:color w:val="auto"/>
              </w:rPr>
            </w:pPr>
            <w:r>
              <w:rPr>
                <w:rFonts w:ascii="Arial" w:cs="Arial" w:eastAsia="Arial" w:hAnsi="Arial"/>
                <w:sz w:val="14"/>
                <w:szCs w:val="14"/>
                <w:color w:val="auto"/>
                <w:w w:val="92"/>
              </w:rPr>
              <w:t>Unobservable</w:t>
            </w:r>
          </w:p>
        </w:tc>
        <w:tc>
          <w:tcPr>
            <w:tcW w:w="1320" w:type="dxa"/>
            <w:vAlign w:val="bottom"/>
            <w:gridSpan w:val="2"/>
          </w:tcPr>
          <w:p>
            <w:pPr>
              <w:jc w:val="center"/>
              <w:ind w:right="260"/>
              <w:spacing w:after="0" w:line="141" w:lineRule="exact"/>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73"/>
              <w:spacing w:after="0"/>
              <w:rPr>
                <w:sz w:val="20"/>
                <w:szCs w:val="20"/>
                <w:color w:val="auto"/>
              </w:rPr>
            </w:pPr>
            <w:r>
              <w:rPr>
                <w:rFonts w:ascii="Arial" w:cs="Arial" w:eastAsia="Arial" w:hAnsi="Arial"/>
                <w:sz w:val="14"/>
                <w:szCs w:val="14"/>
                <w:color w:val="auto"/>
                <w:w w:val="89"/>
              </w:rPr>
              <w:t>2013</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technique</w:t>
            </w:r>
          </w:p>
        </w:tc>
        <w:tc>
          <w:tcPr>
            <w:tcW w:w="420" w:type="dxa"/>
            <w:vAlign w:val="bottom"/>
          </w:tcPr>
          <w:p>
            <w:pPr>
              <w:spacing w:after="0"/>
              <w:rPr>
                <w:sz w:val="15"/>
                <w:szCs w:val="15"/>
                <w:color w:val="auto"/>
              </w:rPr>
            </w:pPr>
          </w:p>
        </w:tc>
        <w:tc>
          <w:tcPr>
            <w:tcW w:w="1520" w:type="dxa"/>
            <w:vAlign w:val="bottom"/>
            <w:gridSpan w:val="4"/>
          </w:tcPr>
          <w:p>
            <w:pPr>
              <w:spacing w:after="0"/>
              <w:rPr>
                <w:sz w:val="20"/>
                <w:szCs w:val="20"/>
                <w:color w:val="auto"/>
              </w:rPr>
            </w:pPr>
            <w:r>
              <w:rPr>
                <w:rFonts w:ascii="Arial" w:cs="Arial" w:eastAsia="Arial" w:hAnsi="Arial"/>
                <w:sz w:val="14"/>
                <w:szCs w:val="14"/>
                <w:color w:val="auto"/>
              </w:rPr>
              <w:t>input/assumptions</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9"/>
              </w:rPr>
              <w:t>Recurring fair value measurements</w:t>
            </w:r>
          </w:p>
        </w:tc>
        <w:tc>
          <w:tcPr>
            <w:tcW w:w="23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4"/>
          </w:tcPr>
          <w:p>
            <w:pPr>
              <w:spacing w:after="0" w:line="201" w:lineRule="exact"/>
              <w:rPr>
                <w:sz w:val="20"/>
                <w:szCs w:val="20"/>
                <w:color w:val="auto"/>
              </w:rPr>
            </w:pPr>
            <w:r>
              <w:rPr>
                <w:rFonts w:ascii="Arial" w:cs="Arial" w:eastAsia="Arial" w:hAnsi="Arial"/>
                <w:sz w:val="18"/>
                <w:szCs w:val="18"/>
                <w:color w:val="auto"/>
              </w:rPr>
              <w:t>Privately issued mortgage–backed securities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4"/>
          </w:tcPr>
          <w:p>
            <w:pPr>
              <w:ind w:left="260"/>
              <w:spacing w:after="0" w:line="201" w:lineRule="exact"/>
              <w:rPr>
                <w:sz w:val="20"/>
                <w:szCs w:val="20"/>
                <w:color w:val="auto"/>
              </w:rPr>
            </w:pPr>
            <w:r>
              <w:rPr>
                <w:rFonts w:ascii="Arial" w:cs="Arial" w:eastAsia="Arial" w:hAnsi="Arial"/>
                <w:sz w:val="18"/>
                <w:szCs w:val="18"/>
                <w:color w:val="auto"/>
              </w:rPr>
              <w:t>Two</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260"/>
              <w:spacing w:after="0"/>
              <w:rPr>
                <w:sz w:val="20"/>
                <w:szCs w:val="20"/>
                <w:color w:val="auto"/>
              </w:rPr>
            </w:pPr>
            <w:r>
              <w:rPr>
                <w:rFonts w:ascii="Arial" w:cs="Arial" w:eastAsia="Arial" w:hAnsi="Arial"/>
                <w:sz w:val="18"/>
                <w:szCs w:val="18"/>
                <w:color w:val="auto"/>
                <w:w w:val="94"/>
              </w:rPr>
              <w:t>independent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4"/>
          </w:tcPr>
          <w:p>
            <w:pPr>
              <w:ind w:left="260"/>
              <w:spacing w:after="0"/>
              <w:rPr>
                <w:sz w:val="20"/>
                <w:szCs w:val="20"/>
                <w:color w:val="auto"/>
              </w:rPr>
            </w:pPr>
            <w:r>
              <w:rPr>
                <w:rFonts w:ascii="Arial" w:cs="Arial" w:eastAsia="Arial" w:hAnsi="Arial"/>
                <w:sz w:val="18"/>
                <w:szCs w:val="18"/>
                <w:color w:val="auto"/>
              </w:rPr>
              <w:t>pricing</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5"/>
          </w:tcPr>
          <w:p>
            <w:pPr>
              <w:jc w:val="right"/>
              <w:ind w:right="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20"/>
                <w:szCs w:val="20"/>
                <w:color w:val="auto"/>
              </w:rPr>
            </w:pPr>
          </w:p>
        </w:tc>
        <w:tc>
          <w:tcPr>
            <w:tcW w:w="1220" w:type="dxa"/>
            <w:vAlign w:val="bottom"/>
            <w:gridSpan w:val="4"/>
          </w:tcPr>
          <w:p>
            <w:pPr>
              <w:ind w:left="260"/>
              <w:spacing w:after="0"/>
              <w:rPr>
                <w:sz w:val="20"/>
                <w:szCs w:val="20"/>
                <w:color w:val="auto"/>
              </w:rPr>
            </w:pPr>
            <w:r>
              <w:rPr>
                <w:rFonts w:ascii="Arial" w:cs="Arial" w:eastAsia="Arial" w:hAnsi="Arial"/>
                <w:sz w:val="18"/>
                <w:szCs w:val="18"/>
                <w:color w:val="auto"/>
              </w:rPr>
              <w:t>quotes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Collateralized debt obligations</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ind w:left="260"/>
              <w:spacing w:after="0" w:line="201" w:lineRule="exact"/>
              <w:rPr>
                <w:sz w:val="20"/>
                <w:szCs w:val="20"/>
                <w:color w:val="auto"/>
              </w:rPr>
            </w:pPr>
            <w:r>
              <w:rPr>
                <w:rFonts w:ascii="Arial" w:cs="Arial" w:eastAsia="Arial" w:hAnsi="Arial"/>
                <w:sz w:val="18"/>
                <w:szCs w:val="18"/>
                <w:color w:val="auto"/>
              </w:rPr>
              <w:t>Discounted</w:t>
            </w:r>
          </w:p>
        </w:tc>
        <w:tc>
          <w:tcPr>
            <w:tcW w:w="1940" w:type="dxa"/>
            <w:vAlign w:val="bottom"/>
            <w:gridSpan w:val="5"/>
            <w:shd w:val="clear" w:color="auto" w:fill="CCEEFF"/>
          </w:tcPr>
          <w:p>
            <w:pPr>
              <w:ind w:left="420"/>
              <w:spacing w:after="0" w:line="201" w:lineRule="exact"/>
              <w:rPr>
                <w:sz w:val="20"/>
                <w:szCs w:val="20"/>
                <w:color w:val="auto"/>
              </w:rPr>
            </w:pPr>
            <w:r>
              <w:rPr>
                <w:rFonts w:ascii="Arial" w:cs="Arial" w:eastAsia="Arial" w:hAnsi="Arial"/>
                <w:sz w:val="18"/>
                <w:szCs w:val="18"/>
                <w:color w:val="auto"/>
              </w:rPr>
              <w:t>Probability</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63,083</w:t>
            </w:r>
          </w:p>
        </w:tc>
        <w:tc>
          <w:tcPr>
            <w:tcW w:w="26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cash flow</w:t>
            </w:r>
          </w:p>
        </w:tc>
        <w:tc>
          <w:tcPr>
            <w:tcW w:w="1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of default</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17%-55% (39%)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40" w:type="dxa"/>
            <w:vAlign w:val="bottom"/>
            <w:gridSpan w:val="5"/>
          </w:tcPr>
          <w:p>
            <w:pPr>
              <w:ind w:left="420"/>
              <w:spacing w:after="0" w:line="201" w:lineRule="exact"/>
              <w:rPr>
                <w:sz w:val="20"/>
                <w:szCs w:val="20"/>
                <w:color w:val="auto"/>
              </w:rPr>
            </w:pPr>
            <w:r>
              <w:rPr>
                <w:rFonts w:ascii="Arial" w:cs="Arial" w:eastAsia="Arial" w:hAnsi="Arial"/>
                <w:sz w:val="18"/>
                <w:szCs w:val="18"/>
                <w:color w:val="auto"/>
              </w:rPr>
              <w:t>Loss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gridSpan w:val="5"/>
          </w:tcPr>
          <w:p>
            <w:pPr>
              <w:ind w:left="420"/>
              <w:spacing w:after="0"/>
              <w:rPr>
                <w:sz w:val="20"/>
                <w:szCs w:val="20"/>
                <w:color w:val="auto"/>
              </w:rPr>
            </w:pPr>
            <w:r>
              <w:rPr>
                <w:rFonts w:ascii="Arial" w:cs="Arial" w:eastAsia="Arial" w:hAnsi="Arial"/>
                <w:sz w:val="18"/>
                <w:szCs w:val="18"/>
                <w:color w:val="auto"/>
              </w:rPr>
              <w:t>severity</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Net other assets (liabilities) (a)</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ind w:left="260"/>
              <w:spacing w:after="0" w:line="201" w:lineRule="exact"/>
              <w:rPr>
                <w:sz w:val="20"/>
                <w:szCs w:val="20"/>
                <w:color w:val="auto"/>
              </w:rPr>
            </w:pPr>
            <w:r>
              <w:rPr>
                <w:rFonts w:ascii="Arial" w:cs="Arial" w:eastAsia="Arial" w:hAnsi="Arial"/>
                <w:sz w:val="18"/>
                <w:szCs w:val="18"/>
                <w:color w:val="auto"/>
              </w:rPr>
              <w:t>Discounted</w:t>
            </w:r>
          </w:p>
        </w:tc>
        <w:tc>
          <w:tcPr>
            <w:tcW w:w="1940" w:type="dxa"/>
            <w:vAlign w:val="bottom"/>
            <w:gridSpan w:val="5"/>
            <w:shd w:val="clear" w:color="auto" w:fill="CCEEFF"/>
          </w:tcPr>
          <w:p>
            <w:pPr>
              <w:ind w:left="420"/>
              <w:spacing w:after="0" w:line="201" w:lineRule="exact"/>
              <w:rPr>
                <w:sz w:val="20"/>
                <w:szCs w:val="20"/>
                <w:color w:val="auto"/>
              </w:rPr>
            </w:pPr>
            <w:r>
              <w:rPr>
                <w:rFonts w:ascii="Arial" w:cs="Arial" w:eastAsia="Arial" w:hAnsi="Arial"/>
                <w:sz w:val="18"/>
                <w:szCs w:val="18"/>
                <w:color w:val="auto"/>
              </w:rPr>
              <w:t>Commitment</w:t>
            </w: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3,941</w:t>
            </w:r>
          </w:p>
        </w:tc>
        <w:tc>
          <w:tcPr>
            <w:tcW w:w="26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cash flow</w:t>
            </w:r>
          </w:p>
        </w:tc>
        <w:tc>
          <w:tcPr>
            <w:tcW w:w="19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expirations</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 (20%)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 increase (decrease) in the probability of default and loss severity for mortgage-backed securities and collateralized debt obligations would generally result in a lower (higher) fair value measurement.</w:t>
      </w:r>
    </w:p>
    <w:p>
      <w:pPr>
        <w:spacing w:after="0" w:line="170"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color w:val="auto"/>
                <w:w w:val="94"/>
              </w:rPr>
              <w:t>March 31, 2014</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60" w:type="dxa"/>
            <w:vAlign w:val="bottom"/>
            <w:gridSpan w:val="2"/>
          </w:tcPr>
          <w:p>
            <w:pPr>
              <w:jc w:val="right"/>
              <w:ind w:right="380"/>
              <w:spacing w:after="0" w:line="123" w:lineRule="exact"/>
              <w:rPr>
                <w:sz w:val="20"/>
                <w:szCs w:val="20"/>
                <w:color w:val="auto"/>
              </w:rPr>
            </w:pPr>
            <w:r>
              <w:rPr>
                <w:rFonts w:ascii="Arial" w:cs="Arial" w:eastAsia="Arial" w:hAnsi="Arial"/>
                <w:sz w:val="14"/>
                <w:szCs w:val="14"/>
                <w:color w:val="auto"/>
              </w:rPr>
              <w:t>Estimated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r>
      <w:tr>
        <w:trPr>
          <w:trHeight w:val="142"/>
        </w:trPr>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1,763,118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1,763,118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1,689,900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73,218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3,299,185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3,299,185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3,299,185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314,807</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314,807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49,473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265,334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10,364,249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10,305,030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9,997,771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226,679</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18,896,070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18,584,218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18,584,218</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26,104,086</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25,970,001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38,305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25,931,696</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8,774,095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8,733,704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5,285,649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3,448,055</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10,360,827</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10,271,804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10,271,804</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(916,768)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108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63,218,310</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63,559,727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5,323,954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58,235,773</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242,009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(25,244,200)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(25,244,200)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(25,244,200)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(39,804,771)</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(39,804,771)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(39,804,771)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(3,402,515)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(3,420,917)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(3,420,917)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(247,880)</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(247,880)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(247,880)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(230,209)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(230,209)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(6,251,197)</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(6,388,067)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(6,388,067)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(216,366)</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(216,366)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(216,366)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12,589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12,589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12,589</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(114,641)</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(114,641)</w:t>
            </w:r>
          </w:p>
        </w:tc>
      </w:tr>
      <w:tr>
        <w:trPr>
          <w:trHeight w:val="202"/>
        </w:trPr>
        <w:tc>
          <w:tcPr>
            <w:tcW w:w="5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94,716</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94,716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94,716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365"/>
        </w:trPr>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- 43 -</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color w:val="auto"/>
                <w:w w:val="92"/>
              </w:rPr>
              <w:t>December 31, 2013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620"/>
              <w:spacing w:after="0" w:line="123" w:lineRule="exact"/>
              <w:rPr>
                <w:sz w:val="20"/>
                <w:szCs w:val="20"/>
                <w:color w:val="auto"/>
              </w:rPr>
            </w:pPr>
            <w:r>
              <w:rPr>
                <w:rFonts w:ascii="Arial" w:cs="Arial" w:eastAsia="Arial" w:hAnsi="Arial"/>
                <w:sz w:val="14"/>
                <w:szCs w:val="14"/>
                <w:color w:val="auto"/>
              </w:rPr>
              <w:t>Carrying</w:t>
            </w:r>
          </w:p>
        </w:tc>
        <w:tc>
          <w:tcPr>
            <w:tcW w:w="100" w:type="dxa"/>
            <w:vAlign w:val="bottom"/>
          </w:tcPr>
          <w:p>
            <w:pPr>
              <w:spacing w:after="0"/>
              <w:rPr>
                <w:sz w:val="10"/>
                <w:szCs w:val="10"/>
                <w:color w:val="auto"/>
              </w:rPr>
            </w:pPr>
          </w:p>
        </w:tc>
        <w:tc>
          <w:tcPr>
            <w:tcW w:w="100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Estimated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Level 3</w:t>
            </w:r>
          </w:p>
        </w:tc>
      </w:tr>
      <w:tr>
        <w:trPr>
          <w:trHeight w:val="142"/>
        </w:trPr>
        <w:tc>
          <w:tcPr>
            <w:tcW w:w="5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color w:val="auto"/>
                <w:w w:val="92"/>
              </w:rPr>
              <w:t>(in thousands)</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1,672,934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1,672,934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1,596,877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76,057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1,651,138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1,651,138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376,131</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376,131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51,386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324,745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8,796,497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8,690,494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82,450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8,384,106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223,938</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Loans and leases: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Commercial loans and leases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18,705,216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18,457,288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18,457,288</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Commercial real estate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26,148,208</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26,018,195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25,950,690</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8,928,221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8,867,872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5,432,207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3,435,665</w:t>
            </w:r>
          </w:p>
        </w:tc>
      </w:tr>
      <w:tr>
        <w:trPr>
          <w:trHeight w:val="216"/>
        </w:trPr>
        <w:tc>
          <w:tcPr>
            <w:tcW w:w="5100" w:type="dxa"/>
            <w:vAlign w:val="bottom"/>
          </w:tcPr>
          <w:p>
            <w:pPr>
              <w:ind w:left="720"/>
              <w:spacing w:after="0"/>
              <w:rPr>
                <w:sz w:val="20"/>
                <w:szCs w:val="20"/>
                <w:color w:val="auto"/>
              </w:rPr>
            </w:pPr>
            <w:r>
              <w:rPr>
                <w:rFonts w:ascii="Arial" w:cs="Arial" w:eastAsia="Arial" w:hAnsi="Arial"/>
                <w:sz w:val="18"/>
                <w:szCs w:val="18"/>
                <w:color w:val="auto"/>
              </w:rPr>
              <w:t>Consumer loans</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10,291,514</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10,201,087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10,201,087</w:t>
            </w: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Allowance for credit losses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(916,676)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ind w:left="1080"/>
              <w:spacing w:after="0"/>
              <w:rPr>
                <w:sz w:val="20"/>
                <w:szCs w:val="20"/>
                <w:color w:val="auto"/>
              </w:rPr>
            </w:pPr>
            <w:r>
              <w:rPr>
                <w:rFonts w:ascii="Arial" w:cs="Arial" w:eastAsia="Arial" w:hAnsi="Arial"/>
                <w:sz w:val="18"/>
                <w:szCs w:val="18"/>
                <w:color w:val="auto"/>
              </w:rPr>
              <w:t>Loans and leases, net</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63,156,483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63,544,442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5,499,712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58,044,730</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222,558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(24,661,007)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(24,661,007)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(24,661,007)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Savings deposits and NOW accounts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(38,611,021)</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(38,611,021)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(38,611,021)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(3,523,838)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(3,542,789)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(3,542,789)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(322,746)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(322,746)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(322,746)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(260,455)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(260,455)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(260,455)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(5,108,870)</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(5,244,902)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(5,244,902)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Trading account liabilities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(249,797)</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(249,797)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(249,797)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Commitments to originate real estate loans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3,941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3,941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3,941</w:t>
            </w: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Commitments to sell real estate loans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360"/>
              <w:spacing w:after="0"/>
              <w:rPr>
                <w:sz w:val="20"/>
                <w:szCs w:val="20"/>
                <w:color w:val="auto"/>
              </w:rPr>
            </w:pPr>
            <w:r>
              <w:rPr>
                <w:rFonts w:ascii="Arial" w:cs="Arial" w:eastAsia="Arial" w:hAnsi="Arial"/>
                <w:sz w:val="18"/>
                <w:szCs w:val="18"/>
                <w:color w:val="auto"/>
              </w:rPr>
              <w:t>Other credit-related commitments</w:t>
            </w: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(118,886)</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(118,886)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(118,886)</w:t>
            </w:r>
          </w:p>
        </w:tc>
      </w:tr>
      <w:tr>
        <w:trPr>
          <w:trHeight w:val="202"/>
        </w:trPr>
        <w:tc>
          <w:tcPr>
            <w:tcW w:w="5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Interest rate swap agreements used for interest rate risk</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102,875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102,875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deposits at Cayman Islands office, short-term borrowings, accrued interest receivable and accrued interest payable</w:t>
      </w:r>
    </w:p>
    <w:p>
      <w:pPr>
        <w:spacing w:after="0" w:line="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Due to the nature of cash and cash equivalents and the near maturity of interest-bearing deposits at banks, deposits at Cayman Islands office, short-term borrowings, accrued interest receivable and accrued interest payable, the Company estimated that the carrying amount of such instruments approximated estimated fair value.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 continued</w:t>
      </w:r>
    </w:p>
    <w:p>
      <w:pPr>
        <w:spacing w:after="0" w:line="1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However, such estimates made by the Company may not be indicative of assumptions and adjustments that a purchaser of the Company’s loans and leases would seek.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17"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54"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65"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66"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5020" w:type="dxa"/>
            <w:vAlign w:val="bottom"/>
          </w:tcPr>
          <w:p>
            <w:pPr>
              <w:spacing w:after="0"/>
              <w:rPr>
                <w:sz w:val="14"/>
                <w:szCs w:val="14"/>
                <w:color w:val="auto"/>
              </w:rPr>
            </w:pPr>
          </w:p>
        </w:tc>
        <w:tc>
          <w:tcPr>
            <w:tcW w:w="2480" w:type="dxa"/>
            <w:vAlign w:val="bottom"/>
            <w:gridSpan w:val="2"/>
          </w:tcPr>
          <w:p>
            <w:pPr>
              <w:jc w:val="right"/>
              <w:ind w:right="468"/>
              <w:spacing w:after="0"/>
              <w:rPr>
                <w:sz w:val="20"/>
                <w:szCs w:val="20"/>
                <w:color w:val="auto"/>
              </w:rPr>
            </w:pPr>
            <w:r>
              <w:rPr>
                <w:rFonts w:ascii="Arial" w:cs="Arial" w:eastAsia="Arial" w:hAnsi="Arial"/>
                <w:sz w:val="14"/>
                <w:szCs w:val="14"/>
                <w:color w:val="auto"/>
              </w:rPr>
              <w:t>2014</w:t>
            </w:r>
          </w:p>
        </w:tc>
        <w:tc>
          <w:tcPr>
            <w:tcW w:w="1080" w:type="dxa"/>
            <w:vAlign w:val="bottom"/>
          </w:tcPr>
          <w:p>
            <w:pPr>
              <w:jc w:val="right"/>
              <w:ind w:right="21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0" w:type="dxa"/>
            <w:vAlign w:val="bottom"/>
            <w:tcBorders>
              <w:top w:val="single" w:sz="8" w:color="auto"/>
            </w:tcBorders>
            <w:gridSpan w:val="2"/>
          </w:tcPr>
          <w:p>
            <w:pPr>
              <w:jc w:val="right"/>
              <w:ind w:right="61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Home equity lines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$ 6,260,931</w:t>
            </w:r>
          </w:p>
        </w:tc>
        <w:tc>
          <w:tcPr>
            <w:tcW w:w="1080" w:type="dxa"/>
            <w:vAlign w:val="bottom"/>
          </w:tcPr>
          <w:p>
            <w:pPr>
              <w:jc w:val="right"/>
              <w:spacing w:after="0"/>
              <w:rPr>
                <w:sz w:val="20"/>
                <w:szCs w:val="20"/>
                <w:color w:val="auto"/>
              </w:rPr>
            </w:pPr>
            <w:r>
              <w:rPr>
                <w:rFonts w:ascii="Arial" w:cs="Arial" w:eastAsia="Arial" w:hAnsi="Arial"/>
                <w:sz w:val="18"/>
                <w:szCs w:val="18"/>
                <w:color w:val="auto"/>
              </w:rPr>
              <w:t>6,218,823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151,989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62,386</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Other commercial real estate and construction</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4,055,951</w:t>
            </w:r>
          </w:p>
        </w:tc>
        <w:tc>
          <w:tcPr>
            <w:tcW w:w="1080" w:type="dxa"/>
            <w:vAlign w:val="bottom"/>
          </w:tcPr>
          <w:p>
            <w:pPr>
              <w:jc w:val="right"/>
              <w:spacing w:after="0"/>
              <w:rPr>
                <w:sz w:val="20"/>
                <w:szCs w:val="20"/>
                <w:color w:val="auto"/>
              </w:rPr>
            </w:pPr>
            <w:r>
              <w:rPr>
                <w:rFonts w:ascii="Arial" w:cs="Arial" w:eastAsia="Arial" w:hAnsi="Arial"/>
                <w:sz w:val="18"/>
                <w:szCs w:val="18"/>
                <w:color w:val="auto"/>
              </w:rPr>
              <w:t>3,919,545</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 real estate loans to be sold</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521,869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469,869</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Other residential real estate</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368,055</w:t>
            </w:r>
          </w:p>
        </w:tc>
        <w:tc>
          <w:tcPr>
            <w:tcW w:w="1080" w:type="dxa"/>
            <w:vAlign w:val="bottom"/>
          </w:tcPr>
          <w:p>
            <w:pPr>
              <w:jc w:val="right"/>
              <w:spacing w:after="0"/>
              <w:rPr>
                <w:sz w:val="20"/>
                <w:szCs w:val="20"/>
                <w:color w:val="auto"/>
              </w:rPr>
            </w:pPr>
            <w:r>
              <w:rPr>
                <w:rFonts w:ascii="Arial" w:cs="Arial" w:eastAsia="Arial" w:hAnsi="Arial"/>
                <w:sz w:val="18"/>
                <w:szCs w:val="18"/>
                <w:color w:val="auto"/>
              </w:rPr>
              <w:t>384,617</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other</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10,781,231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10,419,545</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3,531,586</w:t>
            </w:r>
          </w:p>
        </w:tc>
        <w:tc>
          <w:tcPr>
            <w:tcW w:w="1080" w:type="dxa"/>
            <w:vAlign w:val="bottom"/>
          </w:tcPr>
          <w:p>
            <w:pPr>
              <w:jc w:val="right"/>
              <w:spacing w:after="0"/>
              <w:rPr>
                <w:sz w:val="20"/>
                <w:szCs w:val="20"/>
                <w:color w:val="auto"/>
              </w:rPr>
            </w:pPr>
            <w:r>
              <w:rPr>
                <w:rFonts w:ascii="Arial" w:cs="Arial" w:eastAsia="Arial" w:hAnsi="Arial"/>
                <w:sz w:val="18"/>
                <w:szCs w:val="18"/>
                <w:color w:val="auto"/>
              </w:rPr>
              <w:t>3,600,528</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39,197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53,284</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480" w:type="dxa"/>
            <w:vAlign w:val="bottom"/>
            <w:gridSpan w:val="2"/>
          </w:tcPr>
          <w:p>
            <w:pPr>
              <w:jc w:val="right"/>
              <w:ind w:right="148"/>
              <w:spacing w:after="0"/>
              <w:rPr>
                <w:sz w:val="20"/>
                <w:szCs w:val="20"/>
                <w:color w:val="auto"/>
              </w:rPr>
            </w:pPr>
            <w:r>
              <w:rPr>
                <w:rFonts w:ascii="Arial" w:cs="Arial" w:eastAsia="Arial" w:hAnsi="Arial"/>
                <w:sz w:val="18"/>
                <w:szCs w:val="18"/>
                <w:color w:val="auto"/>
              </w:rPr>
              <w:t>2,842,506</w:t>
            </w:r>
          </w:p>
        </w:tc>
        <w:tc>
          <w:tcPr>
            <w:tcW w:w="1080" w:type="dxa"/>
            <w:vAlign w:val="bottom"/>
          </w:tcPr>
          <w:p>
            <w:pPr>
              <w:jc w:val="right"/>
              <w:spacing w:after="0"/>
              <w:rPr>
                <w:sz w:val="20"/>
                <w:szCs w:val="20"/>
                <w:color w:val="auto"/>
              </w:rPr>
            </w:pPr>
            <w:r>
              <w:rPr>
                <w:rFonts w:ascii="Arial" w:cs="Arial" w:eastAsia="Arial" w:hAnsi="Arial"/>
                <w:sz w:val="18"/>
                <w:szCs w:val="18"/>
                <w:color w:val="auto"/>
              </w:rPr>
              <w:t>2,457,633</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4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845,549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854,656</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78"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$2.3 billion at each of March 31, 2014 and December 31, 2013.</w:t>
      </w:r>
    </w:p>
    <w:p>
      <w:pPr>
        <w:spacing w:after="0" w:line="15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62"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1"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The Company has an agreement with the Baltimore Ravens of the National Football League whereby the Company obtained the naming rights to a football stadium in Baltimore, Maryland. Under the agreement, the Company is obligated to pay $6 million per year from 2014 through 2017.</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225"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$14 million at March 31, 2014. Assets of subsidiaries providing reinsurance that are available to satisfy claims totaled approximately $35 million at March 31, 2014.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7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March 31, 2014, management believes that any further liability arising out of the Company’s obligation to loan purchasers is not material to the Company’s consolidated financial position.</w:t>
      </w:r>
    </w:p>
    <w:p>
      <w:pPr>
        <w:spacing w:after="0" w:line="178"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M&amp;T and its subsidiaries are subject in the normal course of business to various pending and threatened legal proceedings in which claims for monetary damages are asserted.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The financial information of the Company’s segments was compiled utilizing the accounting policies described in note 22 to the Company’s consolidated financial statements as of and for the year ended December 31, 2013.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2013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color w:val="auto"/>
              </w:rPr>
              <w:t>Three months ended March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2014</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color w:val="auto"/>
              </w:rPr>
              <w:t>2013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9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gridSpan w:val="2"/>
          </w:tcPr>
          <w:p>
            <w:pPr>
              <w:jc w:val="right"/>
              <w:ind w:right="240"/>
              <w:spacing w:after="0" w:line="123" w:lineRule="exact"/>
              <w:rPr>
                <w:sz w:val="20"/>
                <w:szCs w:val="20"/>
                <w:color w:val="auto"/>
              </w:rPr>
            </w:pPr>
            <w:r>
              <w:rPr>
                <w:rFonts w:ascii="Arial" w:cs="Arial" w:eastAsia="Arial" w:hAnsi="Arial"/>
                <w:sz w:val="14"/>
                <w:szCs w:val="14"/>
                <w:color w:val="auto"/>
              </w:rPr>
              <w:t>Inter-</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4"/>
          </w:tcPr>
          <w:p>
            <w:pPr>
              <w:ind w:left="140"/>
              <w:spacing w:after="0" w:line="123" w:lineRule="exact"/>
              <w:rPr>
                <w:sz w:val="20"/>
                <w:szCs w:val="20"/>
                <w:color w:val="auto"/>
              </w:rPr>
            </w:pPr>
            <w:r>
              <w:rPr>
                <w:rFonts w:ascii="Arial" w:cs="Arial" w:eastAsia="Arial" w:hAnsi="Arial"/>
                <w:sz w:val="14"/>
                <w:szCs w:val="14"/>
                <w:color w:val="auto"/>
              </w:rPr>
              <w:t>Inter-</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Total</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4"/>
          </w:tcPr>
          <w:p>
            <w:pPr>
              <w:jc w:val="center"/>
              <w:ind w:right="188"/>
              <w:spacing w:after="0" w:line="149" w:lineRule="exact"/>
              <w:rPr>
                <w:sz w:val="20"/>
                <w:szCs w:val="20"/>
                <w:color w:val="auto"/>
              </w:rPr>
            </w:pPr>
            <w:r>
              <w:rPr>
                <w:rFonts w:ascii="Arial" w:cs="Arial" w:eastAsia="Arial" w:hAnsi="Arial"/>
                <w:sz w:val="14"/>
                <w:szCs w:val="14"/>
                <w:color w:val="auto"/>
                <w:w w:val="92"/>
              </w:rPr>
              <w:t>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Total</w:t>
            </w:r>
          </w:p>
        </w:tc>
        <w:tc>
          <w:tcPr>
            <w:tcW w:w="120" w:type="dxa"/>
            <w:vAlign w:val="bottom"/>
          </w:tcPr>
          <w:p>
            <w:pPr>
              <w:spacing w:after="0"/>
              <w:rPr>
                <w:sz w:val="12"/>
                <w:szCs w:val="12"/>
                <w:color w:val="auto"/>
              </w:rPr>
            </w:pPr>
          </w:p>
        </w:tc>
        <w:tc>
          <w:tcPr>
            <w:tcW w:w="920" w:type="dxa"/>
            <w:vAlign w:val="bottom"/>
            <w:gridSpan w:val="4"/>
          </w:tcPr>
          <w:p>
            <w:pPr>
              <w:ind w:left="60"/>
              <w:spacing w:after="0" w:line="149" w:lineRule="exact"/>
              <w:rPr>
                <w:sz w:val="20"/>
                <w:szCs w:val="20"/>
                <w:color w:val="auto"/>
              </w:rPr>
            </w:pPr>
            <w:r>
              <w:rPr>
                <w:rFonts w:ascii="Arial" w:cs="Arial" w:eastAsia="Arial" w:hAnsi="Arial"/>
                <w:sz w:val="14"/>
                <w:szCs w:val="14"/>
                <w:color w:val="auto"/>
              </w:rPr>
              <w:t>segment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income</w:t>
            </w:r>
          </w:p>
        </w:tc>
      </w:tr>
      <w:tr>
        <w:trPr>
          <w:trHeight w:val="167"/>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revenues(a)</w:t>
            </w: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revenues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center"/>
              <w:ind w:right="168"/>
              <w:spacing w:after="0"/>
              <w:rPr>
                <w:sz w:val="20"/>
                <w:szCs w:val="20"/>
                <w:color w:val="auto"/>
              </w:rPr>
            </w:pPr>
            <w:r>
              <w:rPr>
                <w:rFonts w:ascii="Arial" w:cs="Arial" w:eastAsia="Arial" w:hAnsi="Arial"/>
                <w:sz w:val="14"/>
                <w:szCs w:val="14"/>
                <w:color w:val="auto"/>
                <w:w w:val="93"/>
              </w:rPr>
              <w:t>(loss)</w:t>
            </w:r>
          </w:p>
        </w:tc>
        <w:tc>
          <w:tcPr>
            <w:tcW w:w="80" w:type="dxa"/>
            <w:vAlign w:val="bottom"/>
          </w:tcPr>
          <w:p>
            <w:pPr>
              <w:spacing w:after="0"/>
              <w:rPr>
                <w:sz w:val="14"/>
                <w:szCs w:val="14"/>
                <w:color w:val="auto"/>
              </w:rPr>
            </w:pPr>
          </w:p>
        </w:tc>
        <w:tc>
          <w:tcPr>
            <w:tcW w:w="1000" w:type="dxa"/>
            <w:vAlign w:val="bottom"/>
            <w:gridSpan w:val="4"/>
          </w:tcPr>
          <w:p>
            <w:pPr>
              <w:jc w:val="center"/>
              <w:ind w:right="200"/>
              <w:spacing w:after="0"/>
              <w:rPr>
                <w:sz w:val="20"/>
                <w:szCs w:val="20"/>
                <w:color w:val="auto"/>
              </w:rPr>
            </w:pPr>
            <w:r>
              <w:rPr>
                <w:rFonts w:ascii="Arial" w:cs="Arial" w:eastAsia="Arial" w:hAnsi="Arial"/>
                <w:sz w:val="14"/>
                <w:szCs w:val="14"/>
                <w:color w:val="auto"/>
                <w:w w:val="90"/>
              </w:rPr>
              <w:t>revenues(a)</w:t>
            </w:r>
          </w:p>
        </w:tc>
        <w:tc>
          <w:tcPr>
            <w:tcW w:w="12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color w:val="auto"/>
              </w:rPr>
              <w:t>revenues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(loss)</w:t>
            </w:r>
          </w:p>
        </w:tc>
      </w:tr>
      <w:tr>
        <w:trPr>
          <w:trHeight w:val="142"/>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w:t>
            </w:r>
          </w:p>
        </w:tc>
        <w:tc>
          <w:tcPr>
            <w:tcW w:w="1120" w:type="dxa"/>
            <w:vAlign w:val="bottom"/>
            <w:gridSpan w:val="6"/>
            <w:shd w:val="clear" w:color="auto" w:fill="CCEEFF"/>
          </w:tcPr>
          <w:p>
            <w:pPr>
              <w:jc w:val="right"/>
              <w:ind w:right="168"/>
              <w:spacing w:after="0"/>
              <w:rPr>
                <w:sz w:val="20"/>
                <w:szCs w:val="20"/>
                <w:color w:val="auto"/>
              </w:rPr>
            </w:pPr>
            <w:r>
              <w:rPr>
                <w:rFonts w:ascii="Arial" w:cs="Arial" w:eastAsia="Arial" w:hAnsi="Arial"/>
                <w:sz w:val="18"/>
                <w:szCs w:val="18"/>
                <w:color w:val="auto"/>
              </w:rPr>
              <w:t>28,598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105,418</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32,561</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248,586</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1,197</w:t>
            </w:r>
          </w:p>
        </w:tc>
        <w:tc>
          <w:tcPr>
            <w:tcW w:w="1120" w:type="dxa"/>
            <w:vAlign w:val="bottom"/>
            <w:gridSpan w:val="6"/>
          </w:tcPr>
          <w:p>
            <w:pPr>
              <w:jc w:val="right"/>
              <w:ind w:right="168"/>
              <w:spacing w:after="0"/>
              <w:rPr>
                <w:sz w:val="20"/>
                <w:szCs w:val="20"/>
                <w:color w:val="auto"/>
              </w:rPr>
            </w:pPr>
            <w:r>
              <w:rPr>
                <w:rFonts w:ascii="Arial" w:cs="Arial" w:eastAsia="Arial" w:hAnsi="Arial"/>
                <w:sz w:val="18"/>
                <w:szCs w:val="18"/>
                <w:color w:val="auto"/>
              </w:rPr>
              <w:t>99,765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249,850</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107,387</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158,360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1120" w:type="dxa"/>
            <w:vAlign w:val="bottom"/>
            <w:gridSpan w:val="6"/>
            <w:shd w:val="clear" w:color="auto" w:fill="CCEEFF"/>
          </w:tcPr>
          <w:p>
            <w:pPr>
              <w:jc w:val="right"/>
              <w:ind w:right="168"/>
              <w:spacing w:after="0"/>
              <w:rPr>
                <w:sz w:val="20"/>
                <w:szCs w:val="20"/>
                <w:color w:val="auto"/>
              </w:rPr>
            </w:pPr>
            <w:r>
              <w:rPr>
                <w:rFonts w:ascii="Arial" w:cs="Arial" w:eastAsia="Arial" w:hAnsi="Arial"/>
                <w:sz w:val="18"/>
                <w:szCs w:val="18"/>
                <w:color w:val="auto"/>
              </w:rPr>
              <w:t>74,561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165,293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76,508</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24,657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(5,039)</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11,279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12,041</w:t>
            </w: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(8,601)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1,846</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94,588</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9,748</w:t>
            </w: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19,411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119,899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34,361</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261,888</w:t>
            </w:r>
          </w:p>
        </w:tc>
        <w:tc>
          <w:tcPr>
            <w:tcW w:w="3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3,505</w:t>
            </w:r>
          </w:p>
        </w:tc>
        <w:tc>
          <w:tcPr>
            <w:tcW w:w="880" w:type="dxa"/>
            <w:vAlign w:val="bottom"/>
            <w:gridSpan w:val="5"/>
          </w:tcPr>
          <w:p>
            <w:pPr>
              <w:jc w:val="right"/>
              <w:spacing w:after="0"/>
              <w:rPr>
                <w:sz w:val="20"/>
                <w:szCs w:val="20"/>
                <w:color w:val="auto"/>
              </w:rPr>
            </w:pPr>
            <w:r>
              <w:rPr>
                <w:rFonts w:ascii="Arial" w:cs="Arial" w:eastAsia="Arial" w:hAnsi="Arial"/>
                <w:sz w:val="18"/>
                <w:szCs w:val="18"/>
                <w:color w:val="auto"/>
              </w:rPr>
              <w:t>29,711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291,185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52,350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186,162</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(10,816)</w:t>
            </w:r>
          </w:p>
        </w:tc>
        <w:tc>
          <w:tcPr>
            <w:tcW w:w="1120" w:type="dxa"/>
            <w:vAlign w:val="bottom"/>
            <w:gridSpan w:val="6"/>
            <w:shd w:val="clear" w:color="auto" w:fill="CCEEFF"/>
          </w:tcPr>
          <w:p>
            <w:pPr>
              <w:jc w:val="right"/>
              <w:ind w:right="108"/>
              <w:spacing w:after="0"/>
              <w:rPr>
                <w:sz w:val="20"/>
                <w:szCs w:val="20"/>
                <w:color w:val="auto"/>
              </w:rPr>
            </w:pPr>
            <w:r>
              <w:rPr>
                <w:rFonts w:ascii="Arial" w:cs="Arial" w:eastAsia="Arial" w:hAnsi="Arial"/>
                <w:sz w:val="18"/>
                <w:szCs w:val="18"/>
                <w:color w:val="auto"/>
              </w:rPr>
              <w:t>(34,308)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145,246</w:t>
            </w: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(17,450)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(30,900)</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1,076,540</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229,017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1,088,932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274,113</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color w:val="auto"/>
                <w:w w:val="89"/>
              </w:rPr>
              <w:t>Average total assets</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9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gridSpan w:val="9"/>
          </w:tcPr>
          <w:p>
            <w:pPr>
              <w:ind w:left="20"/>
              <w:spacing w:after="0" w:line="129" w:lineRule="exact"/>
              <w:rPr>
                <w:sz w:val="20"/>
                <w:szCs w:val="20"/>
                <w:color w:val="auto"/>
              </w:rPr>
            </w:pPr>
            <w:r>
              <w:rPr>
                <w:rFonts w:ascii="Arial" w:cs="Arial" w:eastAsia="Arial" w:hAnsi="Arial"/>
                <w:sz w:val="14"/>
                <w:szCs w:val="14"/>
                <w:color w:val="auto"/>
              </w:rPr>
              <w:t>Three months ended</w:t>
            </w:r>
          </w:p>
        </w:tc>
        <w:tc>
          <w:tcPr>
            <w:tcW w:w="780" w:type="dxa"/>
            <w:vAlign w:val="bottom"/>
            <w:gridSpan w:val="3"/>
          </w:tcPr>
          <w:p>
            <w:pPr>
              <w:jc w:val="center"/>
              <w:spacing w:after="0" w:line="129" w:lineRule="exact"/>
              <w:rPr>
                <w:sz w:val="20"/>
                <w:szCs w:val="20"/>
                <w:color w:val="auto"/>
              </w:rPr>
            </w:pPr>
            <w:r>
              <w:rPr>
                <w:rFonts w:ascii="Arial" w:cs="Arial" w:eastAsia="Arial" w:hAnsi="Arial"/>
                <w:sz w:val="14"/>
                <w:szCs w:val="14"/>
                <w:color w:val="auto"/>
                <w:w w:val="88"/>
              </w:rPr>
              <w:t>Year ended</w:t>
            </w:r>
          </w:p>
        </w:tc>
        <w:tc>
          <w:tcPr>
            <w:tcW w:w="26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7"/>
        </w:trPr>
        <w:tc>
          <w:tcPr>
            <w:tcW w:w="9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4"/>
          </w:tcPr>
          <w:p>
            <w:pPr>
              <w:jc w:val="right"/>
              <w:spacing w:after="0" w:line="157" w:lineRule="exact"/>
              <w:rPr>
                <w:sz w:val="20"/>
                <w:szCs w:val="20"/>
                <w:color w:val="auto"/>
              </w:rPr>
            </w:pPr>
            <w:r>
              <w:rPr>
                <w:rFonts w:ascii="Arial" w:cs="Arial" w:eastAsia="Arial" w:hAnsi="Arial"/>
                <w:sz w:val="14"/>
                <w:szCs w:val="14"/>
                <w:color w:val="auto"/>
              </w:rPr>
              <w:t>March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5"/>
          </w:tcPr>
          <w:p>
            <w:pPr>
              <w:jc w:val="center"/>
              <w:ind w:right="260"/>
              <w:spacing w:after="0" w:line="157" w:lineRule="exact"/>
              <w:rPr>
                <w:sz w:val="20"/>
                <w:szCs w:val="20"/>
                <w:color w:val="auto"/>
              </w:rPr>
            </w:pPr>
            <w:r>
              <w:rPr>
                <w:rFonts w:ascii="Arial" w:cs="Arial" w:eastAsia="Arial" w:hAnsi="Arial"/>
                <w:sz w:val="14"/>
                <w:szCs w:val="14"/>
                <w:color w:val="auto"/>
                <w:w w:val="92"/>
              </w:rPr>
              <w:t>December 31</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9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ind w:left="160"/>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jc w:val="right"/>
              <w:ind w:right="52"/>
              <w:spacing w:after="0"/>
              <w:rPr>
                <w:sz w:val="20"/>
                <w:szCs w:val="20"/>
                <w:color w:val="auto"/>
              </w:rPr>
            </w:pPr>
            <w:r>
              <w:rPr>
                <w:rFonts w:ascii="Arial" w:cs="Arial" w:eastAsia="Arial" w:hAnsi="Arial"/>
                <w:sz w:val="14"/>
                <w:szCs w:val="14"/>
                <w:color w:val="auto"/>
              </w:rPr>
              <w:t>2013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89"/>
              </w:rPr>
              <w:t>2013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center"/>
              <w:ind w:right="320"/>
              <w:spacing w:after="0" w:line="142" w:lineRule="exact"/>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6"/>
              </w:rPr>
              <w:t>$ 5,242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4,980</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Commercial Banking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22,523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8"/>
                <w:szCs w:val="18"/>
                <w:color w:val="auto"/>
                <w:w w:val="98"/>
              </w:rPr>
              <w:t>21,272</w:t>
            </w:r>
          </w:p>
        </w:tc>
        <w:tc>
          <w:tcPr>
            <w:tcW w:w="1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21,655</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16,937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w w:val="98"/>
              </w:rPr>
              <w:t>17,054</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17,150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18,581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4"/>
          </w:tcPr>
          <w:p>
            <w:pPr>
              <w:jc w:val="right"/>
              <w:ind w:right="340"/>
              <w:spacing w:after="0"/>
              <w:rPr>
                <w:sz w:val="20"/>
                <w:szCs w:val="20"/>
                <w:color w:val="auto"/>
              </w:rPr>
            </w:pPr>
            <w:r>
              <w:rPr>
                <w:rFonts w:ascii="Arial" w:cs="Arial" w:eastAsia="Arial" w:hAnsi="Arial"/>
                <w:sz w:val="18"/>
                <w:szCs w:val="18"/>
                <w:color w:val="auto"/>
                <w:w w:val="98"/>
              </w:rPr>
              <w:t>16,585</w:t>
            </w:r>
          </w:p>
        </w:tc>
        <w:tc>
          <w:tcPr>
            <w:tcW w:w="1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16,480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3,157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2,847</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2,858</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Retail Banking</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10,155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11,391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10,997</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10,070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7,784</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9,442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86,665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81,913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83,662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140" w:hanging="452"/>
        <w:spacing w:after="0" w:line="312" w:lineRule="auto"/>
        <w:tabs>
          <w:tab w:leader="none" w:pos="4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pricing and allocation methodology. Segments are charged a cost to fund any assets (e.g. loans) and are paid a funding credit for any funds provided</w:t>
      </w:r>
    </w:p>
    <w:p>
      <w:pPr>
        <w:spacing w:after="0" w:line="79" w:lineRule="exact"/>
        <w:rPr>
          <w:rFonts w:ascii="Arial" w:cs="Arial" w:eastAsia="Arial" w:hAnsi="Arial"/>
          <w:sz w:val="16"/>
          <w:szCs w:val="16"/>
          <w:i w:val="1"/>
          <w:iCs w:val="1"/>
          <w:color w:val="auto"/>
        </w:rPr>
      </w:pPr>
    </w:p>
    <w:p>
      <w:pPr>
        <w:ind w:left="5620" w:hanging="101"/>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 continued</w:t>
      </w:r>
    </w:p>
    <w:p>
      <w:pPr>
        <w:spacing w:after="0" w:line="162"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i w:val="1"/>
          <w:iCs w:val="1"/>
          <w:color w:val="auto"/>
        </w:rPr>
        <w:t>(e.g. deposits). The taxable-equivalent adjustment aggregated $5,945,000 and $6,450,000 for the three-month periods ended March 31, 2014 and 2013,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Relationship with Bayview Lending Group LLC and Bayview Financial Holdings, L.P.</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M&amp;T holds a 20% minority interest in Bayview Lending Group LLC (“BLG”), a privately-held commercial mortgage company. M&amp;T recognizes income or loss from BLG using the equity method of accounting. The carrying value of that investment was $60 million at March 31, 2014.</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$5.4 billion and $5.5 billion at March 31, 2014 and December 31, 2013, respectively. Revenues from those servicing rights were $7 million and $8 million during the three-month periods ended March 31, 2014 and 2013, respectively. The Company sub-services residential mortgage loans for Bayview Financial having outstanding principal balances totaling $46.5 billion and $45.6 billion at March 31, 2014 and December 31, 2013, respectively. Revenues earned for sub-servicing loans for Bayview Financial were $26 million and $2 million for the three-month periods ended March 31, 2014 and 2013, respectively. In addition, the Company held $216 million and $220 million of mortgage-backed securities in its held-to-maturity portfolio at March 31, 2014 and December 31, 2013, respectively, that were securitized by Bayview Financial.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M&amp;T Bank Corporation (“M&amp;T”) recorded net income in the first quarter of 2014 of $229 million or $1.61 of diluted earnings per common share, compared with $274 million or $1.98 of diluted earnings per common share in the initial 2013 quarter. During the fourth quarter of 2013, net income totaled $221 million or $1.56 of diluted earnings per common share. Basic earnings per common share were $1.63 in the initial 2014 quarter, compared with $2.00 and $1.57 in the first and fourth quarters of 2013, respectively. The annualized rate of return on average total assets for M&amp;T and its consolidated subsidiaries (“the Company”) in the recent quarter was 1.07%, compared with 1.36% in the year-earlier quarter and 1.03% in the fourth quarter of 2013. The annualized rate of return on average common shareholders’ equity was 8.22% in the first three months of 2014, compared with 11.10% and 7.99% in the first and fourth quarters of 2013, respectively.</w:t>
      </w:r>
    </w:p>
    <w:p>
      <w:pPr>
        <w:spacing w:after="0" w:line="18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On March 27, 2014, M&amp;T announced that the Federal Reserve did not object to M&amp;T’s proposed 2014 Capital Plan. Accordingly, M&amp;T may maintain a quarterly common stock dividend of $.70 per share; pay dividends and interest on other equity and debt instruments included in regulatory capital, including preferred stock, trust preferred securities and subordinated debt that were outstanding at December 31, 2013, consistent with the contractual terms of those instruments; and redeem or repurchase up to $50 million of subordinated debt. Common and preferred dividends are subject to approval by M&amp;T’s Board of Directors in the ordinary course of business.</w:t>
      </w:r>
    </w:p>
    <w:p>
      <w:pPr>
        <w:spacing w:after="0" w:line="18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August 27, 2012, M&amp;T announced that it had entered into a definitive agreement with Hudson City Bancorp, Inc. (“Hudson City”), headquartered in Paramus, New Jersey, under which Hudson City would be acquired by M&amp;T. Pursuant to the terms of the agreement, Hudson City common shareholders will receive consideration for each common share of Hudson City in an amount valued at .08403 of an M&amp;T share in the form of either M&amp;T common stock or cash, based on the election of each Hudson City shareholder, subject to proration as specified in the merger agreement (which provides for an aggregate split of total consideration of 60% common stock of M&amp;T and 40% cash). The estimated purchase price considering the closing price of M&amp;T’s common stock of $121.30 on March 31, 2014 was $5.2 billion.</w:t>
      </w:r>
    </w:p>
    <w:p>
      <w:pPr>
        <w:spacing w:after="0" w:line="193"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As of March 31, 2014, Hudson City reported $38.2 billion of assets, including $23.8 billion of loans (predominantly residential real estate loans) and $8.5 billion of investment securities, and $33.4 billion of liabilities, including $21.1 billion of deposits. The merger has received the approval of the common shareholders of M&amp;T and Hudson City. However, the merger is subject to a number of conditions, including regulatory approvals.</w:t>
      </w:r>
    </w:p>
    <w:p>
      <w:pPr>
        <w:spacing w:after="0" w:line="166"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On June 17, 2013, M&amp;T and M&amp;T Bank entered into a written agreement with the Federal Reserve Bank of New York. Under the terms of the agreement, M&amp;T and M&amp;T Bank are required to submit to the Federal Reserve Bank of New York a revised compliance risk management program designed to ensure compliance with the Bank Secrecy Act and anti-money laundering laws and regulations (“BSA/AML”) and to take certain other steps to enhance their compliance practices. The Company commenced a major initiative, including the hiring of outside consulting firms, intended to fully address those regulator concerns. M&amp;T and M&amp;T Bank continue to make progress towards completing this initiative. In view of the timeframe required to implement this initiative, demonstrate its efficacy to the satisfaction of the regulators and otherwise meet any other regulatory requirements that may be imposed in connection with these matters, the timeframe for closing the transaction between M&amp;T and Hudson City has extended beyond the date previously expected. Accordingly, M&amp;T and Hudson City extended the date after which either party may elect to terminate the merger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agreement if the merger has not yet been completed to December 31, 2014. Nevertheless, M&amp;T’s pending acquisition of Hudson City remains subject to regulatory approval, including approval by the Federal Reserve, and certain other closing conditions and, as a result, there can be no assurances that the merger will be completed by that 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discussed in M&amp;T’s Form 10-K for the year ended December 31, 2013,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on the financial services industry as a whole, as well as on M&amp;T’s business, results of operations, financial condition and liquidity.</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discussion of the provisions of the Dodd-Frank Act is included in Part I, Item 1 of M&amp;T’s Form 10-K for the year ended December 31, 2013.</w:t>
      </w:r>
    </w:p>
    <w:p>
      <w:pPr>
        <w:spacing w:after="0" w:line="248"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On July 31, 2013, the U.S. District Court for the District of Columbia issued an order granting summary judgment to the plaintiffs in a case challenging certain provisions of the Federal Reserve Board’s rule concerning electronic debit card transaction fees and network exclusivity arrangements (the “Current Rule”) that were adopted to implement Section 1075 of the Dodd-Frank Act — the so-called “Durbin Amendment.” The Court held that, in adopting the Current Rule, the Federal Reserve Board violated the Durbin Amendment’s provisions concerning which costs are allowed to be taken into account for purposes of setting fees that are “reasonable and proportional to the costs incurred by the issuer” and therefore the Current Rule’s maximum permissible fees were too high. In addition, the Court held that the Current Rule’s network non-exclusivity provisions concerning unaffiliated payment networks for debit cards also violated the Durbin Amendment. The Court vacated the Current Rule. The Court’s judgment was stayed in September 2013 pending appeal by the Federal Reserve Board. In March 2014, a panel of the United States Court of Appeals for the District of Columbia overturned the U.S. District Court’s ruling almost in its entirety, remanding to the Federal Reserve Board for further consideration or explanation of the issue of its treatment of transactions-monitoring costs.</w:t>
      </w:r>
    </w:p>
    <w:p>
      <w:pPr>
        <w:spacing w:after="0" w:line="195"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In July 2013, the Federal Reserve Board, the Office of the Comptroller of the Currency and the Federal Deposit Insurance Corporation approved final rules (the “New Capital Rules”) establishing a new comprehensive capital framework for U.S. banking organizations. The New Capital Rules generally implement the Basel Committee on Banking Supervision’s (the “Basel Committee”) December 2010 final capital framework referred to as “Basel III” for strengthening international capital standards. The New Capital Rules substantially revise the risk-based capital requirements applicable to bank holding companies and their depository institution subsidiaries, including M&amp;T and M&amp;T Bank, as compared to the current U.S. general risk-based capital rules.</w:t>
      </w:r>
    </w:p>
    <w:p>
      <w:pPr>
        <w:spacing w:after="0" w:line="158"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The New Capital Rules preclude certain hybrid securities, such as trust preferred securities, from inclusion in bank holding companies’ Tier 1 capital, subject to phase-out in the case of bank holding companies, such as M&amp;T, that had $15 billion or more in total consolidated assets as of December 31, 2009. As a result, beginning in 2015 25% of M&amp;T’s trust preferred securities will be includable in Tier 1 capital, and in 2016 and thereafter,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none of M&amp;T’s trust preferred securities will be includable in Tier 1 capital. Trust preferred securities no longer included in M&amp;T’s Tier 1 capital may nonetheless be included as a component of Tier 2 capital on a permanent basis without phase-out and irrespective of whether such securities otherwise meet the revised definition of Tier 2 capital set forth in the New Capital Rules. In the first quarter of 2014, M&amp;T redeemed $350 million of 8.50% junior subordinated debentures associated with the trust preferred capital securities of M&amp;T Capital Trust IV and issued a like amount of 6.45% preferred stock that qualifies as Tier 1 regulatory capital. A detailed discussion of the New Capital Rules is included in Part I, Item 1 of M&amp;T’s Form 10-K for the year ended December 31, 2013 under the heading “Capital Requirements.”</w:t>
      </w:r>
    </w:p>
    <w:p>
      <w:pPr>
        <w:spacing w:after="0" w:line="193"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Management believes that the Company will be able to comply with the revised capital adequacy requirements upon their implementation. More specifically, management estimates that the Company’s ratio of Common Equity Tier 1 (“CET1”) to risk-weighted assets under the New Capital Rules (and as defined therein) on a fully phased-in basis was approximately 9.22% as of March 31, 2014, reflecting a good faith estimate of the computation of CET1 and the Company’s risk-weighted assets under the methodologies set forth in the New Capital Rules.</w:t>
      </w:r>
    </w:p>
    <w:p>
      <w:pPr>
        <w:spacing w:after="0" w:line="171" w:lineRule="exact"/>
        <w:rPr>
          <w:sz w:val="20"/>
          <w:szCs w:val="20"/>
          <w:color w:val="auto"/>
        </w:rPr>
      </w:pPr>
    </w:p>
    <w:p>
      <w:pPr>
        <w:jc w:val="both"/>
        <w:ind w:right="280" w:firstLine="913"/>
        <w:spacing w:after="0" w:line="288" w:lineRule="auto"/>
        <w:rPr>
          <w:sz w:val="20"/>
          <w:szCs w:val="20"/>
          <w:color w:val="auto"/>
        </w:rPr>
      </w:pPr>
      <w:r>
        <w:rPr>
          <w:rFonts w:ascii="Arial" w:cs="Arial" w:eastAsia="Arial" w:hAnsi="Arial"/>
          <w:sz w:val="16"/>
          <w:szCs w:val="16"/>
          <w:color w:val="auto"/>
        </w:rPr>
        <w:t>On December 10, 2013, the Federal Reserve Board, the Office of the Comptroller of the Currency, the Federal Deposit Insurance Corporation and the Securities and Exchange Commission adopted the final version of the Volcker Rule, which was mandated under Dodd-Frank. The Volcker Rule is intended to effectively reduce risks posed to banking entities from proprietary trading activities and investments in or relationships with covered funds.</w:t>
      </w:r>
    </w:p>
    <w:p>
      <w:pPr>
        <w:ind w:right="100"/>
        <w:spacing w:after="0" w:line="271" w:lineRule="auto"/>
        <w:rPr>
          <w:sz w:val="20"/>
          <w:szCs w:val="20"/>
          <w:color w:val="auto"/>
        </w:rPr>
      </w:pPr>
      <w:r>
        <w:rPr>
          <w:rFonts w:ascii="Arial" w:cs="Arial" w:eastAsia="Arial" w:hAnsi="Arial"/>
          <w:sz w:val="17"/>
          <w:szCs w:val="17"/>
          <w:color w:val="auto"/>
        </w:rPr>
        <w:t>Banking entities are generally prohibited from engaging in proprietary trading. The Company does not believe that it engages in any significant amount of “proprietary trading” as defined in the Volcker Rule and that any impact would be minimal. In addition, a review of the Company’s investments was undertaken to determine if any meet the Volcker Rule’s definition of “covered funds.” Based on that review, the Company believes that any impact related to investments considered to be covered funds would not have a significant effect on the Company’s financial condition or its results of operations. Nevertheless, the Company may be required to divest certain investments subject to the Volcker Rule by mid-2015.</w:t>
      </w:r>
    </w:p>
    <w:p>
      <w:pPr>
        <w:spacing w:after="0" w:line="179"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On October 24, 2013, the Federal Reserve Board and other banking regulators issued an interagency proposal for the U.S. version of the Basel Committee’s Liquidity Coverage Ratio (“LCR”). The LCR requires a banking organization to maintain a minimum amount of liquid assets to withstand a 30-day standardized supervisory liquidity stress scenario. The proposed effective date is January 1, 2015, subject to a two-year phase-in period. The period for commenting on the interagency proposal closed on January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As a result of business combinations and other acquisitions, the Company had intangible assets consisting of goodwill and core deposit and other intangible assets totaling $3.6 billion at each of March 31, 2014, March 31, 2013 and December 31, 2013. Included in such intangible assets was goodwill of $3.5 billion at each of those dates. Amortization of core deposit and other intangible assets, after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tax effect, was $6 million during each of quarters ended March 31, 2014 and December 31, 2013 ($.05 per diluted common share), compared with $8 million ($.06 per diluted common share) during the first quarter of 2013. The after-tax impact of merger-related expenses was $3 million ($5 million pre-tax), or $.02 of basic and diluted earnings per common share in the first quarter of 2013. There were no merger-related expenses in the recent quarter or in the final quarter of 2013. The merger-related expenses in 2013’s initial quarter were associated with M&amp;T’s pending acquisition of Hudson City. Although “net operating income” as defined by M&amp;T is not a GAAP measure, M&amp;T’s management believes that this information helps investors understand the effect of acquisition activity in reported results.</w:t>
      </w:r>
    </w:p>
    <w:p>
      <w:pPr>
        <w:spacing w:after="0" w:line="193"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Net operating income totaled $235 million in the first quarter of 2014, compared with $285 million in the year-earlier quarter. Diluted net operating earnings per common share for the recent quarter were $1.66, compared with $2.06 in the initial quarter of 2013. Net operating income and diluted net operating earnings per common share were $228 million and $1.61, respectively, in the fourth quarter of 2013.</w:t>
      </w:r>
    </w:p>
    <w:p>
      <w:pPr>
        <w:spacing w:after="0" w:line="166"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Net operating income in the recent quarter expressed as an annualized rate of return on average tangible assets was 1.15%, compared with 1.48% and 1.11% in the first and fourth quarters of 2013, respectively. Net operating income represented an annualized return on average tangible common equity of 12.76% in the initial quarter of 2014, compared with 18.71% in the year-earlier quarter and 12.67% in the final quarter of 2013.</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Reconciliations of GAAP amounts with corresponding non-GAAP amounts are presented in table 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Taxable-equivalent net interest income totaled $662 million in the first quarter of 2014, nearly unchanged from the year-earlier period. The impact of higher average earning assets, which rose $3.9 billion, or 5%, to $76.3 billion from $72.3 billion in the first quarter of 2013, was offset by a 19 basis point (hundredths of one percent) narrowing of the Company’s net interest margin, or taxable-equivalent net interest income expressed as an annualized percentage of average earning assets. The increase in average earning assets was attributable to a $3.5 billion rise in average balances of investment securities and a $2.6 billion increase in lower yielding average interest-bearing deposits at the Federal Reserve Bank of New York, partially offset by a $2.1 billion decline in average loans outstanding. The decline in average loans reflects the impact of securitization activities in 2013 whereby the Company (i) securitized approximately $1.3 billion of one-to-four family residential real estate loans from its loan portfolio into guaranteed mortgage securitizations with Ginnie Mae (and largely retained the resulting securities in the investment securities portfolio) and (ii) securitized and sold approximately $1.4 billion of automobile loans. The increase in investment securities reflects M&amp;T’s loan securitization activities in 2013 as well as purchases of Ginnie Mae and Fannie Mae mortgage-backed securities. Taxable-equivalent net interest income in the recent quarter was below the $673 million recorded in the fourth quarter of 2013, reflecting two less days in the recent quarter.</w:t>
      </w:r>
    </w:p>
    <w:p>
      <w:pPr>
        <w:spacing w:after="0" w:line="183" w:lineRule="exact"/>
        <w:rPr>
          <w:sz w:val="20"/>
          <w:szCs w:val="20"/>
          <w:color w:val="auto"/>
        </w:rPr>
      </w:pPr>
    </w:p>
    <w:p>
      <w:pPr>
        <w:ind w:right="220" w:firstLine="913"/>
        <w:spacing w:after="0" w:line="302" w:lineRule="auto"/>
        <w:rPr>
          <w:sz w:val="20"/>
          <w:szCs w:val="20"/>
          <w:color w:val="auto"/>
        </w:rPr>
      </w:pPr>
      <w:r>
        <w:rPr>
          <w:rFonts w:ascii="Arial" w:cs="Arial" w:eastAsia="Arial" w:hAnsi="Arial"/>
          <w:sz w:val="16"/>
          <w:szCs w:val="16"/>
          <w:color w:val="auto"/>
        </w:rPr>
        <w:t>Average loans and leases declined $2.1 billion or 3% to $63.8 billion in the recent quarter from $65.9 billion in the first quarter of 2013. Commercial loans and leases averaged $18.5 billion in the initial 2014 quarter, up $1.1 billion or 7% from $17.3 billion in the year-earlier quarter. Average commercial real estate loans rose $228 million to $26.1 billion in the recent quarter from $25.9 billion in the first quarter of 2013. Average residential real estate loans outstanding decreased $2.3 billion to $8.8 billion in the first quarter of 2014 from $11.1 billion in the similar quarter of 2013.</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Included in that portfolio were loans held for sale, which averaged $329 million in the recent quarter, compared with $1.1 billion in the first quarter of 2013. The further decrease in residential real estate loans was largely due to the above-noted securitization activity during the second and third quarters of 2013. During the second quarter of 2013, the Company securitized approximately $296 million of residential real estate loans and during the third quarter of 2013 approximately $1.0 billion of residential real estate loans were securitized. The residential real estate loans were guaranteed by the Federal Housing Administration (“FHA”) and a substantial majority of the resulting Ginnie Mae mortgage-backed investment securities have been retained by the Company in the investment securities portfolio. Average consumer loans and leases totaled $10.3 billion in the recent quarter, $1.2 billion or 10% lower than $11.5 billion in 2013’s first quarter. That decline was largely due to lower average balances of automobile loans. In September 2013, the Company securitized and sold approximately $1.4 billion of automobile loans held in its loan portfolio. The Company has securitized loans to improve its regulatory capital ratios and strengthen its liquidity and risk profile, including the ability to pledge any of the retained assets, as a result of changing regulatory requirements.</w:t>
      </w:r>
    </w:p>
    <w:p>
      <w:pPr>
        <w:spacing w:after="0" w:line="16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Average loan balances in the recent quarter increased $213 million from the fourth quarter of 2013. Average outstanding commercial loan and lease balances rose $380 million, or 2%, average balances of commercial real estate loans decreased $88 million and average residential real estate loan balances were down $146 million. Average outstanding consumer loans increased $68 million from 2013’s final quarter. The accompanying table summarizes quarterly changes in the major components of the loan and lease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33" w:lineRule="exact"/>
        <w:rPr>
          <w:sz w:val="20"/>
          <w:szCs w:val="20"/>
          <w:color w:val="auto"/>
        </w:rPr>
      </w:pPr>
    </w:p>
    <w:p>
      <w:pPr>
        <w:ind w:left="9020"/>
        <w:spacing w:after="0"/>
        <w:rPr>
          <w:sz w:val="20"/>
          <w:szCs w:val="20"/>
          <w:color w:val="auto"/>
        </w:rPr>
      </w:pPr>
      <w:r>
        <w:rPr>
          <w:rFonts w:ascii="Arial" w:cs="Arial" w:eastAsia="Arial" w:hAnsi="Arial"/>
          <w:sz w:val="14"/>
          <w:szCs w:val="14"/>
          <w:color w:val="auto"/>
        </w:rPr>
        <w:t>Percent increase</w:t>
      </w:r>
    </w:p>
    <w:p>
      <w:pPr>
        <w:ind w:left="9040"/>
        <w:spacing w:after="0"/>
        <w:rPr>
          <w:sz w:val="20"/>
          <w:szCs w:val="20"/>
          <w:color w:val="auto"/>
        </w:rPr>
      </w:pPr>
      <w:r>
        <w:rPr>
          <w:rFonts w:ascii="Arial" w:cs="Arial" w:eastAsia="Arial" w:hAnsi="Arial"/>
          <w:sz w:val="14"/>
          <w:szCs w:val="14"/>
          <w:color w:val="auto"/>
        </w:rPr>
        <w:t>(decrease) from</w:t>
      </w:r>
    </w:p>
    <w:tbl>
      <w:tblPr>
        <w:tblLayout w:type="fixed"/>
        <w:tblInd w:w="920" w:type="dxa"/>
        <w:tblCellMar>
          <w:top w:w="0" w:type="dxa"/>
          <w:left w:w="0" w:type="dxa"/>
          <w:bottom w:w="0" w:type="dxa"/>
          <w:right w:w="0" w:type="dxa"/>
        </w:tblCellMar>
      </w:tblPr>
      <w:tr>
        <w:trPr>
          <w:trHeight w:val="138"/>
        </w:trPr>
        <w:tc>
          <w:tcPr>
            <w:tcW w:w="6600" w:type="dxa"/>
            <w:vAlign w:val="bottom"/>
          </w:tcPr>
          <w:p>
            <w:pPr>
              <w:spacing w:after="0"/>
              <w:rPr>
                <w:sz w:val="11"/>
                <w:szCs w:val="11"/>
                <w:color w:val="auto"/>
              </w:rPr>
            </w:pPr>
          </w:p>
        </w:tc>
        <w:tc>
          <w:tcPr>
            <w:tcW w:w="1180" w:type="dxa"/>
            <w:vAlign w:val="bottom"/>
            <w:gridSpan w:val="3"/>
          </w:tcPr>
          <w:p>
            <w:pPr>
              <w:ind w:left="80"/>
              <w:spacing w:after="0" w:line="138" w:lineRule="exact"/>
              <w:rPr>
                <w:sz w:val="20"/>
                <w:szCs w:val="20"/>
                <w:color w:val="auto"/>
              </w:rPr>
            </w:pPr>
            <w:r>
              <w:rPr>
                <w:rFonts w:ascii="Arial" w:cs="Arial" w:eastAsia="Arial" w:hAnsi="Arial"/>
                <w:sz w:val="14"/>
                <w:szCs w:val="14"/>
                <w:color w:val="auto"/>
              </w:rPr>
              <w:t>1st Qtr.</w:t>
            </w:r>
          </w:p>
        </w:tc>
        <w:tc>
          <w:tcPr>
            <w:tcW w:w="1160" w:type="dxa"/>
            <w:vAlign w:val="bottom"/>
            <w:gridSpan w:val="2"/>
          </w:tcPr>
          <w:p>
            <w:pPr>
              <w:jc w:val="center"/>
              <w:ind w:right="740"/>
              <w:spacing w:after="0" w:line="138" w:lineRule="exact"/>
              <w:rPr>
                <w:sz w:val="20"/>
                <w:szCs w:val="20"/>
                <w:color w:val="auto"/>
              </w:rPr>
            </w:pPr>
            <w:r>
              <w:rPr>
                <w:rFonts w:ascii="Arial" w:cs="Arial" w:eastAsia="Arial" w:hAnsi="Arial"/>
                <w:sz w:val="14"/>
                <w:szCs w:val="14"/>
                <w:color w:val="auto"/>
                <w:w w:val="91"/>
              </w:rPr>
              <w:t>1st Qtr.</w:t>
            </w:r>
          </w:p>
        </w:tc>
        <w:tc>
          <w:tcPr>
            <w:tcW w:w="640" w:type="dxa"/>
            <w:vAlign w:val="bottom"/>
            <w:gridSpan w:val="2"/>
          </w:tcPr>
          <w:p>
            <w:pPr>
              <w:jc w:val="right"/>
              <w:ind w:right="110"/>
              <w:spacing w:after="0" w:line="138" w:lineRule="exact"/>
              <w:rPr>
                <w:sz w:val="20"/>
                <w:szCs w:val="20"/>
                <w:color w:val="auto"/>
              </w:rPr>
            </w:pPr>
            <w:r>
              <w:rPr>
                <w:rFonts w:ascii="Arial" w:cs="Arial" w:eastAsia="Arial" w:hAnsi="Arial"/>
                <w:sz w:val="14"/>
                <w:szCs w:val="14"/>
                <w:color w:val="auto"/>
                <w:w w:val="89"/>
              </w:rPr>
              <w:t>4th Qtr.</w:t>
            </w:r>
          </w:p>
        </w:tc>
        <w:tc>
          <w:tcPr>
            <w:tcW w:w="0" w:type="dxa"/>
            <w:vAlign w:val="bottom"/>
          </w:tcPr>
          <w:p>
            <w:pPr>
              <w:spacing w:after="0"/>
              <w:rPr>
                <w:sz w:val="1"/>
                <w:szCs w:val="1"/>
                <w:color w:val="auto"/>
              </w:rPr>
            </w:pPr>
          </w:p>
        </w:tc>
      </w:tr>
      <w:tr>
        <w:trPr>
          <w:trHeight w:val="167"/>
        </w:trPr>
        <w:tc>
          <w:tcPr>
            <w:tcW w:w="66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74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etc.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$18,476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26,143</w:t>
            </w:r>
          </w:p>
        </w:tc>
        <w:tc>
          <w:tcPr>
            <w:tcW w:w="5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8,844</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Consumer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Automobile</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1,433</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Home equity lines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5,735</w:t>
            </w:r>
          </w:p>
        </w:tc>
        <w:tc>
          <w:tcPr>
            <w:tcW w:w="56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loans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Other</w:t>
            </w:r>
          </w:p>
        </w:tc>
        <w:tc>
          <w:tcPr>
            <w:tcW w:w="600" w:type="dxa"/>
            <w:vAlign w:val="bottom"/>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consumer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80"/>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63,763</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4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The investment securities portfolio averaged $9.3 billion in the recent quarter, up $3.5 billion or 60% from $5.8 billion in the initial quarter of 2013 and $911 million above the $8.4 billion averaged in the fourth quarter of 2013. The increase from the year-earlier quarter reflects the net effect of purchases, sales and securitizations during 2013 and the first quarter of 2014, partially offset by maturities and paydowns of mortgage-backed securities. Beginning in the second quarter of 2013, the Company undertook certain actions to improve its regulatory capital and liquidity positions in response to evolving regulatory requirements. As a result, in the second quarter of 2013 approximately $1.0 billion of privately issued mortgage-backed securities held in the available-for-sale portfolio were sold, as were the Company’s holdings of Visa and MasterCard common stock. In the second and third quarters of 2013, the Company securitized approximately $1.3 billion of residential real estate loans held in its loan portfolio guaranteed by the FHA. A substantial majority of the Ginnie Mae securities resulting from those securitizations were retained by the Company. During the second quarter of 2013, the Company also began originating FHA residential real estate loans for purposes of securitizing such loans into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Ginnie Mae mortgage-backed securities to be retained in the Company’s investment securities portfolio. Approximately $1.6 billion of such loans were originated and securitized during 2013. Finally, beginning in May the Company purchased approximately $1.9 billion of Ginnie Mae securities and $250 million of Fannie Mae securities that were added to the investment securities portfolio during 2013, and another $1.7 billion of Fannie Mae securities were purchased during the first quarter of 2014. The recent quarter increase in average investment securities balances as compared with the final 2013 quarter reflects the noted first quarter purchases of Fannie Mae securities. The Company has increased its holdings of investment securities in response to changing regulatory requirements.</w:t>
      </w:r>
    </w:p>
    <w:p>
      <w:pPr>
        <w:spacing w:after="0" w:line="19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investment securities portfolio is largely comprised of residential mortgage-backed securities,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w:t>
      </w:r>
    </w:p>
    <w:p>
      <w:pPr>
        <w:spacing w:after="0" w:line="19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Company regularly reviews its investment securities for declines in value below amortized cost that might be characterized as “other than temporary.” Nevertheless, there were no other-than-temporary impairment charges recognized in either the first quarter of 2014 or the final 2013 quarter. Other-than-temporary impairment charges recognized during the quarter ended March 31, 2013 were $10 million. That impairment charge related to certain privately issued mortgage-backed securities. Persistently high unemployment, loan delinquencies and foreclosures that led to a backlog of homes held for sale by financial institutions and others were significant factors contributing to the recognition of the other-than-temporary impairment charges related to those securities. Substantially all of the privately issued mortgage-backed securities held in the available-for-sale investment securities portfolio were sold late in the second quarter of 2013. The impairment charge in the first quarter of 2013 related to a subset of those securities. Additional information about the investment securities portfolio is included in notes 3 and 12 of Notes to Financial Statements.</w:t>
      </w:r>
    </w:p>
    <w:p>
      <w:pPr>
        <w:spacing w:after="0" w:line="179"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Other earning assets include interest-earning deposits at the Federal Reserve Bank of New York and other banks, trading account assets, federal funds sold and agreements to resell securities. Those other earning assets in the aggregate averaged $3.3 billion in the recently completed quarter, compared with $684 million and $3.1 billion in the first and fourth quarters of 2013, respectively. Interest-bearing deposits at banks averaged $3.1 billion, $527 million and $2.9 billion during the three-month periods ended March 31, 2014, March 31, 2013 and December 31, 2013, respectively. The rise in average interest-bearing deposits at banks in the fourth quarter of 2013 and the initial 2014 quarter as compared with the first quarter of 2013 was largely due to higher deposits held at the Federal Reserve Bank of New York. The amounts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7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As a result of the changes described herein, average earning assets aggregated $76.3 billion in the first quarter of 2014, compared with $72.3 billion in the year-earlier quarter and $75.0 billion in the final quarter of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Core deposits averaged $65.6 billion in the initial 2014 quarter, compared with $61.9 billion in the year-earlier quarter and $65.3 billion in the final quarter of 2013. The growth in core deposits since the first quarter of 2013 was due, in part, to the lack of attractive alternative investments available to the Company’s customers resulting from lower interest rates and from the economic environment in the U.S. The low interest rate environment has resulted in a shift in customer savings trends, as average time deposits have continued to decline, while average noninterest-bearing deposits and savings deposits have generally increased. The following table provides an analysis of quarterly changes in the components of average core deposits.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233" w:lineRule="exact"/>
        <w:rPr>
          <w:sz w:val="20"/>
          <w:szCs w:val="20"/>
          <w:color w:val="auto"/>
        </w:rPr>
      </w:pPr>
    </w:p>
    <w:p>
      <w:pPr>
        <w:ind w:left="9080"/>
        <w:spacing w:after="0"/>
        <w:rPr>
          <w:sz w:val="20"/>
          <w:szCs w:val="20"/>
          <w:color w:val="auto"/>
        </w:rPr>
      </w:pPr>
      <w:r>
        <w:rPr>
          <w:rFonts w:ascii="Arial" w:cs="Arial" w:eastAsia="Arial" w:hAnsi="Arial"/>
          <w:sz w:val="14"/>
          <w:szCs w:val="14"/>
          <w:color w:val="auto"/>
        </w:rPr>
        <w:t>Percent increase</w:t>
      </w:r>
    </w:p>
    <w:p>
      <w:pPr>
        <w:ind w:left="9100"/>
        <w:spacing w:after="0"/>
        <w:rPr>
          <w:sz w:val="20"/>
          <w:szCs w:val="20"/>
          <w:color w:val="auto"/>
        </w:rPr>
      </w:pPr>
      <w:r>
        <w:rPr>
          <w:rFonts w:ascii="Arial" w:cs="Arial" w:eastAsia="Arial" w:hAnsi="Arial"/>
          <w:sz w:val="14"/>
          <w:szCs w:val="14"/>
          <w:color w:val="auto"/>
        </w:rPr>
        <w:t>(decrease) from</w:t>
      </w:r>
    </w:p>
    <w:tbl>
      <w:tblPr>
        <w:tblLayout w:type="fixed"/>
        <w:tblInd w:w="920" w:type="dxa"/>
        <w:tblCellMar>
          <w:top w:w="0" w:type="dxa"/>
          <w:left w:w="0" w:type="dxa"/>
          <w:bottom w:w="0" w:type="dxa"/>
          <w:right w:w="0" w:type="dxa"/>
        </w:tblCellMar>
      </w:tblPr>
      <w:tr>
        <w:trPr>
          <w:trHeight w:val="138"/>
        </w:trPr>
        <w:tc>
          <w:tcPr>
            <w:tcW w:w="6780" w:type="dxa"/>
            <w:vAlign w:val="bottom"/>
          </w:tcPr>
          <w:p>
            <w:pPr>
              <w:spacing w:after="0"/>
              <w:rPr>
                <w:sz w:val="11"/>
                <w:szCs w:val="11"/>
                <w:color w:val="auto"/>
              </w:rPr>
            </w:pPr>
          </w:p>
        </w:tc>
        <w:tc>
          <w:tcPr>
            <w:tcW w:w="1100" w:type="dxa"/>
            <w:vAlign w:val="bottom"/>
            <w:gridSpan w:val="3"/>
          </w:tcPr>
          <w:p>
            <w:pPr>
              <w:jc w:val="right"/>
              <w:ind w:right="600"/>
              <w:spacing w:after="0" w:line="138" w:lineRule="exact"/>
              <w:rPr>
                <w:sz w:val="20"/>
                <w:szCs w:val="20"/>
                <w:color w:val="auto"/>
              </w:rPr>
            </w:pPr>
            <w:r>
              <w:rPr>
                <w:rFonts w:ascii="Arial" w:cs="Arial" w:eastAsia="Arial" w:hAnsi="Arial"/>
                <w:sz w:val="14"/>
                <w:szCs w:val="14"/>
                <w:color w:val="auto"/>
              </w:rPr>
              <w:t>1st Qtr.</w:t>
            </w:r>
          </w:p>
        </w:tc>
        <w:tc>
          <w:tcPr>
            <w:tcW w:w="1060" w:type="dxa"/>
            <w:vAlign w:val="bottom"/>
            <w:gridSpan w:val="2"/>
          </w:tcPr>
          <w:p>
            <w:pPr>
              <w:jc w:val="right"/>
              <w:ind w:right="640"/>
              <w:spacing w:after="0" w:line="138" w:lineRule="exact"/>
              <w:rPr>
                <w:sz w:val="20"/>
                <w:szCs w:val="20"/>
                <w:color w:val="auto"/>
              </w:rPr>
            </w:pPr>
            <w:r>
              <w:rPr>
                <w:rFonts w:ascii="Arial" w:cs="Arial" w:eastAsia="Arial" w:hAnsi="Arial"/>
                <w:sz w:val="14"/>
                <w:szCs w:val="14"/>
                <w:color w:val="auto"/>
                <w:w w:val="87"/>
              </w:rPr>
              <w:t>1st Qtr.</w:t>
            </w:r>
          </w:p>
        </w:tc>
        <w:tc>
          <w:tcPr>
            <w:tcW w:w="64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w w:val="89"/>
              </w:rPr>
              <w:t>4th Qtr.</w:t>
            </w:r>
          </w:p>
        </w:tc>
      </w:tr>
      <w:tr>
        <w:trPr>
          <w:trHeight w:val="167"/>
        </w:trPr>
        <w:tc>
          <w:tcPr>
            <w:tcW w:w="67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2014</w:t>
            </w:r>
          </w:p>
        </w:tc>
        <w:tc>
          <w:tcPr>
            <w:tcW w:w="5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6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37,391</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3,081</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24,141</w:t>
            </w: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7"/>
        </w:trPr>
        <w:tc>
          <w:tcPr>
            <w:tcW w:w="6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65,578</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Additional funding sources for the Company included branch-related time deposits over $250,000, deposits associated with the Company’s Cayman Islands office, and brokered deposits. Time deposits over $250,000, excluding brokered certificates of deposit, averaged $371 million in the first quarter of 2014, compared with $329 million and $320 million in the first and fourth quarters of 2013, respectively. Cayman Islands office deposits averaged $380 million, $858 million and $414 million for the three-month periods ended March 31, 2014, March 31, 2013 and December 31, 2013, respectively. Average brokered time deposits totaled $9 million during the recently completed quarter, compared with $431 million and $67 million in the first and fourth quarters of 2013, respectively. The Company also had brokered NOW and brokered money-market deposit accounts, which in the aggregate averaged approximately $1.0 billion in each of the first quarters of 2014 and 2013 and $1.1 billion in the fourth quarter of 2013. The levels of brokered NOW and brokered money-market deposit accounts reflect the demand for such deposits, largely resulting from the desire of brokerage firms to earn reasonable yields while ensuring that customer deposits are fully insured. The level of Cayman Islands office deposits and brokered deposits are also reflective of customer demand. Additional amounts of such deposits may be added in the future depending on market conditions, including demand by customers and other investors for those deposits, and the cost of funds available from alternative sources at the time.</w:t>
      </w:r>
    </w:p>
    <w:p>
      <w:pPr>
        <w:spacing w:after="0" w:line="173"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The Company also uses borrowings from banks, securities dealers, various Federal Home Loan Banks, the Federal Reserve Bank of New York and others as sources of funding. Short-term borrowings averaged $264 million in the recent quarter, compared with $637 million in the first quarter of 2013 and $287 million in the final 2013 quarter. Included in short-term borrowings were unsecured federal funds borrowings, which generally mature on the next business day, that averaged $183 million in 2014’s initial quarter, compared with $500 million and $195 million in the first and fourth quarters of 2013, respectively. Overnight federal funds borrowings represented the largest component of short-term borrowings and totaled $180 million and $248 million at March 31, 2014 and 2013, respectively, and $169 million at December 31, 2013.</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Long-term borrowings averaged $5.9 billion in the first quarter of 2014, compared with $4.7 billion in the corresponding 2013 quarter and $5.0 billion in the final 2013 quarter. Included in average long-term borrowings were subordinated capital notes of $1.6 billion in each of the two most recent quarters and $1.8 billion in the first quarter of 2013. On April 15, 2013, $250 million of 4.875% subordinated notes of the Company matured and were redeemed. Junior subordinated debentures associated with trust preferred securities that were included in average long-term borrowings were $1.1 billion in the initial 2014 quarter and $1.2 billion in each of the quarters ended March 31, 2013 and December 31, 2013. On February 27, 2014, M&amp;T redeemed $350 million of 8.50% Enhanced Trust Preferred Securities and the associated junior subordinated debentures. Additional information regarding junior subordinated debentures is provided in note 5 of Notes to Financial Statements. Also included in long-term borrowings were agreements to repurchase securities, which averaged $1.4 billion during each of the first quarters of 2014 and 2013 and the fourth quarter of 2013. The agreements have various repurchase dates through 2017, however, the contractual maturities of the underlying securities extend beyond such repurchase dates. During the first quarter of 2013, M&amp;T Bank, initiated a Bank Note Program whereby M&amp;T Bank may offer up to $5 billion of unsecured senior and subordinated notes. During March 2013, three-year floating rate senior notes due March 2016 were issued for $300 million and five-year 1.45% fixed rate senior notes due March 2018 were issued for $500 million. In January 2014, M&amp;T Bank issued $1.5 billion of senior notes as follows: $250 million of three-year floating rate notes due January 2017; $500 million of three-year 1.25% fixed rate notes due January 2017; and $750 million of five-year 2.30% fixed rate notes due January 2019. The proceeds of the issuances have been or will be predominantly utilized to purchase additional liquid investment securities that will meet the regulatory liquidity requirements. The Company has utilized interest rate swap agreements to modify the repricing characteristics of certain components of long-term debt. As of March 31, 2014, interest rate swap agreements were used to hedge approximately $1.4 billion of fixed rate long-term borrowings. Further information on interest rate swap agreements is provided in note 10 of Notes to Financial Statements.</w:t>
      </w:r>
    </w:p>
    <w:p>
      <w:pPr>
        <w:spacing w:after="0" w:line="175"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3.32% in the first quarter of 2014 and 3.49% in the year-earlier quarter. The yield on earning assets during the recent quarter was 3.87%, down 26 basis points from 4.13% in the first quarter of 2013, while the rate paid on interest-bearing liabilities decreased 9 basis points to</w:t>
      </w:r>
    </w:p>
    <w:p>
      <w:pPr>
        <w:spacing w:after="0" w:line="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.55% from .64%. In 2013’s fourth quarter, the net interest spread was 3.36%, the yield on earning assets was 3.92% and the rate paid on interest-bearing liabilities was .56%. The narrowing of the net interest spread in the recent quarter as compared with the first quarter of 2013 reflects the higher level of deposits held at the Federal Reserve Bank of New York, higher average balances of investment securities and the ongoing impact of the low interest rate environment on loan yields.</w:t>
      </w:r>
    </w:p>
    <w:p>
      <w:pPr>
        <w:spacing w:after="0" w:line="19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$26.9 billion in the first quarter of 2014, compared with $25.4 billion and $26.7 billion in the first and fourth quarters of 2013, respectively. The increases in average net interest-free funds in the two most recent quarters as compared with the first quarter of 2013 were predominantly the result of higher average balances of noninterest-bearing deposits. Such deposits averaged $24.1 billion in the recent quarter, compared with $23.0 billion and $24.2 billion in the first and fourth quarters of 2013, respectively. Goodwill and core deposit and other intangible assets averaged $3.6 billion during each of the quarters ended March 31, 2014, March 31, 2013 and December 31, 2013. The cash surrender value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bank owned life insurance averaged $1.7 billion in the first three months of 2014, compared with $1.6 billion in each of the three-month periods ended March 31, 2013 and December 31, 2013. Increases in the cash surrender value of bank owned life insurance and benefits received are not included in interest income, but rather are recorded in “other revenues from operations.” The contribution of net interest-free funds to net interest margin was .20% in the two most recent quarters, compared with .22% in the first quarter of 2013.</w:t>
      </w:r>
    </w:p>
    <w:p>
      <w:pPr>
        <w:spacing w:after="0" w:line="18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Reflecting the changes to the net interest spread and the contribution of interest-free funds as described herein, the Company’s net interest margin was 3.52% in the first quarter of 2014, compared with 3.71% in the year-earlier quarter and 3.56% in the fourth quarter of 2013.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particular, the relatively low interest rate environment continues to exert downward pressure on yields on loans, investment securities and other earning assets.</w:t>
      </w:r>
    </w:p>
    <w:p>
      <w:pPr>
        <w:spacing w:after="0" w:line="173"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$1.4 billion at each of March 31, 2014 and December 31, 2013, and $900 million at March 31, 2013.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79"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The amounts of hedge ineffectiveness recognized during the quarters ended March 31, 2014 and 2013 and the quarter ended December 31, 2013 were not material to the Company’s results of operations. The estimated aggregate fair value of interest rate swap agreements designated as fair value hedges represented gains of approximately $95 million at March 31, 2014, $134 million at March 31, 2013 and $103 million at December 31, 2013.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March 31, 2014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$89 million of collateral with the Company.</w:t>
      </w:r>
    </w:p>
    <w:p>
      <w:pPr>
        <w:spacing w:after="0" w:line="183"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weighted-average rates to be received and paid under interest rate swap agreements currently in effect were 4.42% and 1.19%, respectively, at March 31, 2014. The average notional amounts of interest rate swap agreements entered into for interest rate risk management purposes, the related effect on net interest income and margin, and the weighted-average rates paid or received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those swap agreements are presented in the accompanying table. Additional information about the Company’s use of interest rate swap agreements and other derivatives is included in note 10 of Notes to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color w:val="auto"/>
                <w:w w:val="91"/>
              </w:rPr>
              <w:t>Three months ended 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2014</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2"/>
                <w:szCs w:val="12"/>
                <w:color w:val="auto"/>
              </w:rPr>
            </w:pPr>
          </w:p>
        </w:tc>
        <w:tc>
          <w:tcPr>
            <w:tcW w:w="480" w:type="dxa"/>
            <w:vAlign w:val="bottom"/>
          </w:tcPr>
          <w:p>
            <w:pPr>
              <w:spacing w:after="0" w:line="142" w:lineRule="exact"/>
              <w:rPr>
                <w:sz w:val="20"/>
                <w:szCs w:val="20"/>
                <w:color w:val="auto"/>
              </w:rPr>
            </w:pPr>
            <w:r>
              <w:rPr>
                <w:rFonts w:ascii="Arial" w:cs="Arial" w:eastAsia="Arial" w:hAnsi="Arial"/>
                <w:sz w:val="14"/>
                <w:szCs w:val="14"/>
                <w:color w:val="auto"/>
                <w:w w:val="90"/>
              </w:rPr>
              <w:t>Rate (a)</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9"/>
              </w:rPr>
              <w:t>Amount</w:t>
            </w:r>
          </w:p>
        </w:tc>
        <w:tc>
          <w:tcPr>
            <w:tcW w:w="480" w:type="dxa"/>
            <w:vAlign w:val="bottom"/>
          </w:tcPr>
          <w:p>
            <w:pPr>
              <w:ind w:left="20"/>
              <w:spacing w:after="0" w:line="142" w:lineRule="exact"/>
              <w:rPr>
                <w:sz w:val="20"/>
                <w:szCs w:val="20"/>
                <w:color w:val="auto"/>
              </w:rPr>
            </w:pPr>
            <w:r>
              <w:rPr>
                <w:rFonts w:ascii="Arial" w:cs="Arial" w:eastAsia="Arial" w:hAnsi="Arial"/>
                <w:sz w:val="14"/>
                <w:szCs w:val="14"/>
                <w:color w:val="auto"/>
                <w:w w:val="86"/>
              </w:rPr>
              <w:t>Rate (a)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2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(11,292)</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(9,514)</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360"/>
              <w:spacing w:after="0"/>
              <w:rPr>
                <w:sz w:val="20"/>
                <w:szCs w:val="20"/>
                <w:color w:val="auto"/>
              </w:rPr>
            </w:pPr>
            <w:r>
              <w:rPr>
                <w:rFonts w:ascii="Arial" w:cs="Arial" w:eastAsia="Arial" w:hAnsi="Arial"/>
                <w:sz w:val="18"/>
                <w:szCs w:val="18"/>
                <w:color w:val="auto"/>
              </w:rPr>
              <w:t>Net interest income/margin</w:t>
            </w:r>
          </w:p>
        </w:tc>
        <w:tc>
          <w:tcPr>
            <w:tcW w:w="2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25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11,292</w:t>
            </w:r>
          </w:p>
        </w:tc>
        <w:tc>
          <w:tcPr>
            <w:tcW w:w="1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9,514</w:t>
            </w:r>
          </w:p>
        </w:tc>
        <w:tc>
          <w:tcPr>
            <w:tcW w:w="40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900,000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8"/>
                <w:szCs w:val="18"/>
                <w:color w:val="auto"/>
              </w:rPr>
              <w:t>4.42%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Rate paid (b)</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1"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to provide liquidity and enhance regulatory capital ratios. Such notes generally qualify under Federal Reserve Board’s current risk-based capital guidelines for inclusion in the Company’s capital. However, pursuant to the Dodd-Frank Act, junior subordinated debentures associated with trust preferred securities will be phased-out of the definition of Tier 1 capital. Effective January 1, 2015, 75% of such junior subordinated debentures will be excluded from the Company’s Tier 1 capital, and beginning January 1, 2016, 100% will be excluded. The amounts excluded from Tier 1 capital will be includable in total capital.</w:t>
      </w:r>
    </w:p>
    <w:p>
      <w:pPr>
        <w:spacing w:after="0" w:line="178"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were $180 million at March 31, 2014, $248 million at March 31, 2013 and $169 million at December 31, 2013. In general, those borrowings were unsecured and matured on the next business day. In addition to satisfying customer demand, Cayman Islands office deposits and brokered certificates of deposit may be used by the Company as an alternative to short-term borrowings. Cayman Islands office deposits totaled $248 million, $266 million and $323 million at March 31, 2014, March 31, 2013 and December 31, 2013, respectively. Outstanding brokered time deposits at March 31, 2014, March 31, 2013 and December 31, 2013 were $5 million, $422 million and $26 million, respectively. At March 31, 2014, the weighted-average remaining term to maturity of brokered time deposits was 3 months. The Company also had brokered NOW and brokered money-market deposit accounts which aggregated $974 million at March 31, 2014, compared with $942 million at March 31, 2013 and $1.0 billion at December 31, 2013.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6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 million at each of March 31, 2014 and 2013, and $25 million at December 31, 2013. The total amount of VRDBs outstanding backed by M&amp;T Bank letters of credit was $1.7 billion at each of March 31, 2014 and December 31, 2013, compared with $2.1 billion at March 31, 2013. M&amp;T Bank also serves as remarketing agent for most of those bonds.</w:t>
      </w:r>
    </w:p>
    <w:p>
      <w:pPr>
        <w:spacing w:after="0" w:line="189"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58" w:lineRule="exact"/>
        <w:rPr>
          <w:sz w:val="20"/>
          <w:szCs w:val="20"/>
          <w:color w:val="auto"/>
        </w:rPr>
      </w:pPr>
    </w:p>
    <w:p>
      <w:pPr>
        <w:ind w:right="280" w:firstLine="913"/>
        <w:spacing w:after="0" w:line="291"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March 31, 2014 approximately $958 million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M&amp;T also maintains a $30 million line of credit with an unaffiliated commercial bank, on which there were no borrowings outstanding at March 31, 2014 or at December 31, 2013.</w:t>
      </w:r>
    </w:p>
    <w:p>
      <w:pPr>
        <w:spacing w:after="0" w:line="16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proposed rules requiring a banking company to maintain a minimum amount of liquid assets to withstand a 30-day standardized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supervisory liquidity stress scenario. The proposed effective date is January 1, 2015, subject to a two year phase-in period. The Company has taken steps as noted herein to enhance its liquidity and will take further action, as necessary, to comply with the final regulations when they take effect.</w:t>
      </w:r>
    </w:p>
    <w:p>
      <w:pPr>
        <w:spacing w:after="0" w:line="147"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69"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accompanying table as of March 31, 2014 and December 31, 2013 displays the estimated impact on net interest income from non-trading financial instruments in the base scenario described above resulting from parallel changes in interest rates across repricing categories during the first modeling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940" w:type="dxa"/>
            <w:vAlign w:val="bottom"/>
            <w:gridSpan w:val="5"/>
          </w:tcPr>
          <w:p>
            <w:pPr>
              <w:jc w:val="right"/>
              <w:ind w:right="66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76"/>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320" w:type="dxa"/>
            <w:vAlign w:val="bottom"/>
          </w:tcPr>
          <w:p>
            <w:pPr>
              <w:spacing w:after="0"/>
              <w:rPr>
                <w:sz w:val="15"/>
                <w:szCs w:val="15"/>
                <w:color w:val="auto"/>
              </w:rPr>
            </w:pPr>
          </w:p>
        </w:tc>
        <w:tc>
          <w:tcPr>
            <w:tcW w:w="2940" w:type="dxa"/>
            <w:vAlign w:val="bottom"/>
            <w:gridSpan w:val="5"/>
          </w:tcPr>
          <w:p>
            <w:pPr>
              <w:jc w:val="right"/>
              <w:ind w:right="62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7"/>
        </w:trPr>
        <w:tc>
          <w:tcPr>
            <w:tcW w:w="1420" w:type="dxa"/>
            <w:vAlign w:val="bottom"/>
            <w:vMerge w:val="continue"/>
          </w:tcPr>
          <w:p>
            <w:pPr>
              <w:spacing w:after="0"/>
              <w:rPr>
                <w:sz w:val="14"/>
                <w:szCs w:val="14"/>
                <w:color w:val="auto"/>
              </w:rPr>
            </w:pPr>
          </w:p>
        </w:tc>
        <w:tc>
          <w:tcPr>
            <w:tcW w:w="5660" w:type="dxa"/>
            <w:vAlign w:val="bottom"/>
            <w:gridSpan w:val="3"/>
          </w:tcPr>
          <w:p>
            <w:pPr>
              <w:jc w:val="right"/>
              <w:ind w:right="420"/>
              <w:spacing w:after="0"/>
              <w:rPr>
                <w:sz w:val="20"/>
                <w:szCs w:val="20"/>
                <w:color w:val="auto"/>
              </w:rPr>
            </w:pPr>
            <w:r>
              <w:rPr>
                <w:rFonts w:ascii="Arial" w:cs="Arial" w:eastAsia="Arial" w:hAnsi="Arial"/>
                <w:sz w:val="14"/>
                <w:szCs w:val="14"/>
                <w:color w:val="auto"/>
              </w:rPr>
              <w:t>March 31, 2014</w:t>
            </w:r>
          </w:p>
        </w:tc>
        <w:tc>
          <w:tcPr>
            <w:tcW w:w="1600" w:type="dxa"/>
            <w:vAlign w:val="bottom"/>
            <w:gridSpan w:val="3"/>
          </w:tcPr>
          <w:p>
            <w:pPr>
              <w:jc w:val="right"/>
              <w:ind w:right="120"/>
              <w:spacing w:after="0"/>
              <w:rPr>
                <w:sz w:val="20"/>
                <w:szCs w:val="20"/>
                <w:color w:val="auto"/>
              </w:rPr>
            </w:pPr>
            <w:r>
              <w:rPr>
                <w:rFonts w:ascii="Arial" w:cs="Arial" w:eastAsia="Arial" w:hAnsi="Arial"/>
                <w:sz w:val="14"/>
                <w:szCs w:val="14"/>
                <w:color w:val="auto"/>
              </w:rPr>
              <w:t>December 31, 2013</w:t>
            </w:r>
          </w:p>
        </w:tc>
        <w:tc>
          <w:tcPr>
            <w:tcW w:w="0" w:type="dxa"/>
            <w:vAlign w:val="bottom"/>
          </w:tcPr>
          <w:p>
            <w:pPr>
              <w:spacing w:after="0"/>
              <w:rPr>
                <w:sz w:val="1"/>
                <w:szCs w:val="1"/>
                <w:color w:val="auto"/>
              </w:rPr>
            </w:pPr>
          </w:p>
        </w:tc>
      </w:tr>
      <w:tr>
        <w:trPr>
          <w:trHeight w:val="210"/>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+200 basis points</w:t>
            </w:r>
          </w:p>
        </w:tc>
        <w:tc>
          <w:tcPr>
            <w:tcW w:w="4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230,372</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240" w:type="dxa"/>
            <w:vAlign w:val="bottom"/>
            <w:gridSpan w:val="2"/>
          </w:tcPr>
          <w:p>
            <w:pPr>
              <w:jc w:val="right"/>
              <w:spacing w:after="0"/>
              <w:rPr>
                <w:sz w:val="20"/>
                <w:szCs w:val="20"/>
                <w:color w:val="auto"/>
              </w:rPr>
            </w:pPr>
            <w:r>
              <w:rPr>
                <w:rFonts w:ascii="Arial" w:cs="Arial" w:eastAsia="Arial" w:hAnsi="Arial"/>
                <w:sz w:val="18"/>
                <w:szCs w:val="18"/>
                <w:color w:val="auto"/>
              </w:rPr>
              <w:t>125,018</w:t>
            </w:r>
          </w:p>
        </w:tc>
        <w:tc>
          <w:tcPr>
            <w:tcW w:w="42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134,188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(69,727)</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(72,755)</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660" w:type="dxa"/>
            <w:vAlign w:val="bottom"/>
            <w:gridSpan w:val="3"/>
          </w:tcPr>
          <w:p>
            <w:pPr>
              <w:jc w:val="right"/>
              <w:ind w:right="360"/>
              <w:spacing w:after="0"/>
              <w:rPr>
                <w:sz w:val="20"/>
                <w:szCs w:val="20"/>
                <w:color w:val="auto"/>
              </w:rPr>
            </w:pPr>
            <w:r>
              <w:rPr>
                <w:rFonts w:ascii="Arial" w:cs="Arial" w:eastAsia="Arial" w:hAnsi="Arial"/>
                <w:sz w:val="18"/>
                <w:szCs w:val="18"/>
                <w:color w:val="auto"/>
              </w:rPr>
              <w:t>(95,139)</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(100,543)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w:t>
      </w:r>
    </w:p>
    <w:p>
      <w:pPr>
        <w:spacing w:after="0" w:line="182"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can affect the values assigned to the Company’s investment securities. Information about the fair valuation of such securities is presented herein under the heading “Capital” and in notes 3 and 12 of Notes to Financial Statements.</w:t>
      </w:r>
    </w:p>
    <w:p>
      <w:pPr>
        <w:spacing w:after="0" w:line="18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Company engages in trading activities to meet the financial needs of customers and to fund the Company’s obligations under certain deferred compensation plans. Financial instruments utilized in trading activities consist predominantly of interest rate contracts, such as swap agreements, and forward and futures contracts related to foreign currencies.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79"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The notional amounts of interest rate contracts entered into for trading purposes aggregated $17.1 billion at March 31, 2014, compared with $15.2 billion at March 31, 2013 and $17.4 billion at December 31, 2013. The notional amounts of foreign currency and other option and futures contracts entered into for trading purposes totaled $1.0 billion at March 31, 2014, compared with $921 million and $1.4 billion at March 31 and December 31, 2013, respectively. Although the notional amounts of these trading contracts are not recorded in the consolidated balance sheet, the fair values of all financial instruments used for trading activities are recorded in the consolidated balance sheet. The fair values of all trading account assets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- 63 -</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liabilities were $315 million and $216 million, respectively, at March 31, 2014, $420 million and $328 million, respectively, at March 31, 2013, and $376 million and $250 million, respectively, at December 31, 2013. Included in trading account assets were assets related to deferred compensation plans totaling $26 million at each of March 31, 2014 and 2013, compared with $29 million at December 31, 2013. Changes in the fair value of such assets are recorded as “trading account and foreign exchange gains” in the consolidated statement of income. Included in “other liabilities” in the consolidated balance sheet at each of March 31, 2014 and 2013 were $30 million of liabilities related to deferred compensation plans, compared with $31 million at December 31, 2013. Changes in the balances of such liabilities due to the valuation of allocated investment options to which the liabilities are indexed are recorded in “other costs of operations” in the consolidated statement of income.</w:t>
      </w:r>
    </w:p>
    <w:p>
      <w:pPr>
        <w:spacing w:after="0" w:line="17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about the Company’s use of derivative financial instruments in its trading activities is included in note 10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first quarter of 2014 was $32 million, compared with $38 million in the first quarter of 2013 and $42 million in the final 2013 quarter. Net loan charge-offs were also $32 million in the recent quarter, compared with $37 million and $42 million during the three-month periods ended March 31, 2013 and December 31, 2013, respectively. Net charge-offs as an annualized percentage of average loans and leases were .20% in the initial 2014 quarter, compared with .23% and .26% in the first and fourth quarters of 2013, respectively. A summary of net charge-offs by loan type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First Quarter</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w w:val="91"/>
              </w:rPr>
              <w:t>First Quarter</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Fourth Quarter</w:t>
            </w:r>
          </w:p>
        </w:tc>
      </w:tr>
      <w:tr>
        <w:trPr>
          <w:trHeight w:val="167"/>
        </w:trPr>
        <w:tc>
          <w:tcPr>
            <w:tcW w:w="5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Real estate: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8,773</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7,836</w:t>
            </w:r>
          </w:p>
        </w:tc>
      </w:tr>
      <w:tr>
        <w:trPr>
          <w:trHeight w:val="216"/>
        </w:trPr>
        <w:tc>
          <w:tcPr>
            <w:tcW w:w="59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5,822</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w:t>
            </w:r>
          </w:p>
        </w:tc>
        <w:tc>
          <w:tcPr>
            <w:tcW w:w="5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16,651</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17,461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10,217</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36,743</w:t>
            </w: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41,694</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Included in net charge-offs of commercial real estate loans were net recoveries of $1 million and $2 million in the first quarter of 2014 and the final 2013 quarter, respectively, of loans to residential homebuilders and developers, compared with net charge-offs of $2 million in the first quarter of 2013. Reflected in net charge-offs of residential real estate loans were net charge-offs of Alt-A first mortgage loans of $2 million in the recent quarter, compared with $4 million and $1 million in the quarters ended March 31, 2013 and December 31, 2013, respectively. Included in net charge-offs of consumer loans and leases were net charge-offs during the quarters ended March 31, 2014, March 31, 2013 and December 31, 2013, respectively, of: automobile loans of $4 million, $3 million and $3 million; recreational vehicle loans of $4 million at each respective date; and home equity loans and lines of credit, including Alt-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second lien loans, of $4 million, $6 million and net recoveries of $4 million. Reflected in net charge-offs of home equity loans and lines of credit in 2013’s fourth quarter were $9 million of recoveries of previously charged-off loans related to a portfolio of loans acquired in 2007. Alt-A loans represent loans secured by residential real estate that at origination typically included some form of limited borrower documentation requirements as compared with more traditional loans. Loans in the Company’s Alt-A portfolio were originated by the Company prior to 2008.</w:t>
      </w:r>
    </w:p>
    <w:p>
      <w:pPr>
        <w:spacing w:after="0" w:line="18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$3.7 billion, $5.3 billion and $4.0 billion at March 31, 2014, March 31, 2013 and December 31, 2013, respectively. The portion of the nonaccretable balance related to remaining principal losses as well as life-to-date losses charged against the nonaccretable balance as of March 31, 2014 and December 31, 2013 are presented in the accompanying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color w:val="auto"/>
                <w:w w:val="94"/>
              </w:rPr>
              <w:t>Nonaccretable balance - principal</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gridSpan w:val="4"/>
          </w:tcPr>
          <w:p>
            <w:pPr>
              <w:jc w:val="right"/>
              <w:ind w:right="920"/>
              <w:spacing w:after="0" w:line="142" w:lineRule="exact"/>
              <w:rPr>
                <w:sz w:val="20"/>
                <w:szCs w:val="20"/>
                <w:color w:val="auto"/>
              </w:rPr>
            </w:pPr>
            <w:r>
              <w:rPr>
                <w:rFonts w:ascii="Arial" w:cs="Arial" w:eastAsia="Arial" w:hAnsi="Arial"/>
                <w:sz w:val="14"/>
                <w:szCs w:val="14"/>
                <w:color w:val="auto"/>
              </w:rPr>
              <w:t>Remaining balance</w:t>
            </w:r>
          </w:p>
        </w:tc>
        <w:tc>
          <w:tcPr>
            <w:tcW w:w="1920" w:type="dxa"/>
            <w:vAlign w:val="bottom"/>
            <w:gridSpan w:val="3"/>
          </w:tcPr>
          <w:p>
            <w:pPr>
              <w:ind w:left="380"/>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23"/>
        </w:trPr>
        <w:tc>
          <w:tcPr>
            <w:tcW w:w="6040" w:type="dxa"/>
            <w:vAlign w:val="bottom"/>
          </w:tcPr>
          <w:p>
            <w:pPr>
              <w:spacing w:after="0"/>
              <w:rPr>
                <w:sz w:val="10"/>
                <w:szCs w:val="10"/>
                <w:color w:val="auto"/>
              </w:rPr>
            </w:pPr>
          </w:p>
        </w:tc>
        <w:tc>
          <w:tcPr>
            <w:tcW w:w="1160" w:type="dxa"/>
            <w:vAlign w:val="bottom"/>
            <w:tcBorders>
              <w:top w:val="single" w:sz="8" w:color="auto"/>
            </w:tcBorders>
            <w:gridSpan w:val="3"/>
          </w:tcPr>
          <w:p>
            <w:pPr>
              <w:ind w:left="40"/>
              <w:spacing w:after="0" w:line="123" w:lineRule="exact"/>
              <w:rPr>
                <w:sz w:val="20"/>
                <w:szCs w:val="20"/>
                <w:color w:val="auto"/>
              </w:rPr>
            </w:pPr>
            <w:r>
              <w:rPr>
                <w:rFonts w:ascii="Arial" w:cs="Arial" w:eastAsia="Arial" w:hAnsi="Arial"/>
                <w:sz w:val="14"/>
                <w:szCs w:val="14"/>
                <w:color w:val="auto"/>
              </w:rPr>
              <w:t>March 31,</w:t>
            </w: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December 31,</w:t>
            </w:r>
          </w:p>
        </w:tc>
        <w:tc>
          <w:tcPr>
            <w:tcW w:w="48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23" w:lineRule="exact"/>
              <w:rPr>
                <w:sz w:val="20"/>
                <w:szCs w:val="20"/>
                <w:color w:val="auto"/>
              </w:rPr>
            </w:pPr>
            <w:r>
              <w:rPr>
                <w:rFonts w:ascii="Arial" w:cs="Arial" w:eastAsia="Arial" w:hAnsi="Arial"/>
                <w:sz w:val="14"/>
                <w:szCs w:val="14"/>
                <w:color w:val="auto"/>
                <w:w w:val="96"/>
              </w:rPr>
              <w:t>March 31,</w:t>
            </w: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r>
      <w:tr>
        <w:trPr>
          <w:trHeight w:val="167"/>
        </w:trPr>
        <w:tc>
          <w:tcPr>
            <w:tcW w:w="6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2013</w:t>
            </w:r>
          </w:p>
        </w:tc>
        <w:tc>
          <w:tcPr>
            <w:tcW w:w="4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color w:val="auto"/>
              </w:rPr>
              <w:t>2014</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0" w:type="dxa"/>
            <w:vAlign w:val="bottom"/>
            <w:gridSpan w:val="4"/>
          </w:tcPr>
          <w:p>
            <w:pPr>
              <w:jc w:val="right"/>
              <w:ind w:right="980"/>
              <w:spacing w:after="0" w:line="142" w:lineRule="exact"/>
              <w:rPr>
                <w:sz w:val="20"/>
                <w:szCs w:val="20"/>
                <w:color w:val="auto"/>
              </w:rPr>
            </w:pPr>
            <w:r>
              <w:rPr>
                <w:rFonts w:ascii="Arial" w:cs="Arial" w:eastAsia="Arial" w:hAnsi="Arial"/>
                <w:sz w:val="14"/>
                <w:szCs w:val="14"/>
                <w:color w:val="auto"/>
              </w:rPr>
              <w:t>(in thousands)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29,332</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31,931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72,364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108,790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110,984</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279,356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277,222</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22,200</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23,201</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55,103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32,137</w:t>
            </w:r>
          </w:p>
        </w:tc>
        <w:tc>
          <w:tcPr>
            <w:tcW w:w="4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33,989</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75,901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74,039</w:t>
            </w: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192,459</w:t>
            </w:r>
          </w:p>
        </w:tc>
        <w:tc>
          <w:tcPr>
            <w:tcW w:w="4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200,105</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482,724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475,210</w:t>
            </w: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Nonaccrual loans totaled $891 million or 1.39% of total loans and leases outstanding at March 31, 2014, compared with $1.05 billion or 1.60% a year earlier and $874 million or 1.36% at December 31, 2013. The declines in nonaccrual loans at the two most recent quarter-ends as compared with March 31, 2013 were largely due to lower commercial loans and commercial real estate loans in nonaccrual status.</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Accruing loans past due 90 days or more (excluding acquired loans) were $307 million or .48% of total loans and leases at March 31, 2014, compared with $331 million or .50% at March 31, 2013 and $369 million or .58% at December 31, 2013. Those loans included loans guaranteed by government-related entities of $291 million, $312 million and $298 million at March 31, 2014, March 31, 2013 and December 31, 2013,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the insurance or guarantee by the applicable government-related entity remains in force. The outstanding principal balances of the repurchased loans that are guaranteed by government-related entities totaled $251 million, $284 million and $255 million at March 31, 2014, March 31, 2013 and December 31, 2013, respectively.</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$303 million at March 31, 2014, or less than 1% of total loans. Purchased impaired loans totaled $425 million and $331 million at March 31 and December 31, 2013, respectively. The decline in such loans from March 31, 2013 was predominantly the result of payments received from customers.</w:t>
      </w:r>
    </w:p>
    <w:p>
      <w:pPr>
        <w:spacing w:after="0" w:line="189"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Accruing loans past due 90 days or more are loans that could not be specifically identified as impaired as of the acquisition date, but were recorded at estimated fair value as of such date. Such loans totaled $121 million at March 31, 2014, compared with $157 million at March 31, 2013 and $130 million at December 31, 2013.</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93"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$224 million, $190 million and $206 million at March 31, 2014, March 31, 2013 and December 31, 2013, respectively.</w:t>
      </w:r>
    </w:p>
    <w:p>
      <w:pPr>
        <w:spacing w:after="0" w:line="18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Nonaccrual commercial loans and leases aggregated $138 million at March 31, 2014, $204 million at March 31, 2013 and $111 million at December 31, 2013. The decrease in commercial loans classified as nonaccrual at the two most recent quarter-ends as compared with March 31, 2013 reflects the charge-off during 2013 of $49 million associated with a relationship with a motor vehicle-related wholesaler that had been classified as nonaccrual. Commercial real estate loans classified as nonaccrual totaled $291 million at March 31, 2014, $393 million at March 31, 2013 and $305 million at December 31, 2013. The decrease in such loans from March 31, 2013 to the two most recent quarter-ends was largely attributable to lower nonaccrual loans to residential homebuilders and developers. Loans to residential homebuilders and developers in nonaccrual status aggregated $90 million and $167 million at March 31, 2014 and 2013, respectively, and $96 million at December 31, 2013. Information about the location of nonaccrual and charged-off loans to residential real estate builders and developers as of and for the three-month period ended March 31, 2014 is presented in the accompanying table.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40"/>
              <w:spacing w:after="0"/>
              <w:rPr>
                <w:sz w:val="20"/>
                <w:szCs w:val="20"/>
                <w:color w:val="auto"/>
              </w:rPr>
            </w:pPr>
            <w:r>
              <w:rPr>
                <w:rFonts w:ascii="Arial" w:cs="Arial" w:eastAsia="Arial" w:hAnsi="Arial"/>
                <w:sz w:val="14"/>
                <w:szCs w:val="14"/>
                <w:color w:val="auto"/>
                <w:w w:val="90"/>
              </w:rPr>
              <w:t>Quarter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7"/>
          </w:tcPr>
          <w:p>
            <w:pPr>
              <w:jc w:val="right"/>
              <w:ind w:right="1340"/>
              <w:spacing w:after="0"/>
              <w:rPr>
                <w:sz w:val="20"/>
                <w:szCs w:val="20"/>
                <w:color w:val="auto"/>
              </w:rPr>
            </w:pPr>
            <w:r>
              <w:rPr>
                <w:rFonts w:ascii="Arial" w:cs="Arial" w:eastAsia="Arial" w:hAnsi="Arial"/>
                <w:sz w:val="14"/>
                <w:szCs w:val="14"/>
                <w:color w:val="auto"/>
              </w:rPr>
              <w:t>March 31, 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color w:val="auto"/>
                <w:w w:val="94"/>
              </w:rPr>
              <w:t>March 31, 2014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color w:val="auto"/>
                <w:w w:val="93"/>
              </w:rPr>
              <w:t>Net charge-offs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860"/>
              <w:spacing w:after="0"/>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(recoveries)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Annualized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Percent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Outstanding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outstanding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outstanding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color w:val="auto"/>
                <w:w w:val="90"/>
              </w:rPr>
              <w:t>balances(a)</w:t>
            </w:r>
          </w:p>
        </w:tc>
        <w:tc>
          <w:tcPr>
            <w:tcW w:w="32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color w:val="auto"/>
                <w:w w:val="93"/>
              </w:rPr>
              <w:t>Balances</w:t>
            </w:r>
          </w:p>
        </w:tc>
        <w:tc>
          <w:tcPr>
            <w:tcW w:w="34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balances</w:t>
            </w:r>
          </w:p>
        </w:tc>
        <w:tc>
          <w:tcPr>
            <w:tcW w:w="10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color w:val="auto"/>
                <w:w w:val="93"/>
              </w:rPr>
              <w:t>Balances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color w:val="auto"/>
                <w:w w:val="94"/>
              </w:rPr>
              <w:t>(dollars 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443,503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Pennsylvania</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124,821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46,999</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495,472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36,978</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262,362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838</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1,326,158</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3"/>
              </w:rPr>
              <w:t>90,996</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(1,058)</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$28 million of loans not secured by real estate, of which approximately $1 million are in nonaccrual status.</w:t>
      </w:r>
    </w:p>
    <w:p>
      <w:pPr>
        <w:spacing w:after="0" w:line="225"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Residential real estate loans classified as nonaccrual were $338 million at March 31, 2014, compared with $341 million at March 31, 2013 and $334 million at December 31, 2013. Depressed real estate values and high levels of delinquencies have contributed to the higher than historical levels of residential real estate loans classified as nonaccrual. Included in residential real estate loans classified as nonaccrual were Alt-A loans of $79 million, $88 million and $81 million at March 31, 2014, March 31, 2013 and December 31, 2013, respectively. Residential real estate loans past due 90 days or more and accruing interest (excluding acquired loans) totaled $285 million at March 31, 2014, compared with $309 million a year earlier and $295 million at December 31, 2013. A substantial portion of such amounts related to guaranteed loans repurchased from government-related entities. Information about the location of nonaccrual and charged-off residential real estate loans as of and for the quarter ended March 31, 2014 is presented in the accompanying table.</w:t>
      </w:r>
    </w:p>
    <w:p>
      <w:pPr>
        <w:spacing w:after="0" w:line="167" w:lineRule="exact"/>
        <w:rPr>
          <w:sz w:val="20"/>
          <w:szCs w:val="20"/>
          <w:color w:val="auto"/>
        </w:rPr>
      </w:pPr>
    </w:p>
    <w:p>
      <w:pPr>
        <w:ind w:right="320" w:firstLine="913"/>
        <w:spacing w:after="0" w:line="255" w:lineRule="auto"/>
        <w:rPr>
          <w:sz w:val="20"/>
          <w:szCs w:val="20"/>
          <w:color w:val="auto"/>
        </w:rPr>
      </w:pPr>
      <w:r>
        <w:rPr>
          <w:rFonts w:ascii="Arial" w:cs="Arial" w:eastAsia="Arial" w:hAnsi="Arial"/>
          <w:sz w:val="18"/>
          <w:szCs w:val="18"/>
          <w:color w:val="auto"/>
        </w:rPr>
        <w:t>Nonaccrual consumer loans aggregated $124 million at March 31, 2014, compared with $114 million at March 31, 2013 and $125 million at December 31, 2013. Included in nonaccrual consumer loans at March 31, 2014, March 31, 2013 and December 31, 2013 were: automobile loans of $16 million, $20 million and $21 million, respectively; recreational vehicle loans of $11 million, $11 million and $12 million, respectively; and outstanding balances of home equity loans and lines of credit, including junior lien Alt-A loans, of $83 million, $72 million and $79 million, respectively. Information about the location of nonaccrual and charged-off home equity loans and lines of credit as of and for the quarter-ended March 31, 2014 is presented in the accompanying table.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SELECTED RESIDENTIAL REAL ESTATE-RELATED LOAN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Quarter ended</w:t>
            </w:r>
          </w:p>
        </w:tc>
      </w:tr>
      <w:tr>
        <w:trPr>
          <w:trHeight w:val="167"/>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100"/>
              <w:spacing w:after="0"/>
              <w:rPr>
                <w:sz w:val="20"/>
                <w:szCs w:val="20"/>
                <w:color w:val="auto"/>
              </w:rPr>
            </w:pPr>
            <w:r>
              <w:rPr>
                <w:rFonts w:ascii="Arial" w:cs="Arial" w:eastAsia="Arial" w:hAnsi="Arial"/>
                <w:sz w:val="14"/>
                <w:szCs w:val="14"/>
                <w:color w:val="auto"/>
              </w:rPr>
              <w:t>March 31, 2014</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color w:val="auto"/>
                <w:w w:val="94"/>
              </w:rPr>
              <w:t>March 31, 2014</w:t>
            </w:r>
          </w:p>
        </w:tc>
      </w:tr>
      <w:tr>
        <w:trPr>
          <w:trHeight w:val="123"/>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tcPr>
          <w:p>
            <w:pPr>
              <w:jc w:val="center"/>
              <w:ind w:right="12"/>
              <w:spacing w:after="0" w:line="123" w:lineRule="exact"/>
              <w:rPr>
                <w:sz w:val="20"/>
                <w:szCs w:val="20"/>
                <w:color w:val="auto"/>
              </w:rPr>
            </w:pPr>
            <w:r>
              <w:rPr>
                <w:rFonts w:ascii="Arial" w:cs="Arial" w:eastAsia="Arial" w:hAnsi="Arial"/>
                <w:sz w:val="14"/>
                <w:szCs w:val="14"/>
                <w:color w:val="auto"/>
                <w:w w:val="91"/>
              </w:rPr>
              <w:t>Net charge-offs</w:t>
            </w:r>
          </w:p>
        </w:tc>
        <w:tc>
          <w:tcPr>
            <w:tcW w:w="200" w:type="dxa"/>
            <w:vAlign w:val="bottom"/>
          </w:tcPr>
          <w:p>
            <w:pPr>
              <w:spacing w:after="0"/>
              <w:rPr>
                <w:sz w:val="10"/>
                <w:szCs w:val="10"/>
                <w:color w:val="auto"/>
              </w:rPr>
            </w:pPr>
          </w:p>
        </w:tc>
      </w:tr>
      <w:tr>
        <w:trPr>
          <w:trHeight w:val="167"/>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right"/>
              <w:ind w:right="1020"/>
              <w:spacing w:after="0"/>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4"/>
                <w:szCs w:val="14"/>
                <w:color w:val="auto"/>
              </w:rPr>
            </w:pPr>
          </w:p>
        </w:tc>
        <w:tc>
          <w:tcPr>
            <w:tcW w:w="1700" w:type="dxa"/>
            <w:vAlign w:val="bottom"/>
            <w:gridSpan w:val="4"/>
          </w:tcPr>
          <w:p>
            <w:pPr>
              <w:jc w:val="center"/>
              <w:ind w:right="300"/>
              <w:spacing w:after="0"/>
              <w:rPr>
                <w:sz w:val="20"/>
                <w:szCs w:val="20"/>
                <w:color w:val="auto"/>
              </w:rPr>
            </w:pPr>
            <w:r>
              <w:rPr>
                <w:rFonts w:ascii="Arial" w:cs="Arial" w:eastAsia="Arial" w:hAnsi="Arial"/>
                <w:sz w:val="14"/>
                <w:szCs w:val="14"/>
                <w:color w:val="auto"/>
                <w:w w:val="91"/>
              </w:rPr>
              <w:t>(recoveries)</w:t>
            </w:r>
          </w:p>
        </w:tc>
      </w:tr>
      <w:tr>
        <w:trPr>
          <w:trHeight w:val="123"/>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Annualized</w:t>
            </w:r>
          </w:p>
        </w:tc>
        <w:tc>
          <w:tcPr>
            <w:tcW w:w="200" w:type="dxa"/>
            <w:vAlign w:val="bottom"/>
          </w:tcPr>
          <w:p>
            <w:pPr>
              <w:spacing w:after="0"/>
              <w:rPr>
                <w:sz w:val="10"/>
                <w:szCs w:val="10"/>
                <w:color w:val="auto"/>
              </w:rPr>
            </w:pP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Percent of</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Outstanding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3"/>
              </w:rPr>
              <w:t>outstanding</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outstanding</w:t>
            </w:r>
          </w:p>
        </w:tc>
      </w:tr>
      <w:tr>
        <w:trPr>
          <w:trHeight w:val="167"/>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balances</w:t>
            </w:r>
          </w:p>
        </w:tc>
        <w:tc>
          <w:tcPr>
            <w:tcW w:w="28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color w:val="auto"/>
              </w:rPr>
              <w:t>Balances</w:t>
            </w: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balances</w:t>
            </w:r>
          </w:p>
        </w:tc>
        <w:tc>
          <w:tcPr>
            <w:tcW w:w="920" w:type="dxa"/>
            <w:vAlign w:val="bottom"/>
            <w:gridSpan w:val="3"/>
          </w:tcPr>
          <w:p>
            <w:pPr>
              <w:spacing w:after="0"/>
              <w:rPr>
                <w:sz w:val="20"/>
                <w:szCs w:val="20"/>
                <w:color w:val="auto"/>
              </w:rPr>
            </w:pPr>
            <w:r>
              <w:rPr>
                <w:rFonts w:ascii="Arial" w:cs="Arial" w:eastAsia="Arial" w:hAnsi="Arial"/>
                <w:sz w:val="14"/>
                <w:szCs w:val="14"/>
                <w:color w:val="auto"/>
              </w:rPr>
              <w:t>Balances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balances</w:t>
            </w: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3,570,229</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68,086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2,348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1,169,821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20,503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2,128,664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35,097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771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1,500,201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133,300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8,368,915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256,986</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3,893</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28.42</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2,692</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61,681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17,574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310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3,006</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11,085</w:t>
            </w:r>
          </w:p>
        </w:tc>
        <w:tc>
          <w:tcPr>
            <w:tcW w:w="38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649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3.60</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46,855</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371,798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78,520</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1,751</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145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42.67%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229</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1,153</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390</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11.87%</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23,111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2,470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3,063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93,573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698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173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193,690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6,315</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307</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1,378,340</w:t>
            </w: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12,142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357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839,582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5,988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875,837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3,782</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3,125,769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23,393</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464</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18,457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5,216</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3.59%</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75,721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1,408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126,091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8,567</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0.76%</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New York</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954,658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29,507</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1,334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Pennsylvania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391,970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3,497</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Mid-Atlantic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1,187,804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7,887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779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2,603,955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43,127</w:t>
            </w:r>
          </w:p>
        </w:tc>
        <w:tc>
          <w:tcPr>
            <w:tcW w:w="3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2,611</w:t>
            </w:r>
          </w:p>
        </w:tc>
        <w:tc>
          <w:tcPr>
            <w:tcW w:w="3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Real estate and other foreclosed assets totaled $59 million and $96 million at March 31, 2014 and March 31, 2013, respectively, and $67 million at December 31, 2013. The decline in real estate and other foreclosed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since March 31, 2013 reflects sales of such assets. No significant gains or losses occurred as a result of those sales. At March 31, 2014, the Company’s holding of residential real estate-related properties comprised 79% of foreclosed assets.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279" w:lineRule="exact"/>
        <w:rPr>
          <w:sz w:val="20"/>
          <w:szCs w:val="20"/>
          <w:color w:val="auto"/>
        </w:rPr>
      </w:pPr>
    </w:p>
    <w:p>
      <w:pPr>
        <w:ind w:right="4100"/>
        <w:spacing w:after="0" w:line="277"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color w:val="auto"/>
              </w:rPr>
              <w:t>2014</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60" w:type="dxa"/>
            <w:vAlign w:val="bottom"/>
            <w:gridSpan w:val="4"/>
          </w:tcPr>
          <w:p>
            <w:pPr>
              <w:ind w:left="640"/>
              <w:spacing w:after="0"/>
              <w:rPr>
                <w:sz w:val="20"/>
                <w:szCs w:val="20"/>
                <w:color w:val="auto"/>
              </w:rPr>
            </w:pPr>
            <w:r>
              <w:rPr>
                <w:rFonts w:ascii="Arial" w:cs="Arial" w:eastAsia="Arial" w:hAnsi="Arial"/>
                <w:sz w:val="14"/>
                <w:szCs w:val="14"/>
                <w:color w:val="auto"/>
              </w:rPr>
              <w:t>2013 Quarters</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First Quarter</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Fourth</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Third</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color w:val="auto"/>
              </w:rPr>
              <w:t>Second</w:t>
            </w:r>
          </w:p>
        </w:tc>
        <w:tc>
          <w:tcPr>
            <w:tcW w:w="98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890,893</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874,156</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6"/>
              </w:rPr>
              <w:t>915,871</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964,906</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1,052,794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59,407</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66,875</w:t>
            </w:r>
          </w:p>
        </w:tc>
        <w:tc>
          <w:tcPr>
            <w:tcW w:w="38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89,203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82,088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9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950,300</w:t>
            </w: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941,031</w:t>
            </w: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1,005,074</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1,046,994</w:t>
            </w:r>
          </w:p>
        </w:tc>
        <w:tc>
          <w:tcPr>
            <w:tcW w:w="4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1,148,474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307,017</w:t>
            </w:r>
          </w:p>
        </w:tc>
        <w:tc>
          <w:tcPr>
            <w:tcW w:w="3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368,510</w:t>
            </w:r>
          </w:p>
        </w:tc>
        <w:tc>
          <w:tcPr>
            <w:tcW w:w="38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339,792</w:t>
            </w:r>
          </w:p>
        </w:tc>
        <w:tc>
          <w:tcPr>
            <w:tcW w:w="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340,467</w:t>
            </w:r>
          </w:p>
        </w:tc>
        <w:tc>
          <w:tcPr>
            <w:tcW w:w="4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Nonaccrual loans</w:t>
            </w:r>
          </w:p>
        </w:tc>
        <w:tc>
          <w:tcPr>
            <w:tcW w:w="11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75,959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63,647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68,519</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69,508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Accruing loans past due 90 days or more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291,418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297,918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320,732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311,579</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257,889</w:t>
            </w:r>
          </w:p>
        </w:tc>
        <w:tc>
          <w:tcPr>
            <w:tcW w:w="3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257,092</w:t>
            </w:r>
          </w:p>
        </w:tc>
        <w:tc>
          <w:tcPr>
            <w:tcW w:w="380" w:type="dxa"/>
            <w:vAlign w:val="bottom"/>
          </w:tcPr>
          <w:p>
            <w:pPr>
              <w:spacing w:after="0"/>
              <w:rPr>
                <w:sz w:val="18"/>
                <w:szCs w:val="18"/>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6"/>
              </w:rPr>
              <w:t>259,301</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263,351</w:t>
            </w:r>
          </w:p>
        </w:tc>
        <w:tc>
          <w:tcPr>
            <w:tcW w:w="4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more(b)</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120,996</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130,162</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153,585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157,068</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customer balance</w:t>
            </w:r>
          </w:p>
        </w:tc>
        <w:tc>
          <w:tcPr>
            <w:tcW w:w="11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534,331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579,975</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648,118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725,196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Carrying amount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303,388</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330,792</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357,337</w:t>
            </w:r>
          </w:p>
        </w:tc>
        <w:tc>
          <w:tcPr>
            <w:tcW w:w="780" w:type="dxa"/>
            <w:vAlign w:val="bottom"/>
          </w:tcPr>
          <w:p>
            <w:pPr>
              <w:jc w:val="right"/>
              <w:spacing w:after="0"/>
              <w:rPr>
                <w:sz w:val="20"/>
                <w:szCs w:val="20"/>
                <w:color w:val="auto"/>
              </w:rPr>
            </w:pPr>
            <w:r>
              <w:rPr>
                <w:rFonts w:ascii="Arial" w:cs="Arial" w:eastAsia="Arial" w:hAnsi="Arial"/>
                <w:sz w:val="18"/>
                <w:szCs w:val="18"/>
                <w:color w:val="auto"/>
              </w:rPr>
              <w:t>394,697</w:t>
            </w:r>
          </w:p>
        </w:tc>
        <w:tc>
          <w:tcPr>
            <w:tcW w:w="4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425,232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w w:val="96"/>
              </w:rPr>
              <w:t>Nonperforming assets to total net loans and leases and real estate and other</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foreclosed assets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1.47%</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Accruing loans past due 90 days or more (a) to total loans and leases, net of</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unearned discount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r>
      <w:tr>
        <w:trPr>
          <w:trHeight w:val="20"/>
        </w:trPr>
        <w:tc>
          <w:tcPr>
            <w:tcW w:w="5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Predominantly residential mortgage loans.</w:t>
      </w:r>
    </w:p>
    <w:p>
      <w:pPr>
        <w:spacing w:after="0" w:line="23" w:lineRule="exact"/>
        <w:rPr>
          <w:rFonts w:ascii="Arial" w:cs="Arial" w:eastAsia="Arial" w:hAnsi="Arial"/>
          <w:sz w:val="18"/>
          <w:szCs w:val="18"/>
          <w:i w:val="1"/>
          <w:iCs w:val="1"/>
          <w:color w:val="auto"/>
        </w:rPr>
      </w:pPr>
    </w:p>
    <w:p>
      <w:pPr>
        <w:ind w:left="460" w:right="620" w:hanging="452"/>
        <w:spacing w:after="0" w:line="250" w:lineRule="auto"/>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Acquired loans that were recorded at fair value at acquisition date. This category does not include purchased impaired loans that are presented separately.</w:t>
      </w:r>
    </w:p>
    <w:p>
      <w:pPr>
        <w:ind w:left="460" w:hanging="452"/>
        <w:spacing w:after="0"/>
        <w:tabs>
          <w:tab w:leader="none" w:pos="4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211"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78" w:lineRule="exact"/>
        <w:rPr>
          <w:sz w:val="20"/>
          <w:szCs w:val="20"/>
          <w:color w:val="auto"/>
        </w:rPr>
      </w:pPr>
    </w:p>
    <w:p>
      <w:pPr>
        <w:ind w:right="240" w:firstLine="913"/>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March 31, 2014 in light of: (i) residential real estate values and the level of delinquencies of loans secured by residential real estate; (ii) economic conditions in the markets served by the Company;</w:t>
      </w:r>
    </w:p>
    <w:p>
      <w:pPr>
        <w:ind w:firstLine="8"/>
        <w:spacing w:after="0" w:line="252"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While there has been general improvement in economic conditions, concerns continue to exist about the strength and sustainability of such improvements; the slowly strengthening housing market; the troubled state of financial and credit markets; Federal Reserve positioning of monetary policy; high levels of unemployment; and continued stagnant population growth in the upstate New York and central Pennsylvania regions (approximately 60% of the Company’s loans are to customers in New York State and Pennsylvania).</w:t>
      </w:r>
    </w:p>
    <w:p>
      <w:pPr>
        <w:spacing w:after="0" w:line="194"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were $1.8 billion at each of March 31, 2014 and December 31, 2013, compared with $2.3 billion at March 31, 2013. Loan officers with the support of loan review personnel in different geographic locations are responsible to continuously review and reassign loan grades to pass and criticized loans 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Company’s loss identification and estimation techniques make reference to loan performance and house price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March 31, 2014, approximately 55% of the Company’s home equity portfolio consisted of first lien loans and lines of credit. Of the remaining junior lien loans in the portfolio, approximately 75% (or approximately 34%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each of March 31, 2014 and December 31, 2013, the balance of junior lien loans and lines that were in nonaccrual status solely as a result of first lien loan performance was $30 million, compared with $24 million at March 31, 2013.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In determining the amount of such charge-offs, if the Company does not know the amount of the remaining first lien mortgage loan (typically because the Company does not own or service the first lien loan), the Company assumes that the first lien mortgage loan has had no principal amortization since the origination of the junior lien loan. Similarly, data used in estimating incurred losses for purposes of determining the allowance for credit losses also assumes no reductions in outstanding principal of first lien loans since the origination of the junior lien loan. Home equity line of credit terms vary but such lines are generally originated with an open draw period of ten years followed by an amortization period of up to twenty years. At March 31, 2014, approximately 95% of all outstanding balances of home equity lines of credit related to lines that were still in the draw period, the weighted-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- 71 -</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average remaining draw periods were approximately five years, and approximately 23% were making contractually allowed payments that do not include repayment of principal.</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3"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45%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81"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Management believes that the allowance for credit losses at March 31, 2014 appropriately reflected credit losses inherent in the portfolio as of that date. The allowance for credit losses was $917 million, or 1.43% of total loans and leases at each of March 31, 2014 and December 31, 2013, compared with $927 million or 1.41% at March 31, 2013. The ratio of the allowance to total loans and leases at each respective date reflects the impact of loans obtained in acquisition transactions subsequent to 2008 that have been recorded at estimated fair value based on estimated future cash flows expected to be received on those loans. Those cash flows reflect the impact of expected defaults on customer repayment performance. As noted earlier, GAAP prohibits any carry-over of an allowance for credit losses for acquired loans recorded at fair value.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for credit losses to nonaccrual loans was 103% at March 31, 2014, compared with 88% a year earlier and 105% at December 31, 2013.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Other income totaled $420 million in the first quarter of 2014, compared with $433 million in the year-earlier quarter and $446 million in the fourth quarter of 2013. The recent quarter total reflected a slowdown in customer activity across most income categories. The largest factor contributing to the decline from the first quarter of 2013 was a $13 million decrease in mortgage banking revenues. As compared with the fourth quarter of 2013, the leading factors for the decline in other income were lower levels of trading account and foreign exchange gains, service charges on deposit accounts and trust income.</w:t>
      </w:r>
    </w:p>
    <w:p>
      <w:pPr>
        <w:spacing w:after="0" w:line="15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Mortgage banking revenues totaled $80 million in the recent quarter, compared with $93 million in the year-earlier quarter, and $82 million in the fourth quarter of 2013.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$65 million in the initial 2014 quarter, compared with $76 million in the year-earlier quarter and $60 million in the final 2013 quarter. The decline in residential mortgage banking revenues from the first quarter of 2013 to the recent quarter resulted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from lower volumes of loans originated for sale. The lower volumes in the recent quarter reflected decreased refinancing activity by consumers in light of a higher interest rate environment. Residential real estate loans originated for sale reflect the Company’s involvement in the U.S. government’s Home Affordable Refinance Program (“HARP 2.0”), which allows homeowners to refinance their Fannie Mae or Freddie Mac mortgages when the value of their home has fallen such that they have little or no equity. The HARP 2.0 program was set to expire December 31, 2013, but was extended and will now be available to borrowers through December 31, 2015. As compared with the final quarter of 2013, the recent quarter’s increase in residential mortgage banking revenues reflects higher servicing revenues largely associated with the Company’s sub-servicing activities.</w:t>
      </w:r>
    </w:p>
    <w:p>
      <w:pPr>
        <w:spacing w:after="0" w:line="178"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New commitments to originate residential real estate loans to be sold were approximately $728 million in the recent quarter, compared with $1.9 billion in the initial quarter of 2013 and $807 million in the fourth quarter of 2013. Included in those commitments to originate residential real estate loans to be sold were HARP 2.0 commitments of $95 million, $480 million and $100 million during the quarters ended March 31, 2014, March 31, 2013 and December 31, 2013, respectively.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$15 million in each of the first quarter of 2014 and the fourth quarter of 2013, compared with gains of $50 million in the first quarter of 2013.</w:t>
      </w:r>
    </w:p>
    <w:p>
      <w:pPr>
        <w:spacing w:after="0" w:line="16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Company is contractually obligated to repurchase previously sold loans that do not ultimately meet investor sale criteria related to underwriting procedures or loan documentation. When required to do so, the Company may reimburse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the three-month period ended March 31, 2014 were reduced by less than $1 million, compared with similar reductions of $5 million and $4 million during the three-month periods ended March 31 and December 31, 2013, respectively, related to the actual or anticipated settlement of repurchase obligations.</w:t>
      </w:r>
    </w:p>
    <w:p>
      <w:pPr>
        <w:spacing w:after="0" w:line="17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Loans held for sale that are secured by residential real estate totaled $292 million and $1.1 billion at March 31, 2014 and 2013, respectively, and $401 million at December 31, 2013. Commitments to sell residential real estate loans and commitments to originate residential real estate loans for sale at pre-determined rates were $655 million and $522 million, respectively, at March 31, 2014, compared with $2.0 billion and $1.3 billion, respectively, at March 31, 2013, and $725 million and $470 million, respectively, at December 31, 2013. Net unrealized gains on residential real estate loans held for sale, commitments to sell loans, and commitments to originate loans for sale were $17 million and $57 million at March 31, 2014 and March 31, 2013, respectively, and $20 million at December 31, 2013. Changes in such net unrealized gains and losses are recorded in mortgage banking revenues and resulted in net decreases in revenue of $2 million in each of the two most recent quarters, compared with a net decrease in revenue of $26 million in the first quarter of 2013.</w:t>
      </w:r>
    </w:p>
    <w:p>
      <w:pPr>
        <w:spacing w:after="0" w:line="19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Revenues from servicing residential real estate loans for others were $50 million in the recent quarter, compared with $25 million and $46 million during the quarters ended March 31, 2013 and December 31, 2013, respectively. Residential real estate loans serviced for others totaled $73.0 billion at March 31, 2014, $35.8 billion at March 31, 2013 and $72.4 billion at December 31, 2013, including certain small-balance commercial real estate loans of approximately $3.1 billion at March 31, 2014, $3.7 billion at March 31, 2013</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and $3.2 billion at December 31, 2013. Reflected in residential real estate loans serviced for others were loans sub-serviced for others of $47.4 billion, $11.9 billion and $46.6 billion at March 31, 2014, March 31, 2013 and December 31, 2013, respectively. Included in residential real estate loans sub-serviced for others were loans subserviced for affiliates of Bayview Lending Group LLC (“BLG”) of $46.5 billion, $10.9 billion and $45.6 billion at March 31,</w:t>
      </w:r>
    </w:p>
    <w:p>
      <w:pPr>
        <w:jc w:val="both"/>
        <w:ind w:right="160"/>
        <w:spacing w:after="0" w:line="302" w:lineRule="auto"/>
        <w:rPr>
          <w:sz w:val="20"/>
          <w:szCs w:val="20"/>
          <w:color w:val="auto"/>
        </w:rPr>
      </w:pPr>
      <w:r>
        <w:rPr>
          <w:rFonts w:ascii="Arial" w:cs="Arial" w:eastAsia="Arial" w:hAnsi="Arial"/>
          <w:sz w:val="16"/>
          <w:szCs w:val="16"/>
          <w:color w:val="auto"/>
        </w:rPr>
        <w:t>2014, March 31, 2013 and December 31, 2013, respectively. During the third quarter of 2013, the Company added approximately $35 billion of residential real estate loans to its portfolio of loans sub-serviced for affiliates of BLG. Revenues earned for sub-servicing loans were $26 million and $3 million for the three-month periods ended March 31, 2014 and 2013, respectively, and $22 million for the three-month period ended December 31, 2013.</w:t>
      </w:r>
    </w:p>
    <w:p>
      <w:pPr>
        <w:spacing w:after="0" w:line="15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Capitalized servicing rights consist largely of servicing associated with loans sold by the Company. Capitalized residential mortgage loan servicing assets, net of any applicable valuation allowance for possible impairment, totaled $123 million at March 31, 2014, compared with $111 million at March 31, 2013 and $129 million at December 31, 2013.</w:t>
      </w:r>
    </w:p>
    <w:p>
      <w:pPr>
        <w:spacing w:after="0" w:line="18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Commercial mortgage banking revenues were $15 million in the recent quarter, compared with $17 million and $22 million in the first and fourth quarters of 2013, respectively. Included in such amounts were revenues from loan origination and sales activities of $7 million and $10 million in the quarters ended March 31, 2014 and 2013, respectively, and $13 million in the final quarter of 2013. Commercial real estate loans originated for sale to other investors totaled approximately $136 million in the first quarter of 2014, compared with $408 million and $510 million in the first and fourth quarters of 2013, respectively. Loan servicing revenues were $8 million in the recent quarter, compared with $7 million and $9 million in the initial quarter of 2013 and the fourth quarter of 2013, respectively. Capitalized commercial mortgage servicing assets aggregated $71 million at March 31, 2014, $63 million at March 31, 2013 and $72 million at December 31, 2013. Commercial real estate loans serviced for other investors totaled $11.2 billion, $10.9 billion and $11.4 billion at March 31, 2014, March 31, 2013 and December 31, 2013, respectively, and included $2.3 billion, $2.1 billion and $2.3 billion, respectively, of loan balances for which investors had recourse to the Company if such balances are ultimately uncollectible. Commitments to sell commercial real estate loans and commitments to originate commercial real estate loans for sale were $190 million and $152 million, respectively, at March 31, 2014, $185 million and $106 million, respectively, at March 31, 2013 and $130 million and $62 million, respectively, at December 31, 2013. Commercial real estate loans held for sale at March 31, 2014, March 31, 2013 and December 31, 2013 were $38 million, $79 million, and $68 million, respectively.</w:t>
      </w:r>
    </w:p>
    <w:p>
      <w:pPr>
        <w:spacing w:after="0" w:line="169"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Service charges on deposit accounts totaled $104 million in the first quarter of 2014, compared with $111 million in the year-earlier quarter and $110 million in the final 2013 quarter. The recent quarter’s decline as compared with the earlier periods was largely due to lower consumer service fees. 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Revenues associated with the ICS business were approximately $57 million, $59 million and $60 million during the quarters ended March 31, 2014, March 31, 2013 and December 31, 2013,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- 75 -</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attributable to WAS were approximately $53 million for each of the three-month periods ended March 31, 2014 and December 31, 2013, respectively, and $51 million for the three-month period ended March 31, 2013. In total, trust income aggregated $121 million in the recent quarter, compared with $122 million and $126 million in the first and fourth quarters of 2013. Total trust assets, which include assets under management and assets under administration, aggregated $270.5 billion at March 31, 2014, compared with $263.5 billion and $266.1 billion at March 31, 2013 and December 31, 2013, respectively. Trust assets under management were $65.9 billion, $63.3 billion and $65.1 billion at March 31, 2014, March 31, 2013 and December 31, 2013, respectively. The Company’s proprietary mutual funds had assets of $13.0 billion, $13.3 billion and $12.7 billion at March 31, 2014, March 31, 2013 and December 31, 2013, respectively.</w:t>
      </w:r>
    </w:p>
    <w:p>
      <w:pPr>
        <w:spacing w:after="0" w:line="189" w:lineRule="exact"/>
        <w:rPr>
          <w:sz w:val="20"/>
          <w:szCs w:val="20"/>
          <w:color w:val="auto"/>
        </w:rPr>
      </w:pPr>
    </w:p>
    <w:p>
      <w:pPr>
        <w:ind w:right="240" w:firstLine="913"/>
        <w:spacing w:after="0" w:line="272" w:lineRule="auto"/>
        <w:rPr>
          <w:sz w:val="20"/>
          <w:szCs w:val="20"/>
          <w:color w:val="auto"/>
        </w:rPr>
      </w:pPr>
      <w:r>
        <w:rPr>
          <w:rFonts w:ascii="Arial" w:cs="Arial" w:eastAsia="Arial" w:hAnsi="Arial"/>
          <w:sz w:val="17"/>
          <w:szCs w:val="17"/>
          <w:color w:val="auto"/>
        </w:rPr>
        <w:t>Brokerage services income, which includes revenues from the sale of mutual funds and annuities and securities brokerage fees, totaled $17 million in the recent quarter, compared with $16 million in each of the first and fourth quarters of 2013. Gains from trading account and foreign exchange activity totaled $6 million during the recent quarter, compared with $9 million and $14 million in the first and fourth quarters of 2013, respectively. The decline in such gains in the recent quarter as compared with the immediately preceding quarter was largely due to lower new volumes of interest rate swap agreement transactions executed on behalf of commercial customers.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During the first quarter of 2013, the Company recognized net losses on investment securities of $10 million. Those net losses were the result of the other-than-temporary impairment of certain of the Company’s privately issued mortgage-backed securities. There were no net gains or losses on investment securities during the two most recent quarters. Additional information about other-than-temporary impairment losses is included herein under the heading “Capital.”</w:t>
      </w:r>
    </w:p>
    <w:p>
      <w:pPr>
        <w:spacing w:after="0" w:line="18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M&amp;T’s share of the operating losses of BLG in each of the recent quarter and the first quarter of 2013 was $4 million, compared with $6 million in the fourth quarter of 2013. The operating losses of BLG in the respective quarters reflect provisions for losses associated with securitized loans and other loans held by BLG and loan servicing and other administrative costs. Under GAAP, losses on securitized loans are required to be recognized by BLG despite the fact that the losses will ultimately be borne by the underlying third party bond-holders. As these loan losses are realized through later foreclosure and still later sale of real estate collateral, the underlying bonds will ultimately be charged-down leading to BLG’s future recognition of debt extinguishment gains. The timing of such debt extinguishment is difficult to predict and given ongoing loan loss provisioning, it is not possible to project when BLG will return to profitability. As a result of credit and liquidity disruptions, BLG ceased its originations of small-balance commercial real estate loans in 2008. However, as a result of past securitization activities, BLG is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activities. To this point, BLG’s affiliates have largely reinvested their earnings to generate additional servicing and asset management activities, further contributing to the value of those affiliates. Information about the Company’s relationship with BLG and its affiliates is included in note 15 of Notes to Financial Statements.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Other revenues from operations totaled $96 million in each of the first quarters of 2014 and 2013, compared with $104 million in the fourth quarter of 2013. The recent quarter’s decline as compared with the final 2013 quarter was largely attributable to lower fees for providing loan syndication, underwriting and advisory services. Included in other revenues from operations were the following significant components. Letter of credit and other credit-related fees totaled $32 million in each of the recent quarter and the first quarter of 2013, compared with $34 million in the fourth quarter of 2013. Tax-exempt income from bank owned life insurance, which includes increases in the cash surrender value of life insurance policies and benefits received, totaled $12 million during the two most recent quarters, compared with $13 million in the initial quarter of 2013. Revenues from merchant discount and credit card fees were $22 million in each of the two most recent quarters, compared with $20 million in the quarter ended March 31, 2013. Insurance-related sales commissions and other revenues totaled $12 million in the initial quarter of 2014, compared with $13 million in the year-earlier quarter and $10 million in the fourth quarter of 2013.</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expense totaled $702 million in the first quarter of 2014, compared with $636 million in the year-earlier quarter and $743 million in the final quarter of 2013. Included in those amounts are expenses considered by management to be “nonoperating” in nature consisting of amortization of core deposit and other intangible assets of $10 million in each of the two most recent quarters and $13 million in the first quarter of 2013, and merger-related expenses of $5 million in the three-month period ended March 31, 2013. There were no merger-related expenses in the initial 2014 quarter or in the fourth quarter of 2013. The merger-related expenses in the initial 2013 quarter were incurred in connection with the pending Hudson City acquisition. Those expenses consisted largely of professional services and other temporary help fees associated with the planned conversion of systems and/or integration of operations; initial marketing and promotion expenses designed to introduce M&amp;T Bank to its new customers; travel costs; and printing, postage, supplies and other costs. Exclusive of these nonoperating expenses, noninterest operating expenses totaled $692 million in the recent quarter, compared with $618 million and $733 million in the first and fourth quarters of 2013, respectively. The most significant factors for the higher level of expenses in the first three months of 2014 as compared with the year-earlier period were higher costs for professional services and salaries associated with BSA/AML compliance, capital planning and stress testing, risk management and other operational initiatives. The decline in noninterest operating expenses from the fourth quarter of 2013 was largely due to the impact of a $40 million litigation-related accrual in 2013 and lower professional services costs in 2014 that were partially offset by seasonally higher stock-based compensation and employee benefits expenses. Table 2 provides a reconciliation of other expense to noninterest operating expense.</w:t>
      </w:r>
    </w:p>
    <w:p>
      <w:pPr>
        <w:spacing w:after="0" w:line="175"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Salaries and employee benefits expense totaled $371 million in 2014’s initial quarter, compared with $357 million in the year-earlier quarter and $336 million in the fourth quarter of 2013. As compared with the year-earlier quarter, the recent quarter reflects higher costs associated with BSA/AML compliance, capital planning and stress testing, risk management and other operational initiatives. Contributing to the rise in such expenses in the recent quarter as compared with the fourth quarter of 2013 were seasonally higher stock-based compensation, unemployment insurance, payroll-related taxes and the Company’s contributions for retirement savings plan benefits related to annual incentive compensation payments. The Company, in accordance with GAAP, has accelerated the recognition of compensation costs for stock-based awards granted to retirement-eligible employees and employees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who will become retirement-eligible prior to full vesting of the award. As a result, stock-based compensation expense during the first quarters of 2014 and 2013 included $16 million and $17 million, respectively, that would have been recognized over the normal vesting period if not for the accelerated expense recognition provisions of GAAP. That acceleration had no effect on the value of stock-based compensation awarded to employees. Salaries and employee benefits expense included stock-based compensation of $30 million and $28 million in the quarters ended March 31, 2014 and March 31, 2013, respectively, and $8 million in the quarter ended December 31, 2013. The number of full-time equivalent employees was 15,316 at March 31, 2014, compared with 14,576 and 15,368 at March 31, 2013 and December 31, 2013, respectively.</w:t>
      </w:r>
    </w:p>
    <w:p>
      <w:pPr>
        <w:spacing w:after="0" w:line="193"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Excluding the nonoperating expenses described earlier from each quarter, nonpersonnel operating expenses were $321 million and $262 million in the quarters ended March 31, 2014 and March 31, 2013, respectively, and $396 million in the fourth quarter of 2013. The higher level of such expenses in the recent quarter as compared with the year-earlier quarter was due largely to the higher professional services noted associated with BSA/AML compliance, capital planning and stress testing, risk management and other operational initiatives. As compared with the fourth quarter of 2013, the decrease in nonpersonnel operating expenses in the initial 2014 quarter was largely due to the impact of the $40 million litigation-related accrual in the fourth quarter of 2013 and lower professional services expenses. The efficiency ratio measures the relationship of noninterest operating expenses to revenues. The Company’s efficiency ratio was 63.9% in the first quarter of 2014, compared with 55.9% in the year-earlier period and 65.5% in the fourth quarter of 2013.</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provision for income taxes for the first quarter of 2014 was $113 million, compared with $141 million in the year-earlier quarter and $106 million in the fourth quarter of 2013. The effective tax rates were 33.1%, 34.0% and 32.4% for the quarters ended March 31, 2014, March 31, 2013 and December 31, 2013,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w:t>
      </w:r>
    </w:p>
    <w:p>
      <w:pPr>
        <w:spacing w:after="0" w:line="188"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Shareholders’ equity was $11.9 billion at March 31, 2014, representing 13.43% of total assets, compared with $10.4 billion or 12.59% at March 31, 2013 and $11.3 billion or 13.28% at December 31, 2013.</w:t>
      </w:r>
    </w:p>
    <w:p>
      <w:pPr>
        <w:spacing w:after="0" w:line="17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Included in shareholders’ equity was preferred stock with financial statement carrying values of $1.2 billion at March 31, 2014, $875 million at March 31, 2013 and $882 million at December 31, 2013, respectively. On February 11, 2014, M&amp;T issued 350,000 shares of Series E Perpetual Fixed-to-Floating Rate Non-Cumulative Preferred Stock, par value $1.00 per share and liquidation preference of $1,000 per share. Dividends, if declared, will be paid semi-annually at a rate of 6.45% through February 14, 2024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thereafter will be paid quarterly at a rate of the three-month London Interbank Offered Rate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 Further information concerning M&amp;T preferred stock can be found in note 6 on Notes to Financial Statements.</w:t>
      </w:r>
    </w:p>
    <w:p>
      <w:pPr>
        <w:spacing w:after="0" w:line="18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Common shareholders’ equity aggregated $10.6 billion, or $81.05 per share, at March 31, 2014, compared with $9.5 billion, or $73.99 per share, at March 31, 2013 and $10.4 billion, or $79.81 per share, at December 31, 2013. Tangible equity per common share, which excludes goodwill and core deposit and other intangible assets and applicable deferred tax balances, was $53.92 at March 31, 2014, $46.11 at March 31, 2013 and $52.45 at December 31, 2013. The Company’s ratio of tangible common equity to tangible assets was 8.34% at March 31, 2014, compared with 7.51% a year earlier and 8.39% at December 31, 2013. Reconciliations of total common shareholders’ equity and tangible common equity and total assets and tangible assets as of each of those respective dates are presented in table 2.</w:t>
      </w:r>
    </w:p>
    <w:p>
      <w:pPr>
        <w:spacing w:after="0" w:line="193"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gains on investment securities, net of applicable tax effect, were $72 million, or $.55 per common share, at March 31, 2014, compared with net unrealized gains of $47 million, or $.36 per common share, at March 31, 2013 and $34 million, or $.26 per common share, at December 31, 2013. Information about unrealized gains and losses as of March 31, 2014 and December 31, 2013 is included in note 3 of Notes to Financial Statements.</w:t>
      </w:r>
    </w:p>
    <w:p>
      <w:pPr>
        <w:spacing w:after="0" w:line="178"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Reflected in net unrealized gains at March 31, 2014 were pre-tax effect unrealized losses of $26 million on available-for-sale investment securities with an amortized cost of $1.9 billion and pre-tax effect unrealized gains of $175 million on securities with an amortized cost of $4.1 billion. The pre-tax effect unrealized losses reflect $18 million of losses on trust preferred securities issued by financial institutions having an amortized cost of $123 million and an estimated fair value of $105 million (generally considered Level 2 valuations). Further information concerning the Company’s valuations of available-for-sale investment securities is provided in note 12 of Notes to Financial Statements.</w:t>
      </w:r>
    </w:p>
    <w:p>
      <w:pPr>
        <w:spacing w:after="0" w:line="17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Company assesses impairment losses on privately issued mortgage-backed securities in the held-to-maturity portfolio by performing internal modeling to estimate bond-specific cash flows that reflect the placement of the bond in the overall securitization structure and the remaining subordination levels. As a result, the Company did not recognize any other-than-temporary impairment charge related to mortgage-backed securities in the held-to-maturity portfolio during the initial quarter of 2014. In total, at March 31, 2014 and December 31, 2013, the Company had in its held-to-maturity portfolio privately issued mortgage-backed securities with an amortized cost basis of $216 million and $220 million, respectively, and a fair value of $164 million and $159 million, respectively. At March 31, 2014, 90% of the mortgage-backed securities were in the most senior tranche of the securitization structure with 33% being independently rated as investment grade. The mortgage-backed securities had a weighted-average credit enhancement of 20% at March 31, 2014, calculated by dividing the remaining unpaid principal balance of bonds subordinate to the bonds owned by the Company plus any overcollateralization remaining in the securitization structure by the remaining unpaid principal balance of all bonds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structure. All mortgage-backed securities in the held-to-maturity portfolio had a current payment status as of March 31, 2014.</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During the first quarter of 2013, the Company recognized $10 million (pre-tax) of other-than-temporary impairment losses related to privately issued mortgage-backed securities held in the available-for-sale portfolio.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18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As of March 31, 2014, based on a review of each of the remaining securities in the investment securities portfolio, the Company concluded that the declines in the values of any securities containing an unrealized loss were temporary and that any additional other-than-temporary impairment charges were not appropriate. It is possible that the Company may be required to sell certain of its collateralized debt obligations backed by trust preferred securities held in the available-for-sale portfolio to comply with the provisions of the Volcker Rule. However, the amortized cost and fair value of those collateralized debt obligations were $33 million and $45 million, respectively, at March 31, 2014 and the Company did not expect that it would realize any material losses if it ultimately was required to sell such securities. As of that date, the Company did not intend to sell nor is it anticipated that it would be required to sell any of its other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the Notes to Financial Statements.</w:t>
      </w:r>
    </w:p>
    <w:p>
      <w:pPr>
        <w:spacing w:after="0" w:line="185" w:lineRule="exact"/>
        <w:rPr>
          <w:sz w:val="20"/>
          <w:szCs w:val="20"/>
          <w:color w:val="auto"/>
        </w:rPr>
      </w:pPr>
    </w:p>
    <w:p>
      <w:pPr>
        <w:jc w:val="both"/>
        <w:ind w:right="740" w:firstLine="913"/>
        <w:spacing w:after="0" w:line="264" w:lineRule="auto"/>
        <w:rPr>
          <w:sz w:val="20"/>
          <w:szCs w:val="20"/>
          <w:color w:val="auto"/>
        </w:rPr>
      </w:pPr>
      <w:r>
        <w:rPr>
          <w:rFonts w:ascii="Arial" w:cs="Arial" w:eastAsia="Arial" w:hAnsi="Arial"/>
          <w:sz w:val="18"/>
          <w:szCs w:val="18"/>
          <w:color w:val="auto"/>
        </w:rPr>
        <w:t>Adjustments to reflect the funded status of defined benefit pension and other postretirement plans, net of applicable tax effect, reduced accumulated other comprehensive income by $97 million, or $.74 per common share, at March 31, 2014, $98 million, or $.75 per common share, at December 31, 2013, and $272 million, or $2.11 per common share, at March 31, 2013.</w:t>
      </w:r>
    </w:p>
    <w:p>
      <w:pPr>
        <w:spacing w:after="0" w:line="18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Cash dividends declared on M&amp;T’s common stock during the quarters ended March 31, 2014 and December 31, 2013 totaled $92 million, compared with $91 million in the quarter ended March 31, 2013, and represented a quarterly dividend payment of $.70 per common share in each of those three quarters.</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Cash dividends declared on preferred stock are detailed below. There were no cash dividends declared in the first quarter of 2014 on the Series E Preferred Stock issued in February 2014.</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color w:val="auto"/>
              </w:rPr>
              <w:t>First Quarter</w:t>
            </w:r>
          </w:p>
        </w:tc>
        <w:tc>
          <w:tcPr>
            <w:tcW w:w="1340" w:type="dxa"/>
            <w:vAlign w:val="bottom"/>
            <w:gridSpan w:val="2"/>
          </w:tcPr>
          <w:p>
            <w:pPr>
              <w:jc w:val="right"/>
              <w:ind w:right="600"/>
              <w:spacing w:after="0"/>
              <w:rPr>
                <w:sz w:val="20"/>
                <w:szCs w:val="20"/>
                <w:color w:val="auto"/>
              </w:rPr>
            </w:pPr>
            <w:r>
              <w:rPr>
                <w:rFonts w:ascii="Arial" w:cs="Arial" w:eastAsia="Arial" w:hAnsi="Arial"/>
                <w:sz w:val="14"/>
                <w:szCs w:val="14"/>
                <w:color w:val="auto"/>
                <w:w w:val="91"/>
              </w:rPr>
              <w:t>First Quarter</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Fourth Quarter</w:t>
            </w:r>
          </w:p>
        </w:tc>
        <w:tc>
          <w:tcPr>
            <w:tcW w:w="0" w:type="dxa"/>
            <w:vAlign w:val="bottom"/>
          </w:tcPr>
          <w:p>
            <w:pPr>
              <w:spacing w:after="0"/>
              <w:rPr>
                <w:sz w:val="1"/>
                <w:szCs w:val="1"/>
                <w:color w:val="auto"/>
              </w:rPr>
            </w:pPr>
          </w:p>
        </w:tc>
      </w:tr>
      <w:tr>
        <w:trPr>
          <w:trHeight w:val="167"/>
        </w:trPr>
        <w:tc>
          <w:tcPr>
            <w:tcW w:w="2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2014</w:t>
            </w: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color w:val="auto"/>
              </w:rPr>
              <w:t>2013</w:t>
            </w: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2"/>
              </w:rPr>
              <w:t>(in thousands)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3440" w:type="dxa"/>
            <w:vAlign w:val="bottom"/>
            <w:gridSpan w:val="2"/>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3,666</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Series C</w:t>
            </w:r>
          </w:p>
        </w:tc>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2,414</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1,894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8,594</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8,594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w:t>
            </w:r>
          </w:p>
        </w:tc>
        <w:tc>
          <w:tcPr>
            <w:tcW w:w="0" w:type="dxa"/>
            <w:vAlign w:val="bottom"/>
          </w:tcPr>
          <w:p>
            <w:pPr>
              <w:spacing w:after="0"/>
              <w:rPr>
                <w:sz w:val="1"/>
                <w:szCs w:val="1"/>
                <w:color w:val="auto"/>
              </w:rPr>
            </w:pPr>
          </w:p>
        </w:tc>
      </w:tr>
      <w:tr>
        <w:trPr>
          <w:trHeight w:val="223"/>
        </w:trPr>
        <w:tc>
          <w:tcPr>
            <w:tcW w:w="2660" w:type="dxa"/>
            <w:vAlign w:val="bottom"/>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5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6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3280" w:type="dxa"/>
            <w:vAlign w:val="bottom"/>
            <w:vMerge w:val="restart"/>
          </w:tcPr>
          <w:p>
            <w:pPr>
              <w:jc w:val="right"/>
              <w:ind w:right="870"/>
              <w:spacing w:after="0"/>
              <w:rPr>
                <w:sz w:val="20"/>
                <w:szCs w:val="20"/>
                <w:color w:val="auto"/>
              </w:rPr>
            </w:pPr>
            <w:r>
              <w:rPr>
                <w:rFonts w:ascii="Arial" w:cs="Arial" w:eastAsia="Arial" w:hAnsi="Arial"/>
                <w:sz w:val="18"/>
                <w:szCs w:val="18"/>
                <w:color w:val="auto"/>
              </w:rPr>
              <w:t>- 80 -</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did not repurchase any shares of its common stock during 2013 or the first quarter of 2014.</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Federal regulators generally require banking institutions under the current Basel I rules to maintain “Tier 1 capital” and “total capital” ratios of at least 4% and 8%, respectively, of risk-adjusted total assets. In addition to the risk-based measures, Federal bank regulators have also implemented a minimum “leverage” ratio guideline of 3% of the quarterly average of total assets. As of March 31, 2014, Tier 1 capital included trust preferred securities of $804 million as described in note 5 of Notes to Financial Statements and total capital further included subordinated capital notes of $1.4 billion. As previously noted, pursuant to the Dodd-Frank Act, trust preferred securities will be phased-out of the definition of Tier 1 capital of bank holding companies beginning in 2015. On February 27, 2014, M&amp;T redeemed $350 million of 8.50% Enhanced Trust Preferred Securities and the associated junior subordinated debentures.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regulatory capital ratios of the Company, M&amp;T Bank and Wilmington Trust, N.A. as of March 31, 2014 are presented in the accompanying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table.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2014</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color w:val="auto"/>
              </w:rPr>
              <w:t>M&amp;T</w:t>
            </w: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M&amp;T</w:t>
            </w:r>
          </w:p>
        </w:tc>
        <w:tc>
          <w:tcPr>
            <w:tcW w:w="720" w:type="dxa"/>
            <w:vAlign w:val="bottom"/>
          </w:tcPr>
          <w:p>
            <w:pPr>
              <w:jc w:val="right"/>
              <w:spacing w:after="0"/>
              <w:rPr>
                <w:sz w:val="20"/>
                <w:szCs w:val="20"/>
                <w:color w:val="auto"/>
              </w:rPr>
            </w:pPr>
            <w:r>
              <w:rPr>
                <w:rFonts w:ascii="Arial" w:cs="Arial" w:eastAsia="Arial" w:hAnsi="Arial"/>
                <w:sz w:val="14"/>
                <w:szCs w:val="14"/>
                <w:color w:val="auto"/>
                <w:w w:val="98"/>
              </w:rPr>
              <w:t>Wilmington</w:t>
            </w:r>
          </w:p>
        </w:tc>
      </w:tr>
      <w:tr>
        <w:trPr>
          <w:trHeight w:val="167"/>
        </w:trPr>
        <w:tc>
          <w:tcPr>
            <w:tcW w:w="5860" w:type="dxa"/>
            <w:vAlign w:val="bottom"/>
          </w:tcPr>
          <w:p>
            <w:pPr>
              <w:spacing w:after="0"/>
              <w:rPr>
                <w:sz w:val="14"/>
                <w:szCs w:val="14"/>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(Consolidated)</w:t>
            </w: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Bank</w:t>
            </w:r>
          </w:p>
        </w:tc>
        <w:tc>
          <w:tcPr>
            <w:tcW w:w="720" w:type="dxa"/>
            <w:vAlign w:val="bottom"/>
          </w:tcPr>
          <w:p>
            <w:pPr>
              <w:jc w:val="right"/>
              <w:spacing w:after="0"/>
              <w:rPr>
                <w:sz w:val="20"/>
                <w:szCs w:val="20"/>
                <w:color w:val="auto"/>
              </w:rPr>
            </w:pPr>
            <w:r>
              <w:rPr>
                <w:rFonts w:ascii="Arial" w:cs="Arial" w:eastAsia="Arial" w:hAnsi="Arial"/>
                <w:sz w:val="14"/>
                <w:szCs w:val="14"/>
                <w:color w:val="auto"/>
                <w:w w:val="98"/>
              </w:rPr>
              <w:t>Trust, N.A.</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Tier 1 capital</w:t>
            </w:r>
          </w:p>
        </w:tc>
        <w:tc>
          <w:tcPr>
            <w:tcW w:w="1420" w:type="dxa"/>
            <w:vAlign w:val="bottom"/>
            <w:tcBorders>
              <w:top w:val="single" w:sz="8" w:color="auto"/>
            </w:tcBorders>
            <w:shd w:val="clear" w:color="auto" w:fill="CCEEFF"/>
          </w:tcPr>
          <w:p>
            <w:pPr>
              <w:jc w:val="right"/>
              <w:ind w:right="317"/>
              <w:spacing w:after="0"/>
              <w:rPr>
                <w:sz w:val="20"/>
                <w:szCs w:val="20"/>
                <w:color w:val="auto"/>
              </w:rPr>
            </w:pPr>
            <w:r>
              <w:rPr>
                <w:rFonts w:ascii="Arial" w:cs="Arial" w:eastAsia="Arial" w:hAnsi="Arial"/>
                <w:sz w:val="18"/>
                <w:szCs w:val="18"/>
                <w:color w:val="auto"/>
              </w:rPr>
              <w:t>12.22%</w:t>
            </w:r>
          </w:p>
        </w:tc>
        <w:tc>
          <w:tcPr>
            <w:tcW w:w="4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Total capital</w:t>
            </w:r>
          </w:p>
        </w:tc>
        <w:tc>
          <w:tcPr>
            <w:tcW w:w="1420" w:type="dxa"/>
            <w:vAlign w:val="bottom"/>
          </w:tcPr>
          <w:p>
            <w:pPr>
              <w:jc w:val="right"/>
              <w:ind w:right="317"/>
              <w:spacing w:after="0"/>
              <w:rPr>
                <w:sz w:val="20"/>
                <w:szCs w:val="20"/>
                <w:color w:val="auto"/>
              </w:rPr>
            </w:pPr>
            <w:r>
              <w:rPr>
                <w:rFonts w:ascii="Arial" w:cs="Arial" w:eastAsia="Arial" w:hAnsi="Arial"/>
                <w:sz w:val="18"/>
                <w:szCs w:val="18"/>
                <w:color w:val="auto"/>
              </w:rPr>
              <w:t>15.30%</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13.10%</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58.36%</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42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10.85%</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r>
    </w:tbl>
    <w:p>
      <w:pPr>
        <w:spacing w:after="0" w:line="20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On March 27, 2014, M&amp;T announced that the Federal Reserve did not object to M&amp;T’s proposed 2014 Capital Plan. Accordingly, M&amp;T may maintain a quarterly common stock dividend of $.70 per share; pay dividends and interest on other equity and debt instruments included in regulatory capital, including preferred stock, trust preferred securities and subordinated debt that were outstanding at December 31, 2013, consistent with the contractual terms of those instruments; and redeem or repurchase up to $50 million of subordinated debt. Common and preferred dividends are subject to approval by M&amp;T’s Board of Directors in the ordinary course of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14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The Business Banking segment’s net income aggregated $29 million in the first quarter of 2014, down 12% from the $33 million earned in the first three months of 2013, but 34% above the $21 million recorded in 2013’s fourth quarter. The decline from the year-earlier quarter reflects lower net interest income of $3 million and increased costs associated with the allocation of expenses related to BSA/AML compliance, risk management, and other operational initiatives across the Company. The decline in net interest income reflects a 33 basis point narrowing of the net interest margin on deposits, partially offset by increases in average outstanding deposit and loan balances of $429 million (predominantly noninterest-bearing) and $259 million, respectively. As compared with the fourth quarter of 2013, the improvement in net income reflects a decreased allocation of expenses regarding the above noted Company-wide initiatives, primarily in connection with BSA/AML consulting expenses, and a decrease in the provision for credit losses of $3 million, the result of lower net charge-offs. Those favorable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factors were partially offset by lower net interest income of $6 million, the result of a 16 basis point narrowing of the net interest margin on deposits and a decrease in average outstanding deposit balances.</w:t>
      </w:r>
    </w:p>
    <w:p>
      <w:pPr>
        <w:spacing w:after="0" w:line="170" w:lineRule="exact"/>
        <w:rPr>
          <w:sz w:val="20"/>
          <w:szCs w:val="20"/>
          <w:color w:val="auto"/>
        </w:rPr>
      </w:pPr>
    </w:p>
    <w:p>
      <w:pPr>
        <w:ind w:right="160" w:firstLine="913"/>
        <w:spacing w:after="0" w:line="271" w:lineRule="auto"/>
        <w:rPr>
          <w:sz w:val="20"/>
          <w:szCs w:val="20"/>
          <w:color w:val="auto"/>
        </w:rPr>
      </w:pPr>
      <w:r>
        <w:rPr>
          <w:rFonts w:ascii="Arial" w:cs="Arial" w:eastAsia="Arial" w:hAnsi="Arial"/>
          <w:sz w:val="17"/>
          <w:szCs w:val="17"/>
          <w:color w:val="auto"/>
        </w:rPr>
        <w:t>Net income earned by the Commercial Banking segment totaled $100 million in each of the two most recent quarters, compared with $107 million recorded in the first quarter of 2013. The main factor contributing to the recent quarter’s decline in net income as compared with 2013’s first quarter was an increase in the provision for credit losses of $12 million, largely the result of increased net charge-offs. As compared with the final 2013 quarter, decreased costs during the recent quarter that reflect the allocation of expenses related to operational initiatives across the Company were largely offset by a decline in net interest income of $4 million and a decrease in trading account and foreign exchange gains of $8 million. The lower net interest income was attributable to the narrowing of the net interest margin on deposits of 17 basis points, partially offset by an increase in average outstanding loan balances of $473 million and a 4 basis point widening of the net interest margin on loans. The lower trading account and foreign exchange gains resulted from lower volumes of interest rate swap agreements initiated on behalf of customers.</w:t>
      </w:r>
    </w:p>
    <w:p>
      <w:pPr>
        <w:spacing w:after="0" w:line="17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Commercial Real Estate segment contributed net income of $75 million during the quarter ended March 31, 2014, compared with $77 million in the year-earlier quarter and $76 million in the fourth quarter of 2013. The modest decline in the recent quarter’s net income as compared with the initial 2013 quarter reflects a $3 million decrease in net interest income, attributable to a 38 basis point narrowing of the net interest margin on deposits and lower average outstanding loan balances of $93 million partially offset by an increase of $526 million of average outstanding deposits, and a $2 million decrease in commercial mortgage banking revenues, the result of lower volumes of commercial real estate loans originated for sale. Those unfavorable factors were partially offset by a $4 million decrease in the provision for credit losses, the result of lower net charge-offs. The unfavorable factors that contributed to the 2% decline in net income as compared with the final 2013 quarter were a $9 million decrease in net interest income, the result of a narrowing of the net interest margin on loans and deposits of 4 basis points and 22 basis points, respectively, combined with lower average outstanding loan balances of $227 million, and a $7 million decrease in commercial mortgage banking revenues resulting from lower volumes of loans originated for sale. Those factors were offset, in part, by a $6 million decrease in the provision for credit losses, due to lower net charge-offs, and an overall decrease in expenses associated with the allocation of expenses related to BSA/AML compliance, risk management, and other operational initiatives across the Company.</w:t>
      </w:r>
    </w:p>
    <w:p>
      <w:pPr>
        <w:spacing w:after="0" w:line="173"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The Discretionary Portfolio segment earned net income of $11 million in each of the two most recent quarters, compared with $2 million in the first quarter of 2013. Included in the results of the year-earlier quarter was a pre-tax other-than-temporary impairment charge (relating to certain privately issued mortgage-backed securities) of $10 million. In addition to that impairment charge, the favorable performance in the recent quarter as compared with the year-earlier quarter reflects a $3 million reduction in the provision for credit losses, the result of lower net charge-offs. The recent quarter’s net income was relatively unchanged as compared with the fourth quarter of 2013. A $3 million increase in net interest income, largely the result of a 9 basis point widening of the net interest margin and $418 million increase in average outstanding loan balances, was largely offset by a $2 million increase in the provision for credit losses.</w:t>
      </w:r>
    </w:p>
    <w:p>
      <w:pPr>
        <w:spacing w:after="0" w:line="189" w:lineRule="exact"/>
        <w:rPr>
          <w:sz w:val="20"/>
          <w:szCs w:val="20"/>
          <w:color w:val="auto"/>
        </w:rPr>
      </w:pPr>
    </w:p>
    <w:p>
      <w:pPr>
        <w:ind w:right="240" w:firstLine="913"/>
        <w:spacing w:after="0" w:line="308" w:lineRule="auto"/>
        <w:rPr>
          <w:sz w:val="20"/>
          <w:szCs w:val="20"/>
          <w:color w:val="auto"/>
        </w:rPr>
      </w:pPr>
      <w:r>
        <w:rPr>
          <w:rFonts w:ascii="Arial" w:cs="Arial" w:eastAsia="Arial" w:hAnsi="Arial"/>
          <w:sz w:val="17"/>
          <w:szCs w:val="17"/>
          <w:color w:val="auto"/>
        </w:rPr>
        <w:t>Net contribution from the Residential Mortgage Banking segment totaled $19 million in the recent quarter, down 44% from $34 million in the year-earlier quarter, but 7% higher than the $18 million recorded in the fourth quarter of 2013. The following unfavorable factors were the main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- 82 -</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contributors to the recent quarter’s decline as compared with the year-earlier quarter: a $35 million decrease in revenues from residential mortgage origination and sales activities (including intersegment revenues), due to lower origination volumes; a $3 million decrease in net interest income, largely from lower average outstanding loans; and increased personnel and professional services costs associated with residential mortgage loan sub-servicing activities. Those factors were partially offset by a $13 million rise in revenues from servicing residential real estate loans predominantly the result of the increased sub-servicing activities. Comparing the recent quarter’s results with 2013’s fourth quarter, decreased personnel costs and other operating expenses were largely offset by a $5 million decrease in net interest income, resulting from lower average outstanding loans and deposits of $147 million and $264 million, respectively, along with a 33 basis point narrowing of the net interest margin on loans.</w:t>
      </w:r>
    </w:p>
    <w:p>
      <w:pPr>
        <w:spacing w:after="0" w:line="178" w:lineRule="exact"/>
        <w:rPr>
          <w:sz w:val="20"/>
          <w:szCs w:val="20"/>
          <w:color w:val="auto"/>
        </w:rPr>
      </w:pPr>
    </w:p>
    <w:p>
      <w:pPr>
        <w:ind w:right="100" w:firstLine="913"/>
        <w:spacing w:after="0" w:line="269" w:lineRule="auto"/>
        <w:rPr>
          <w:sz w:val="20"/>
          <w:szCs w:val="20"/>
          <w:color w:val="auto"/>
        </w:rPr>
      </w:pPr>
      <w:r>
        <w:rPr>
          <w:rFonts w:ascii="Arial" w:cs="Arial" w:eastAsia="Arial" w:hAnsi="Arial"/>
          <w:sz w:val="17"/>
          <w:szCs w:val="17"/>
          <w:color w:val="auto"/>
        </w:rPr>
        <w:t>Net income earned by the Retail Banking segment totaled $30 million in 2014’s initial quarter, down 43% from the $52 million earned in the three-month period ended March 31, 2013, but 20% higher than the $25 million earned in the fourth quarter of 2013. Factors contributing to the recent quarter’s decline in net income as compared with the first quarter of 2013 included: a $25 million decline in net interest income, which reflected a 27 basis point narrowing of the net interest margin on deposits and a decrease in average outstanding loans of $1.2 billion; a $7 million reduction in fees earned for providing deposit account services, primarily due to lower volumes of consumer service charges and debit card activity; and higher noninterest operating expenses, including allocated costs related to BSA/AML compliance, risk management, and other operational initiatives. The recent quarter’s favorable performance as compared with the immediately preceding quarter was largely attributable to a decrease in the noninterest operating expenses, largely related to professional services which reflected the front-end spending in 2013 tied to the BSA/AML, capital planning and stress testing and other initiatives. That factor was partially offset by a $13 million decline in net interest income, resulting from a 16 basis point narrowing of the net interest margin on deposits partially offset by higher average deposit balances of $319 million, a $9 million reduction in fees earned for providing deposit account services, and an increase in the provision for credit losses of $5 million, due to higher net charge-offs.</w:t>
      </w:r>
    </w:p>
    <w:p>
      <w:pPr>
        <w:spacing w:after="0" w:line="183"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related to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trust activities of the Company. The various components of the “All Other” category resulted in net losses totaling $34 million for the quarter ended March 31, 2014, $31 million in the first quarter of 2013, and $29 million in the fourth quarter 2013. The declined performance in the recent quarter as compared with the year-earlier period was attributable to higher personnel-related and professional services costs that were partially offset by the favorable impact from the Company’s allocation methodologies for internal transfers for funding charges and credits associated with the earning assets and interest-bearing liabilities of the Company’s reportable segments and the provision for credit losses. The $40 million litigation accrual that was recorded in the final 2013 quarter was largely offset by higher personnel costs in the first quarters of 2014 and 2013 that were related to seasonally higher stock-based compensation, payroll-related taxes, unemployment insurance and employer contributions for retirement savings plan benefits related to incentive compensation payments.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In January 2014, the Financial Accounting Standards Board (“FASB”) issued amended accounting and disclosure guidance for reclassification of residential real estate collateralized consumer mortgage loans upon foreclosure. The amended guidance clarifies that an in substance repossession or foreclosure occurs, and a creditor is considered to have received physical possession of residential real estate property collateralizing a consumer mortgage loan, upon either</w:t>
      </w: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creditor obtaining legal title to the residential real estate property upon completion of a foreclosure or (2) the borrower conveying all interest in the</w:t>
      </w:r>
    </w:p>
    <w:p>
      <w:pPr>
        <w:spacing w:after="0" w:line="32" w:lineRule="exact"/>
        <w:rPr>
          <w:rFonts w:ascii="Arial" w:cs="Arial" w:eastAsia="Arial" w:hAnsi="Arial"/>
          <w:sz w:val="16"/>
          <w:szCs w:val="16"/>
          <w:color w:val="auto"/>
        </w:rPr>
      </w:pPr>
    </w:p>
    <w:p>
      <w:pPr>
        <w:ind w:right="60"/>
        <w:spacing w:after="0" w:line="281" w:lineRule="auto"/>
        <w:rPr>
          <w:rFonts w:ascii="Arial" w:cs="Arial" w:eastAsia="Arial" w:hAnsi="Arial"/>
          <w:sz w:val="16"/>
          <w:szCs w:val="16"/>
          <w:color w:val="auto"/>
        </w:rPr>
      </w:pPr>
      <w:r>
        <w:rPr>
          <w:rFonts w:ascii="Arial" w:cs="Arial" w:eastAsia="Arial" w:hAnsi="Arial"/>
          <w:sz w:val="16"/>
          <w:szCs w:val="16"/>
          <w:color w:val="auto"/>
        </w:rPr>
        <w:t>residential real estate property to the creditor to satisfy that loan through completion of a deed in lieu of foreclosure or through a similar legal agreement. The amended guidance also requires interim and annual disclosure of both (1) the amount of foreclosed residential real estate property held by the creditor and</w:t>
      </w:r>
    </w:p>
    <w:p>
      <w:pPr>
        <w:spacing w:after="0" w:line="1" w:lineRule="exact"/>
        <w:rPr>
          <w:rFonts w:ascii="Arial" w:cs="Arial" w:eastAsia="Arial" w:hAnsi="Arial"/>
          <w:sz w:val="16"/>
          <w:szCs w:val="16"/>
          <w:color w:val="auto"/>
        </w:rPr>
      </w:pPr>
    </w:p>
    <w:p>
      <w:pPr>
        <w:jc w:val="both"/>
        <w:ind w:right="20" w:firstLine="8"/>
        <w:spacing w:after="0" w:line="273" w:lineRule="auto"/>
        <w:tabs>
          <w:tab w:leader="none" w:pos="2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recorded investment in consumer mortgage loans collateralized by residential real estate property that are in the process of foreclosure according to local requirements of the applicable jurisdiction. This guidance is effective for annual periods, and interim periods within those annual periods, beginning after December 15, 2014. This guidance should be applied using a prospective transition method or a modified retrospective transition method. The Company does not expect the guidance to have a material impact on its financial position or results of operations.</w:t>
      </w:r>
    </w:p>
    <w:p>
      <w:pPr>
        <w:spacing w:after="0" w:line="177"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In January 2014, the FASB issued amended accounting guidance permitting an accounting policy election to account for investments in qualified affordable housing projects using the proportional amortization method if certain conditions are met. Under the proportional amortization method, an entity amortizes the initial cost of the investment in proportion to the tax credits and other tax benefits received and recognizes the net investment performance in the income statement as a component of income tax expense. The decision to apply the proportional amortization method of accounting is an accounting policy election that should be applied consistently to all qualifying affordable housing project investments. This guidance is effective for annual periods, and interim reporting periods within those annual periods, beginning after December 15, 2014. This guidance should be applied retrospectively to all periods presented. The Company is still evaluating the impact the guidance could have on its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9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8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432"/>
        </w:trPr>
        <w:tc>
          <w:tcPr>
            <w:tcW w:w="632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2014</w:t>
            </w:r>
          </w:p>
        </w:tc>
        <w:tc>
          <w:tcPr>
            <w:tcW w:w="3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4"/>
                <w:szCs w:val="14"/>
                <w:color w:val="auto"/>
              </w:rPr>
              <w:t>2013 Quarters</w:t>
            </w: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color w:val="auto"/>
                <w:w w:val="91"/>
              </w:rPr>
              <w:t>First Quarter</w:t>
            </w:r>
          </w:p>
        </w:tc>
        <w:tc>
          <w:tcPr>
            <w:tcW w:w="380" w:type="dxa"/>
            <w:vAlign w:val="bottom"/>
          </w:tcPr>
          <w:p>
            <w:pPr>
              <w:spacing w:after="0"/>
              <w:rPr>
                <w:sz w:val="12"/>
                <w:szCs w:val="12"/>
                <w:color w:val="auto"/>
              </w:rPr>
            </w:pPr>
          </w:p>
        </w:tc>
        <w:tc>
          <w:tcPr>
            <w:tcW w:w="104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Fourth</w:t>
            </w:r>
          </w:p>
        </w:tc>
        <w:tc>
          <w:tcPr>
            <w:tcW w:w="104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104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rPr>
              <w:t>Second</w:t>
            </w:r>
          </w:p>
        </w:tc>
        <w:tc>
          <w:tcPr>
            <w:tcW w:w="660" w:type="dxa"/>
            <w:vAlign w:val="bottom"/>
          </w:tcPr>
          <w:p>
            <w:pPr>
              <w:jc w:val="right"/>
              <w:ind w:right="11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728,897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740,665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748,791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756,424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736,425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66,519</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67,982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69,578</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72,620</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662,378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672,683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679,213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683,804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662,500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42,000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48,000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57,000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420,107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446,246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477,388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508,689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432,882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Less: other expense</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702,271</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743,072</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658,626</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598,591</w:t>
            </w:r>
          </w:p>
        </w:tc>
        <w:tc>
          <w:tcPr>
            <w:tcW w:w="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635,596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348,214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333,857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449,975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536,902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421,786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113,252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106,236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149,391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182,219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6,199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6,105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6,217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229,017</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221,422</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294,479</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348,466</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274,113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211,731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203,451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275,356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328,557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255,096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earnings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 earnings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1.61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2.11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2.55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130,212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129,497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129,171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128,252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131,126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130,464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130,265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129,017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Return 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Average common shareholders’ equity</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8.22%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11.06%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interest margin on average earning assets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(taxable-equivalent basis)</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(tangible) results (a)</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235,162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227,797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300,968</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360,734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Annualized return on</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Average tangible common shareholders’ equity</w:t>
            </w: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12.67%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63.95%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Average balances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85,330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84,011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83,352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83,096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81,754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80,427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79,760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76,288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75,049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74,667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73,960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9,265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8,354</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6,979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5,293</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63,763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63,550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64,858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65,979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67,327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67,212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66,232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65,680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64,540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shareholders’ equity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10,576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10,228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9,687</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7,007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6,652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6,419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6,095</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Total assets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88,530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85,162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84,427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83,229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tangible assets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84,965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81,589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80,847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79,641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77,950</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74,706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74,085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73,927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10,364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8,796</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64,135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64,073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63,659</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65,972</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65,924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68,699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67,119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66,552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65,661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ind w:left="340"/>
              <w:spacing w:after="0" w:line="201" w:lineRule="exact"/>
              <w:rPr>
                <w:sz w:val="20"/>
                <w:szCs w:val="20"/>
                <w:color w:val="auto"/>
              </w:rPr>
            </w:pPr>
            <w:r>
              <w:rPr>
                <w:rFonts w:ascii="Arial" w:cs="Arial" w:eastAsia="Arial" w:hAnsi="Arial"/>
                <w:sz w:val="18"/>
                <w:szCs w:val="18"/>
                <w:color w:val="auto"/>
              </w:rPr>
              <w:t>Common shareholders’ equity, net of undeclared cumulative preferred</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dividends (c)</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10,652</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10,421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10,133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9,836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common shareholders’ equity (c)</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7,087</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6,848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6,553</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6,248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Equity per common share</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81.05</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79.81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77.81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75.98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Tangible equity per common share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53.92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52.45</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50.32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48.26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High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123.04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117.29</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119.54</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112.01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109.16</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109.23</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109.47</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95.68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Closing</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121.30</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116.42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111.92</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111.75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0" w:gutter="0" w:footer="0" w:header="0"/>
        </w:sectPr>
      </w:pPr>
    </w:p>
    <w:p>
      <w:pPr>
        <w:spacing w:after="0" w:line="42"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Excludes amortization and balances related to goodwill and core deposit and other intangible assets and merger-related gains and expenses which,</w:t>
      </w:r>
    </w:p>
    <w:p>
      <w:pPr>
        <w:sectPr>
          <w:pgSz w:w="11900" w:h="16838" w:orient="portrait"/>
          <w:cols w:equalWidth="0" w:num="1">
            <w:col w:w="11420"/>
          </w:cols>
          <w:pgMar w:left="240" w:top="459" w:right="239" w:bottom="0" w:gutter="0" w:footer="0" w:header="0"/>
          <w:type w:val="continuous"/>
        </w:sectPr>
      </w:pPr>
    </w:p>
    <w:bookmarkStart w:id="86" w:name="page87"/>
    <w:bookmarkEnd w:id="86"/>
    <w:p>
      <w:pPr>
        <w:ind w:left="452" w:right="380"/>
        <w:spacing w:after="0" w:line="258" w:lineRule="auto"/>
        <w:rPr>
          <w:sz w:val="20"/>
          <w:szCs w:val="20"/>
          <w:color w:val="auto"/>
        </w:rPr>
      </w:pPr>
      <w:r>
        <w:rPr>
          <w:rFonts w:ascii="Arial" w:cs="Arial" w:eastAsia="Arial" w:hAnsi="Arial"/>
          <w:sz w:val="18"/>
          <w:szCs w:val="18"/>
          <w:i w:val="1"/>
          <w:iCs w:val="1"/>
          <w:color w:val="auto"/>
        </w:rPr>
        <w:t>except in the calculation of the efficiency ratio, are net of applicable income tax effects. A reconciliation of net income and net operating income appears in Table 2.</w:t>
      </w:r>
    </w:p>
    <w:p>
      <w:pPr>
        <w:spacing w:after="0" w:line="1"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52" w:hanging="452"/>
        <w:spacing w:after="0" w:line="323" w:lineRule="auto"/>
        <w:tabs>
          <w:tab w:leader="none" w:pos="452"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71" w:lineRule="exact"/>
        <w:rPr>
          <w:rFonts w:ascii="Arial" w:cs="Arial" w:eastAsia="Arial" w:hAnsi="Arial"/>
          <w:sz w:val="16"/>
          <w:szCs w:val="16"/>
          <w:i w:val="1"/>
          <w:iCs w:val="1"/>
          <w:color w:val="auto"/>
        </w:rPr>
      </w:pPr>
    </w:p>
    <w:p>
      <w:pPr>
        <w:ind w:left="5612" w:hanging="101"/>
        <w:spacing w:after="0"/>
        <w:tabs>
          <w:tab w:leader="none" w:pos="5612" w:val="left"/>
        </w:tabs>
        <w:numPr>
          <w:ilvl w:val="1"/>
          <w:numId w:val="26"/>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1232"/>
          </w:cols>
          <w:pgMar w:left="248" w:top="125" w:right="419" w:bottom="1440" w:gutter="0" w:footer="0" w:header="0"/>
        </w:sectPr>
      </w:pPr>
    </w:p>
    <w:bookmarkStart w:id="87" w:name="page88"/>
    <w:bookmarkEnd w:id="8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Table 2</w:t>
            </w: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w w:val="98"/>
              </w:rPr>
              <w:t>RECONCILIATION OF QUARTERLY GAAP TO NON-GAAP MEASURES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color w:val="auto"/>
              </w:rPr>
              <w:t>2013 Quarters</w:t>
            </w:r>
          </w:p>
        </w:tc>
        <w:tc>
          <w:tcPr>
            <w:tcW w:w="7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9"/>
              </w:rPr>
              <w:t>First Quarter</w:t>
            </w:r>
          </w:p>
        </w:tc>
        <w:tc>
          <w:tcPr>
            <w:tcW w:w="340" w:type="dxa"/>
            <w:vAlign w:val="bottom"/>
          </w:tcPr>
          <w:p>
            <w:pPr>
              <w:spacing w:after="0"/>
              <w:rPr>
                <w:sz w:val="12"/>
                <w:szCs w:val="12"/>
                <w:color w:val="auto"/>
              </w:rPr>
            </w:pPr>
          </w:p>
        </w:tc>
        <w:tc>
          <w:tcPr>
            <w:tcW w:w="112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Fourth</w:t>
            </w:r>
          </w:p>
        </w:tc>
        <w:tc>
          <w:tcPr>
            <w:tcW w:w="1140" w:type="dxa"/>
            <w:vAlign w:val="bottom"/>
            <w:gridSpan w:val="2"/>
          </w:tcPr>
          <w:p>
            <w:pPr>
              <w:jc w:val="right"/>
              <w:ind w:right="580"/>
              <w:spacing w:after="0" w:line="142" w:lineRule="exact"/>
              <w:rPr>
                <w:sz w:val="20"/>
                <w:szCs w:val="20"/>
                <w:color w:val="auto"/>
              </w:rPr>
            </w:pPr>
            <w:r>
              <w:rPr>
                <w:rFonts w:ascii="Arial" w:cs="Arial" w:eastAsia="Arial" w:hAnsi="Arial"/>
                <w:sz w:val="14"/>
                <w:szCs w:val="14"/>
                <w:color w:val="auto"/>
              </w:rPr>
              <w:t>Third</w:t>
            </w:r>
          </w:p>
        </w:tc>
        <w:tc>
          <w:tcPr>
            <w:tcW w:w="114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Second</w:t>
            </w:r>
          </w:p>
        </w:tc>
        <w:tc>
          <w:tcPr>
            <w:tcW w:w="780" w:type="dxa"/>
            <w:vAlign w:val="bottom"/>
          </w:tcPr>
          <w:p>
            <w:pPr>
              <w:jc w:val="right"/>
              <w:ind w:right="170"/>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229,017</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221,422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294,479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348,466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6,489</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4,636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235,162</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227,797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300,968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360,734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285,136</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Diluted net operating earnings per common share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702,271</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743,072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658,626</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598,591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635,596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(10,062)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(10,439)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(10,628)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(12,502)</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Merger-related expenses</w:t>
            </w: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(7,632)</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 operating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692,209</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732,633</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647,998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578,457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617,521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Merger-related expenses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5,845</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692,209</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732,633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647,998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578,457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617,521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662,378</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672,683</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679,213</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683,804</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662,500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420,107</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446,246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477,388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508,689</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Less: Gain on bank investment securities</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56,457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1,082,485</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1,118,929</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1,156,601</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1,136,036</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1,105,182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50.92%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86,665</w:t>
            </w:r>
          </w:p>
        </w:tc>
        <w:tc>
          <w:tcPr>
            <w:tcW w:w="34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85,330</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84,011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83,352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(3,525)</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(3,525)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(3,525)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(3,525)</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83,096</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81,754</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80,427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79,760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78,311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11,648</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10,881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10,563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(1,072)</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(881)</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(878)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(876)</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10,228</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tangible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6,419</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6,095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88,530</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85,162</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84,427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83,229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82,812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(79)</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Total 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84,965</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81,589</w:t>
            </w:r>
          </w:p>
        </w:tc>
        <w:tc>
          <w:tcPr>
            <w:tcW w:w="34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80,847</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79,641</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11,887</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11,306</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11,016</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10,716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(1,232)</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(877)</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Undeclared dividends - cumulative preferred stock</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equity, net of undeclared cumulative preferred dividends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340" w:type="dxa"/>
            <w:vAlign w:val="bottom"/>
            <w:tcBorders>
              <w:lef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10,133</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9,836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59" w:right="239" w:bottom="0" w:gutter="0" w:footer="0" w:header="0"/>
        </w:sectPr>
      </w:pPr>
    </w:p>
    <w:bookmarkStart w:id="88" w:name="page89"/>
    <w:bookmarkEnd w:id="88"/>
    <w:p>
      <w:pPr>
        <w:ind w:left="352"/>
        <w:spacing w:after="0"/>
        <w:tabs>
          <w:tab w:leader="none" w:pos="5832" w:val="left"/>
          <w:tab w:leader="none" w:pos="6252" w:val="left"/>
          <w:tab w:leader="none" w:pos="7372" w:val="left"/>
          <w:tab w:leader="none" w:pos="8512" w:val="left"/>
          <w:tab w:leader="none" w:pos="9652" w:val="left"/>
          <w:tab w:leader="none" w:pos="10792" w:val="left"/>
        </w:tabs>
        <w:rPr>
          <w:sz w:val="20"/>
          <w:szCs w:val="20"/>
          <w:color w:val="auto"/>
        </w:rPr>
      </w:pPr>
      <w:r>
        <w:rPr>
          <w:rFonts w:ascii="Arial" w:cs="Arial" w:eastAsia="Arial" w:hAnsi="Arial"/>
          <w:sz w:val="18"/>
          <w:szCs w:val="18"/>
          <w:color w:val="auto"/>
        </w:rPr>
        <w:t>Total tangible common equity</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7,087</w:t>
      </w:r>
      <w:r>
        <w:rPr>
          <w:sz w:val="20"/>
          <w:szCs w:val="20"/>
          <w:color w:val="auto"/>
        </w:rPr>
        <w:tab/>
      </w:r>
      <w:r>
        <w:rPr>
          <w:rFonts w:ascii="Arial" w:cs="Arial" w:eastAsia="Arial" w:hAnsi="Arial"/>
          <w:sz w:val="18"/>
          <w:szCs w:val="18"/>
          <w:color w:val="auto"/>
        </w:rPr>
        <w:t>6,848</w:t>
      </w:r>
      <w:r>
        <w:rPr>
          <w:sz w:val="20"/>
          <w:szCs w:val="20"/>
          <w:color w:val="auto"/>
        </w:rPr>
        <w:tab/>
      </w:r>
      <w:r>
        <w:rPr>
          <w:rFonts w:ascii="Arial" w:cs="Arial" w:eastAsia="Arial" w:hAnsi="Arial"/>
          <w:sz w:val="18"/>
          <w:szCs w:val="18"/>
          <w:color w:val="auto"/>
        </w:rPr>
        <w:t>6,553</w:t>
      </w:r>
      <w:r>
        <w:rPr>
          <w:sz w:val="20"/>
          <w:szCs w:val="20"/>
          <w:color w:val="auto"/>
        </w:rPr>
        <w:tab/>
      </w:r>
      <w:r>
        <w:rPr>
          <w:rFonts w:ascii="Arial" w:cs="Arial" w:eastAsia="Arial" w:hAnsi="Arial"/>
          <w:sz w:val="18"/>
          <w:szCs w:val="18"/>
          <w:color w:val="auto"/>
        </w:rPr>
        <w:t>6,248</w:t>
      </w:r>
      <w:r>
        <w:rPr>
          <w:sz w:val="20"/>
          <w:szCs w:val="20"/>
          <w:color w:val="auto"/>
        </w:rPr>
        <w:tab/>
      </w:r>
      <w:r>
        <w:rPr>
          <w:rFonts w:ascii="Arial" w:cs="Arial" w:eastAsia="Arial" w:hAnsi="Arial"/>
          <w:sz w:val="15"/>
          <w:szCs w:val="15"/>
          <w:color w:val="auto"/>
        </w:rPr>
        <w:t>5,948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65"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58"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- 87 -</w:t>
      </w:r>
    </w:p>
    <w:p>
      <w:pPr>
        <w:spacing w:after="0" w:line="20" w:lineRule="exact"/>
        <w:rPr>
          <w:sz w:val="20"/>
          <w:szCs w:val="20"/>
          <w:color w:val="auto"/>
        </w:rPr>
      </w:pPr>
    </w:p>
    <w:p>
      <w:pPr>
        <w:sectPr>
          <w:pgSz w:w="11900" w:h="16838" w:orient="portrait"/>
          <w:cols w:equalWidth="0" w:num="1">
            <w:col w:w="11212"/>
          </w:cols>
          <w:pgMar w:left="248" w:top="13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Table 3</w:t>
            </w:r>
          </w:p>
        </w:tc>
        <w:tc>
          <w:tcPr>
            <w:tcW w:w="0" w:type="dxa"/>
            <w:vAlign w:val="bottom"/>
          </w:tcPr>
          <w:p>
            <w:pPr>
              <w:spacing w:after="0"/>
              <w:rPr>
                <w:sz w:val="1"/>
                <w:szCs w:val="1"/>
                <w:color w:val="auto"/>
              </w:rPr>
            </w:pPr>
          </w:p>
        </w:tc>
      </w:tr>
      <w:tr>
        <w:trPr>
          <w:trHeight w:val="432"/>
        </w:trPr>
        <w:tc>
          <w:tcPr>
            <w:tcW w:w="7040" w:type="dxa"/>
            <w:vAlign w:val="bottom"/>
            <w:gridSpan w:val="11"/>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6"/>
          </w:tcPr>
          <w:p>
            <w:pPr>
              <w:jc w:val="center"/>
              <w:ind w:right="360"/>
              <w:spacing w:after="0"/>
              <w:rPr>
                <w:sz w:val="20"/>
                <w:szCs w:val="20"/>
                <w:color w:val="auto"/>
              </w:rPr>
            </w:pPr>
            <w:r>
              <w:rPr>
                <w:rFonts w:ascii="Arial" w:cs="Arial" w:eastAsia="Arial" w:hAnsi="Arial"/>
                <w:sz w:val="14"/>
                <w:szCs w:val="14"/>
                <w:color w:val="auto"/>
                <w:w w:val="93"/>
              </w:rPr>
              <w:t>2014 First Quarter</w:t>
            </w:r>
          </w:p>
        </w:tc>
        <w:tc>
          <w:tcPr>
            <w:tcW w:w="2260" w:type="dxa"/>
            <w:vAlign w:val="bottom"/>
            <w:gridSpan w:val="6"/>
          </w:tcPr>
          <w:p>
            <w:pPr>
              <w:jc w:val="center"/>
              <w:ind w:right="280"/>
              <w:spacing w:after="0"/>
              <w:rPr>
                <w:sz w:val="20"/>
                <w:szCs w:val="20"/>
                <w:color w:val="auto"/>
              </w:rPr>
            </w:pPr>
            <w:r>
              <w:rPr>
                <w:rFonts w:ascii="Arial" w:cs="Arial" w:eastAsia="Arial" w:hAnsi="Arial"/>
                <w:sz w:val="14"/>
                <w:szCs w:val="14"/>
                <w:color w:val="auto"/>
                <w:w w:val="92"/>
              </w:rPr>
              <w:t>2013 Fourth Quarter</w:t>
            </w:r>
          </w:p>
        </w:tc>
        <w:tc>
          <w:tcPr>
            <w:tcW w:w="2120" w:type="dxa"/>
            <w:vAlign w:val="bottom"/>
            <w:gridSpan w:val="7"/>
          </w:tcPr>
          <w:p>
            <w:pPr>
              <w:jc w:val="right"/>
              <w:ind w:right="580"/>
              <w:spacing w:after="0"/>
              <w:rPr>
                <w:sz w:val="20"/>
                <w:szCs w:val="20"/>
                <w:color w:val="auto"/>
              </w:rPr>
            </w:pPr>
            <w:r>
              <w:rPr>
                <w:rFonts w:ascii="Arial" w:cs="Arial" w:eastAsia="Arial" w:hAnsi="Arial"/>
                <w:sz w:val="14"/>
                <w:szCs w:val="14"/>
                <w:color w:val="auto"/>
              </w:rPr>
              <w:t>2013 Third Quarter</w:t>
            </w:r>
          </w:p>
        </w:tc>
        <w:tc>
          <w:tcPr>
            <w:tcW w:w="0" w:type="dxa"/>
            <w:vAlign w:val="bottom"/>
          </w:tcPr>
          <w:p>
            <w:pPr>
              <w:spacing w:after="0"/>
              <w:rPr>
                <w:sz w:val="1"/>
                <w:szCs w:val="1"/>
                <w:color w:val="auto"/>
              </w:rPr>
            </w:pPr>
          </w:p>
        </w:tc>
      </w:tr>
      <w:tr>
        <w:trPr>
          <w:trHeight w:val="162"/>
        </w:trPr>
        <w:tc>
          <w:tcPr>
            <w:tcW w:w="4740" w:type="dxa"/>
            <w:vAlign w:val="bottom"/>
            <w:gridSpan w:val="4"/>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Average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Average</w:t>
            </w:r>
          </w:p>
        </w:tc>
        <w:tc>
          <w:tcPr>
            <w:tcW w:w="720" w:type="dxa"/>
            <w:vAlign w:val="bottom"/>
            <w:gridSpan w:val="2"/>
          </w:tcPr>
          <w:p>
            <w:pPr>
              <w:spacing w:after="0"/>
              <w:rPr>
                <w:sz w:val="20"/>
                <w:szCs w:val="20"/>
                <w:color w:val="auto"/>
              </w:rPr>
            </w:pPr>
            <w:r>
              <w:rPr>
                <w:rFonts w:ascii="Arial" w:cs="Arial" w:eastAsia="Arial" w:hAnsi="Arial"/>
                <w:sz w:val="14"/>
                <w:szCs w:val="14"/>
                <w:color w:val="auto"/>
              </w:rPr>
              <w:t>Average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color w:val="auto"/>
                <w:w w:val="88"/>
              </w:rPr>
              <w:t>Average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88"/>
              </w:rPr>
              <w:t>Average</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4740" w:type="dxa"/>
            <w:vAlign w:val="bottom"/>
            <w:gridSpan w:val="4"/>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Rate</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Balance</w:t>
            </w: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780" w:type="dxa"/>
            <w:vAlign w:val="bottom"/>
            <w:gridSpan w:val="2"/>
          </w:tcPr>
          <w:p>
            <w:pPr>
              <w:jc w:val="right"/>
              <w:ind w:right="400"/>
              <w:spacing w:after="0"/>
              <w:rPr>
                <w:sz w:val="20"/>
                <w:szCs w:val="20"/>
                <w:color w:val="auto"/>
              </w:rPr>
            </w:pPr>
            <w:r>
              <w:rPr>
                <w:rFonts w:ascii="Arial" w:cs="Arial" w:eastAsia="Arial" w:hAnsi="Arial"/>
                <w:sz w:val="14"/>
                <w:szCs w:val="14"/>
                <w:color w:val="auto"/>
              </w:rPr>
              <w:t>Rate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w w:val="90"/>
              </w:rPr>
              <w:t>Balance</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Interest</w:t>
            </w:r>
          </w:p>
        </w:tc>
        <w:tc>
          <w:tcPr>
            <w:tcW w:w="2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tcPr>
          <w:p>
            <w:pPr>
              <w:spacing w:after="0" w:line="149" w:lineRule="exact"/>
              <w:rPr>
                <w:sz w:val="20"/>
                <w:szCs w:val="20"/>
                <w:color w:val="auto"/>
              </w:rPr>
            </w:pPr>
            <w:r>
              <w:rPr>
                <w:rFonts w:ascii="Arial" w:cs="Arial" w:eastAsia="Arial" w:hAnsi="Arial"/>
                <w:sz w:val="14"/>
                <w:szCs w:val="14"/>
                <w:color w:val="auto"/>
              </w:rPr>
              <w:t>Earning assets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Loans and leases, net of unearned discount*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Commercial, financial, etc.</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18,476</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$153,529</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3.37%</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18,096</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8"/>
              </w:rPr>
              <w:t>155,396</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3.41%</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17,798</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156,915</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Real estate - commercial</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26,143</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287,584</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4.40</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26,231</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300,225</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4.48</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26,129</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301,178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Real estate - consumer</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8,844</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92,533</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4.19</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8,990</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94,436</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9,636</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100,364</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10,300</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116,631</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4.59</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10,233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118,554</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11,295</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130,179</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Total loans and leases, net</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63,763</w:t>
            </w:r>
          </w:p>
        </w:tc>
        <w:tc>
          <w:tcPr>
            <w:tcW w:w="2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650,277</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4.14</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63,550</w:t>
            </w:r>
          </w:p>
        </w:tc>
        <w:tc>
          <w:tcPr>
            <w:tcW w:w="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668,611</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4.17</w:t>
            </w:r>
          </w:p>
        </w:tc>
        <w:tc>
          <w:tcPr>
            <w:tcW w:w="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64,858</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688,636</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 at banks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3,089</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1,884</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2,948</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1,829</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2,646</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1,650</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tcPr>
          <w:p>
            <w:pPr>
              <w:spacing w:after="0" w:line="149" w:lineRule="exact"/>
              <w:rPr>
                <w:sz w:val="20"/>
                <w:szCs w:val="20"/>
                <w:color w:val="auto"/>
              </w:rPr>
            </w:pPr>
            <w:r>
              <w:rPr>
                <w:rFonts w:ascii="Arial" w:cs="Arial" w:eastAsia="Arial" w:hAnsi="Arial"/>
                <w:sz w:val="14"/>
                <w:szCs w:val="14"/>
                <w:color w:val="auto"/>
              </w:rPr>
              <w:t>Federal funds sold and agreements to resell securities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.07</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.07</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Trading account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211</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tcPr>
          <w:p>
            <w:pPr>
              <w:spacing w:after="0" w:line="149" w:lineRule="exact"/>
              <w:rPr>
                <w:sz w:val="20"/>
                <w:szCs w:val="20"/>
                <w:color w:val="auto"/>
              </w:rPr>
            </w:pPr>
            <w:r>
              <w:rPr>
                <w:rFonts w:ascii="Arial" w:cs="Arial" w:eastAsia="Arial" w:hAnsi="Arial"/>
                <w:sz w:val="14"/>
                <w:szCs w:val="14"/>
                <w:color w:val="auto"/>
              </w:rPr>
              <w:t>Investment securities**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U.S. Treasury and federal agencies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8,286</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64,814</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3.17</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7,349</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60,150</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5,948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48,406</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2,269</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2,436</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193</w:t>
            </w:r>
          </w:p>
        </w:tc>
        <w:tc>
          <w:tcPr>
            <w:tcW w:w="2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2,460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802</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9,160</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7,339</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3.56</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w:t>
            </w:r>
          </w:p>
        </w:tc>
        <w:tc>
          <w:tcPr>
            <w:tcW w:w="2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7,406</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Total investment securities</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9,265</w:t>
            </w:r>
          </w:p>
        </w:tc>
        <w:tc>
          <w:tcPr>
            <w:tcW w:w="2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76,243</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3.34</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8,354</w:t>
            </w:r>
          </w:p>
        </w:tc>
        <w:tc>
          <w:tcPr>
            <w:tcW w:w="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69,925</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w:t>
            </w:r>
          </w:p>
        </w:tc>
        <w:tc>
          <w:tcPr>
            <w:tcW w:w="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6,979</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58,272</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Total earning assets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76,288</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728,897</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3.87</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75,049</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740,665</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3.92</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74,667</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748,791</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56"/>
        </w:trPr>
        <w:tc>
          <w:tcPr>
            <w:tcW w:w="4740" w:type="dxa"/>
            <w:vAlign w:val="bottom"/>
            <w:gridSpan w:val="4"/>
          </w:tcPr>
          <w:p>
            <w:pPr>
              <w:spacing w:after="0" w:line="155" w:lineRule="exact"/>
              <w:rPr>
                <w:sz w:val="20"/>
                <w:szCs w:val="20"/>
                <w:color w:val="auto"/>
              </w:rPr>
            </w:pPr>
            <w:r>
              <w:rPr>
                <w:rFonts w:ascii="Arial" w:cs="Arial" w:eastAsia="Arial" w:hAnsi="Arial"/>
                <w:sz w:val="14"/>
                <w:szCs w:val="14"/>
                <w:color w:val="auto"/>
              </w:rPr>
              <w:t>Allowance for credit losses</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(923)</w:t>
            </w:r>
          </w:p>
        </w:tc>
        <w:tc>
          <w:tcPr>
            <w:tcW w:w="2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(925)</w:t>
            </w:r>
          </w:p>
        </w:tc>
        <w:tc>
          <w:tcPr>
            <w:tcW w:w="2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(935)</w:t>
            </w:r>
          </w:p>
        </w:tc>
        <w:tc>
          <w:tcPr>
            <w:tcW w:w="2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and due from banks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1,322</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1,417</w:t>
            </w: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1,374</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3"/>
                <w:szCs w:val="13"/>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9,978</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9,789</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8,905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86,665</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85,330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84,011</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Interest-bearing liabilities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tcPr>
          <w:p>
            <w:pPr>
              <w:spacing w:after="0" w:line="149" w:lineRule="exact"/>
              <w:rPr>
                <w:sz w:val="20"/>
                <w:szCs w:val="20"/>
                <w:color w:val="auto"/>
              </w:rPr>
            </w:pPr>
            <w:r>
              <w:rPr>
                <w:rFonts w:ascii="Arial" w:cs="Arial" w:eastAsia="Arial" w:hAnsi="Arial"/>
                <w:sz w:val="14"/>
                <w:szCs w:val="14"/>
                <w:color w:val="auto"/>
              </w:rPr>
              <w:t>Interest-bearing deposits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NOW accounts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311</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38,358</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11,601</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38,079</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13,388</w:t>
            </w: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.14</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36,990</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13,733</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Time deposits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3,460</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3,940</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3,617</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4,630</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.51</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3,928</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6,129</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Deposits at Cayman Islands office</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380</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2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4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392</w:t>
            </w:r>
          </w:p>
        </w:tc>
        <w:tc>
          <w:tcPr>
            <w:tcW w:w="2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40" w:type="dxa"/>
            <w:vAlign w:val="bottom"/>
          </w:tcPr>
          <w:p>
            <w:pPr>
              <w:spacing w:after="0"/>
              <w:rPr>
                <w:sz w:val="12"/>
                <w:szCs w:val="12"/>
                <w:color w:val="auto"/>
              </w:rPr>
            </w:pP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interest-bearing deposits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43,186</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16,046</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43,043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18,546</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42,234</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20,408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56"/>
        </w:trPr>
        <w:tc>
          <w:tcPr>
            <w:tcW w:w="4740" w:type="dxa"/>
            <w:vAlign w:val="bottom"/>
            <w:gridSpan w:val="4"/>
          </w:tcPr>
          <w:p>
            <w:pPr>
              <w:spacing w:after="0" w:line="155" w:lineRule="exact"/>
              <w:rPr>
                <w:sz w:val="20"/>
                <w:szCs w:val="20"/>
                <w:color w:val="auto"/>
              </w:rPr>
            </w:pPr>
            <w:r>
              <w:rPr>
                <w:rFonts w:ascii="Arial" w:cs="Arial" w:eastAsia="Arial" w:hAnsi="Arial"/>
                <w:sz w:val="14"/>
                <w:szCs w:val="14"/>
                <w:color w:val="auto"/>
              </w:rPr>
              <w:t>Short-term borrowings</w:t>
            </w: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w:t>
            </w:r>
          </w:p>
        </w:tc>
        <w:tc>
          <w:tcPr>
            <w:tcW w:w="2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.05</w:t>
            </w:r>
          </w:p>
        </w:tc>
        <w:tc>
          <w:tcPr>
            <w:tcW w:w="30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287</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.06</w:t>
            </w:r>
          </w:p>
        </w:tc>
        <w:tc>
          <w:tcPr>
            <w:tcW w:w="30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299</w:t>
            </w:r>
          </w:p>
        </w:tc>
        <w:tc>
          <w:tcPr>
            <w:tcW w:w="24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5,897</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50,441</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3.47</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5,009</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49,391</w:t>
            </w: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3.91</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5,010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49,112</w:t>
            </w: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gridSpan w:val="2"/>
          </w:tcPr>
          <w:p>
            <w:pPr>
              <w:ind w:left="380"/>
              <w:spacing w:after="0" w:line="155" w:lineRule="exact"/>
              <w:rPr>
                <w:sz w:val="20"/>
                <w:szCs w:val="20"/>
                <w:color w:val="auto"/>
              </w:rPr>
            </w:pPr>
            <w:r>
              <w:rPr>
                <w:rFonts w:ascii="Arial" w:cs="Arial" w:eastAsia="Arial" w:hAnsi="Arial"/>
                <w:sz w:val="14"/>
                <w:szCs w:val="14"/>
                <w:b w:val="1"/>
                <w:bCs w:val="1"/>
                <w:color w:val="auto"/>
              </w:rPr>
              <w:t>Total interest-bearing liabilities</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49,347</w:t>
            </w:r>
          </w:p>
        </w:tc>
        <w:tc>
          <w:tcPr>
            <w:tcW w:w="2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66,519</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48,339</w:t>
            </w:r>
          </w:p>
        </w:tc>
        <w:tc>
          <w:tcPr>
            <w:tcW w:w="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67,982</w:t>
            </w:r>
          </w:p>
        </w:tc>
        <w:tc>
          <w:tcPr>
            <w:tcW w:w="2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w:t>
            </w:r>
          </w:p>
        </w:tc>
        <w:tc>
          <w:tcPr>
            <w:tcW w:w="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47,543</w:t>
            </w:r>
          </w:p>
        </w:tc>
        <w:tc>
          <w:tcPr>
            <w:tcW w:w="2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69,578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Noninterest-bearing deposits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24,141</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24,169</w:t>
            </w: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23,998</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tcPr>
          <w:p>
            <w:pPr>
              <w:spacing w:after="0" w:line="149" w:lineRule="exact"/>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1,529</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1,713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1,589</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75,017</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74,221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73,130</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740" w:type="dxa"/>
            <w:vAlign w:val="bottom"/>
            <w:gridSpan w:val="4"/>
          </w:tcPr>
          <w:p>
            <w:pPr>
              <w:spacing w:after="0" w:line="155" w:lineRule="exact"/>
              <w:rPr>
                <w:sz w:val="20"/>
                <w:szCs w:val="20"/>
                <w:color w:val="auto"/>
              </w:rPr>
            </w:pPr>
            <w:r>
              <w:rPr>
                <w:rFonts w:ascii="Arial" w:cs="Arial" w:eastAsia="Arial" w:hAnsi="Arial"/>
                <w:sz w:val="14"/>
                <w:szCs w:val="14"/>
                <w:color w:val="auto"/>
              </w:rPr>
              <w:t>Shareholders’ equity</w:t>
            </w: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11,648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11,109</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10,881</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Total liabilities and shareholders’ equity</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u w:val="single" w:color="auto"/>
                <w:color w:val="auto"/>
                <w:w w:val="76"/>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86,665</w:t>
            </w: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85,330</w:t>
            </w: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84,011</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interest spread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3.32</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3.36</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line="20" w:lineRule="exact"/>
              <w:rPr>
                <w:sz w:val="1"/>
                <w:szCs w:val="1"/>
                <w:color w:val="auto"/>
              </w:rPr>
            </w:pPr>
          </w:p>
        </w:tc>
      </w:tr>
      <w:tr>
        <w:trPr>
          <w:trHeight w:val="143"/>
        </w:trPr>
        <w:tc>
          <w:tcPr>
            <w:tcW w:w="4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Contribution of interest-free funds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740" w:type="dxa"/>
            <w:vAlign w:val="bottom"/>
            <w:gridSpan w:val="4"/>
            <w:vMerge w:val="restart"/>
          </w:tcPr>
          <w:p>
            <w:pPr>
              <w:spacing w:after="0"/>
              <w:rPr>
                <w:sz w:val="20"/>
                <w:szCs w:val="20"/>
                <w:color w:val="auto"/>
              </w:rPr>
            </w:pPr>
            <w:r>
              <w:rPr>
                <w:rFonts w:ascii="Arial" w:cs="Arial" w:eastAsia="Arial" w:hAnsi="Arial"/>
                <w:sz w:val="14"/>
                <w:szCs w:val="14"/>
                <w:color w:val="auto"/>
              </w:rPr>
              <w:t>Net interest income/margin on earning assets</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4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662,378</w:t>
            </w:r>
          </w:p>
        </w:tc>
        <w:tc>
          <w:tcPr>
            <w:tcW w:w="240" w:type="dxa"/>
            <w:vAlign w:val="bottom"/>
            <w:vMerge w:val="continue"/>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3.52%</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w w:val="98"/>
              </w:rPr>
              <w:t>672,683</w:t>
            </w:r>
          </w:p>
        </w:tc>
        <w:tc>
          <w:tcPr>
            <w:tcW w:w="240" w:type="dxa"/>
            <w:vAlign w:val="bottom"/>
            <w:vMerge w:val="continue"/>
          </w:tcPr>
          <w:p>
            <w:pPr>
              <w:spacing w:after="0"/>
              <w:rPr>
                <w:sz w:val="13"/>
                <w:szCs w:val="13"/>
                <w:color w:val="auto"/>
              </w:rPr>
            </w:pPr>
          </w:p>
        </w:tc>
        <w:tc>
          <w:tcPr>
            <w:tcW w:w="7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679,213</w:t>
            </w:r>
          </w:p>
        </w:tc>
        <w:tc>
          <w:tcPr>
            <w:tcW w:w="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4540" w:type="dxa"/>
            <w:vAlign w:val="bottom"/>
            <w:gridSpan w:val="2"/>
          </w:tcPr>
          <w:p>
            <w:pPr>
              <w:ind w:left="220"/>
              <w:spacing w:after="0"/>
              <w:rPr>
                <w:sz w:val="20"/>
                <w:szCs w:val="20"/>
                <w:color w:val="auto"/>
              </w:rPr>
            </w:pPr>
            <w:r>
              <w:rPr>
                <w:rFonts w:ascii="Arial" w:cs="Arial" w:eastAsia="Arial" w:hAnsi="Arial"/>
                <w:sz w:val="18"/>
                <w:szCs w:val="18"/>
                <w:i w:val="1"/>
                <w:iCs w:val="1"/>
                <w:color w:val="auto"/>
              </w:rPr>
              <w:t>Includes nonaccrual loans.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- 88 -</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ind w:left="480"/>
              <w:spacing w:after="0"/>
              <w:rPr>
                <w:sz w:val="20"/>
                <w:szCs w:val="20"/>
                <w:color w:val="auto"/>
              </w:rPr>
            </w:pPr>
            <w:r>
              <w:rPr>
                <w:rFonts w:ascii="Arial" w:cs="Arial" w:eastAsia="Arial" w:hAnsi="Arial"/>
                <w:sz w:val="14"/>
                <w:szCs w:val="14"/>
                <w:color w:val="auto"/>
                <w:w w:val="95"/>
              </w:rPr>
              <w:t>2013 Second Quarter</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color w:val="auto"/>
                <w:w w:val="95"/>
              </w:rPr>
              <w:t>2013 First Quarter</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w w:val="99"/>
              </w:rPr>
              <w:t>Average</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w w:val="88"/>
              </w:rPr>
              <w:t>Average</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Average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7"/>
        </w:trPr>
        <w:tc>
          <w:tcPr>
            <w:tcW w:w="6200" w:type="dxa"/>
            <w:vAlign w:val="bottom"/>
            <w:gridSpan w:val="3"/>
            <w:vMerge w:val="continue"/>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color w:val="auto"/>
              </w:rPr>
              <w:t>Balance</w:t>
            </w:r>
          </w:p>
        </w:tc>
        <w:tc>
          <w:tcPr>
            <w:tcW w:w="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color w:val="auto"/>
              </w:rPr>
              <w:t>Interest</w:t>
            </w:r>
          </w:p>
        </w:tc>
        <w:tc>
          <w:tcPr>
            <w:tcW w:w="860" w:type="dxa"/>
            <w:vAlign w:val="bottom"/>
            <w:gridSpan w:val="2"/>
          </w:tcPr>
          <w:p>
            <w:pPr>
              <w:jc w:val="right"/>
              <w:ind w:right="500"/>
              <w:spacing w:after="0"/>
              <w:rPr>
                <w:sz w:val="20"/>
                <w:szCs w:val="20"/>
                <w:color w:val="auto"/>
              </w:rPr>
            </w:pPr>
            <w:r>
              <w:rPr>
                <w:rFonts w:ascii="Arial" w:cs="Arial" w:eastAsia="Arial" w:hAnsi="Arial"/>
                <w:sz w:val="14"/>
                <w:szCs w:val="14"/>
                <w:color w:val="auto"/>
              </w:rPr>
              <w:t>Rate</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Balance</w:t>
            </w:r>
          </w:p>
        </w:tc>
        <w:tc>
          <w:tcPr>
            <w:tcW w:w="2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color w:val="auto"/>
              </w:rPr>
              <w:t>Interest</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Commercial, financial, etc.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17,713</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$159,639</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17,328</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156,204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Real estate - commercial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26,051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311,111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25,915</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285,886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Real estate - consumer</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10,806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109,356</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4.05</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11,142</w:t>
            </w:r>
          </w:p>
        </w:tc>
        <w:tc>
          <w:tcPr>
            <w:tcW w:w="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113,939</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11,409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130,418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11,467</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131,811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loans and leases,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65,979</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710,524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65,852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687,840</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267</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28,454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28,869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2,530</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2,573</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1,574</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13,106</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16,168</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Total investment securities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47,610</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earning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73,960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756,424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72,339</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736,425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300" w:type="dxa"/>
            <w:vAlign w:val="bottom"/>
            <w:gridSpan w:val="2"/>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9,003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83,352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81,913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NOW accounts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36,459</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13,790</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35,394</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14,037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7,484</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8,196</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ind w:left="34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326</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388</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41,936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21,795</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41,584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22,943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5,051</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50,729</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50,751</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gridSpan w:val="2"/>
          </w:tcPr>
          <w:p>
            <w:pPr>
              <w:ind w:left="70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47,330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46,909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73,925</w:t>
            </w:r>
          </w:p>
        </w:tc>
        <w:tc>
          <w:tcPr>
            <w:tcW w:w="3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23,744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22,956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72,789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71,591</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10,563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10,322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83,352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81,913</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Net interest spread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3.48</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line="20" w:lineRule="exact"/>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683,804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662,500</w:t>
            </w:r>
          </w:p>
        </w:tc>
        <w:tc>
          <w:tcPr>
            <w:tcW w:w="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17" w:lineRule="exact"/>
        <w:rPr>
          <w:sz w:val="20"/>
          <w:szCs w:val="20"/>
          <w:color w:val="auto"/>
        </w:rPr>
      </w:pPr>
    </w:p>
    <w:p>
      <w:pPr>
        <w:ind w:right="1060" w:firstLine="913"/>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right="40" w:firstLine="921"/>
        <w:spacing w:after="0" w:line="312" w:lineRule="auto"/>
        <w:tabs>
          <w:tab w:leader="none" w:pos="1158"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March 31, 2014.</w:t>
      </w:r>
    </w:p>
    <w:p>
      <w:pPr>
        <w:spacing w:after="0" w:line="38" w:lineRule="exact"/>
        <w:rPr>
          <w:rFonts w:ascii="Arial" w:cs="Arial" w:eastAsia="Arial" w:hAnsi="Arial"/>
          <w:sz w:val="16"/>
          <w:szCs w:val="16"/>
          <w:color w:val="auto"/>
        </w:rPr>
      </w:pPr>
    </w:p>
    <w:p>
      <w:pPr>
        <w:ind w:right="100" w:firstLine="921"/>
        <w:spacing w:after="0" w:line="279" w:lineRule="auto"/>
        <w:tabs>
          <w:tab w:leader="none" w:pos="11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March 31, 2014 that have materially affected, or are reasonably likely to materially affect, M&amp;T’s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On an on-going basis management, after consultation with legal counsel, assesses the Company’s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Wilmington Trust Corporation Investigative and Litigation Matters</w:t>
      </w:r>
    </w:p>
    <w:p>
      <w:pPr>
        <w:spacing w:after="0" w:line="11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M&amp;T’s Wilmington Trust Corporation (“Wilmington Trust”) subsidiary is the subject of certain governmental investigations arising from actions undertaken by Wilmington Trust prior to M&amp;T’s acquisition of Wilmington Trust and its subsidiaries, as set forth below.</w:t>
      </w:r>
    </w:p>
    <w:p>
      <w:pPr>
        <w:spacing w:after="0" w:line="62"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i w:val="1"/>
          <w:iCs w:val="1"/>
          <w:color w:val="auto"/>
        </w:rPr>
        <w:t xml:space="preserve">SEC Investigation: </w:t>
      </w:r>
      <w:r>
        <w:rPr>
          <w:rFonts w:ascii="Arial" w:cs="Arial" w:eastAsia="Arial" w:hAnsi="Arial"/>
          <w:sz w:val="17"/>
          <w:szCs w:val="17"/>
          <w:color w:val="auto"/>
        </w:rPr>
        <w:t>Prior to M&amp;T’s acquisition of Wilmington Trust, the Securities and Exchange Commission (“SEC”) commenced 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investigation of Wilmington Trust, relating to the financial reporting and securities filings of Wilmington Trust prior to its acquisition by M&amp;T. Counsel for Wilmington Trust has met with the SEC to discuss the investigation and its possible resolution. On August 5, 2013, the SEC issued a Wells Notice to Wilmington Trust. On September 20, 2013, Wilmington Trust filed a Wells submission. The SEC investigation is ongoing.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i w:val="1"/>
          <w:iCs w:val="1"/>
          <w:color w:val="auto"/>
        </w:rPr>
        <w:t xml:space="preserve">DOJ Investigation: </w:t>
      </w:r>
      <w:r>
        <w:rPr>
          <w:rFonts w:ascii="Arial" w:cs="Arial" w:eastAsia="Arial" w:hAnsi="Arial"/>
          <w:sz w:val="17"/>
          <w:szCs w:val="17"/>
          <w:color w:val="auto"/>
        </w:rPr>
        <w:t>Prior to M&amp;T’s acquisition of Wilmington Trust, the Department of Justice (“DOJ”) also commenced an investigation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Wilmington Trust, relating to Wilmington Trust’s financial reporting and securities filings, as well as certain commercial real estate lending relationships involving its subsidiary bank, Wilmington Trust Company, all of which relate to filings and activities occurring prior to the acquisition of Wilmington Trust by M&amp;T. Counsel for Wilmington Trust has met with the DOJ to discuss the DOJ investigation. The DOJ investigation is ongoing.</w:t>
      </w:r>
    </w:p>
    <w:p>
      <w:pPr>
        <w:spacing w:after="0" w:line="63" w:lineRule="exact"/>
        <w:rPr>
          <w:sz w:val="20"/>
          <w:szCs w:val="20"/>
          <w:color w:val="auto"/>
        </w:rPr>
      </w:pPr>
    </w:p>
    <w:p>
      <w:pPr>
        <w:ind w:right="820" w:firstLine="913"/>
        <w:spacing w:after="0" w:line="308" w:lineRule="auto"/>
        <w:rPr>
          <w:sz w:val="20"/>
          <w:szCs w:val="20"/>
          <w:color w:val="auto"/>
        </w:rPr>
      </w:pPr>
      <w:r>
        <w:rPr>
          <w:rFonts w:ascii="Arial" w:cs="Arial" w:eastAsia="Arial" w:hAnsi="Arial"/>
          <w:sz w:val="17"/>
          <w:szCs w:val="17"/>
          <w:color w:val="auto"/>
        </w:rPr>
        <w:t>Either of these investigations could lead to administrative or legal proceedings resulting in potential civil and/or criminal remedies, or settlements, including, among other things, enforcement actions, fines, penalties, restitution or additional costs and expenses.</w:t>
      </w:r>
    </w:p>
    <w:p>
      <w:pPr>
        <w:spacing w:after="0" w:line="38"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i w:val="1"/>
          <w:iCs w:val="1"/>
          <w:color w:val="auto"/>
        </w:rPr>
        <w:t xml:space="preserve">In Re Wilmington Trust Securities Litigation (U.S. Districts Court, District of Delaware, Case No. 10-CV-0990-SLR): </w:t>
      </w:r>
      <w:r>
        <w:rPr>
          <w:rFonts w:ascii="Arial" w:cs="Arial" w:eastAsia="Arial" w:hAnsi="Arial"/>
          <w:sz w:val="16"/>
          <w:szCs w:val="16"/>
          <w:color w:val="auto"/>
        </w:rPr>
        <w:t>Beginning on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18, 2010, a series of parties, purporting to be class representatives, commenced a putative class action lawsuit against Wilmington Trust, alleging that Wilmington Trust’s financial reporting and securities filings were in violation of securities laws. The cases were consolidated and Wilmington Trust moved to dismiss. On March 29, 2012, the Court granted Wilmington Trust’s motion to dismiss in its entirety, but allowed plaintiffs to re-file their Complaint. Plaintiffs subsequently filed a Second Amended Complaint and a Third Amended Complaint. On June 11, 2013, plaintiffs filed a motion to serve a Fourth Amended Complaint, which was granted, and the Fourth Amended Complaint was filed. On July 17, 2013, Wilmington Trust filed a motion to dismiss the Fourth Amended Complaint. The Court issued an order denying Wilmington Trust’s motion to dismiss on March 20, 2014. The case will proceed with discovery.</w:t>
      </w:r>
    </w:p>
    <w:p>
      <w:pPr>
        <w:spacing w:after="0" w:line="16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Due to their complex nature, it is difficult to estimate when litigation and investigatory matters such as these may be resolved. As set forth in the introductory paragraph to this Item 1 – Legal Proceedings, current litigation and regulatory matters which the Company is subject to, including those involving Wilmington Trust-related entities, although not currently considered probable, are within a range of reasonably possible losses for such matters in the aggregate, beyond the existing recorded liability, and are included in the range of reasonably possible losses set forth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1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2013.</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17" w:lineRule="exact"/>
        <w:rPr>
          <w:sz w:val="20"/>
          <w:szCs w:val="20"/>
          <w:color w:val="auto"/>
        </w:rPr>
      </w:pPr>
    </w:p>
    <w:p>
      <w:pPr>
        <w:ind w:left="1160" w:hanging="23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(b) Not applicable.</w:t>
      </w:r>
    </w:p>
    <w:p>
      <w:pPr>
        <w:spacing w:after="0" w:line="117" w:lineRule="exact"/>
        <w:rPr>
          <w:rFonts w:ascii="Arial" w:cs="Arial" w:eastAsia="Arial" w:hAnsi="Arial"/>
          <w:sz w:val="18"/>
          <w:szCs w:val="18"/>
          <w:color w:val="auto"/>
        </w:rPr>
      </w:pPr>
    </w:p>
    <w:p>
      <w:pPr>
        <w:spacing w:after="0"/>
        <w:tabs>
          <w:tab w:leader="none" w:pos="0" w:val="left"/>
        </w:tabs>
        <w:numPr>
          <w:ilvl w:val="0"/>
          <w:numId w:val="33"/>
        </w:numPr>
        <w:rPr>
          <w:rFonts w:ascii="Arial" w:cs="Arial" w:eastAsia="Arial" w:hAnsi="Arial"/>
          <w:sz w:val="18"/>
          <w:szCs w:val="18"/>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Issuer Purchases of Equity Securities</w:t>
      </w:r>
    </w:p>
    <w:p>
      <w:pPr>
        <w:spacing w:after="0" w:line="20" w:lineRule="exact"/>
        <w:rPr>
          <w:sz w:val="20"/>
          <w:szCs w:val="20"/>
          <w:color w:val="auto"/>
        </w:rPr>
      </w:pPr>
    </w:p>
    <w:tbl>
      <w:tblPr>
        <w:tblLayout w:type="fixed"/>
        <w:tblInd w:w="460" w:type="dxa"/>
        <w:tblCellMar>
          <w:top w:w="0" w:type="dxa"/>
          <w:left w:w="0" w:type="dxa"/>
          <w:bottom w:w="0" w:type="dxa"/>
          <w:right w:w="0" w:type="dxa"/>
        </w:tblCellMar>
      </w:tblPr>
      <w:tr>
        <w:trPr>
          <w:trHeight w:val="123"/>
        </w:trPr>
        <w:tc>
          <w:tcPr>
            <w:tcW w:w="380" w:type="dxa"/>
            <w:vAlign w:val="bottom"/>
            <w:tcBorders>
              <w:top w:val="single" w:sz="8" w:color="auto"/>
            </w:tcBorders>
          </w:tcPr>
          <w:p>
            <w:pPr>
              <w:spacing w:after="0"/>
              <w:rPr>
                <w:sz w:val="10"/>
                <w:szCs w:val="10"/>
                <w:color w:val="auto"/>
              </w:rPr>
            </w:pPr>
          </w:p>
        </w:tc>
        <w:tc>
          <w:tcPr>
            <w:tcW w:w="56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(d) 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(c) Total</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Dollar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4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6"/>
              </w:rPr>
              <w:t>Purchased</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(a) Total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0"/>
              </w:rPr>
              <w:t>as Part of</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460" w:type="dxa"/>
            <w:vAlign w:val="bottom"/>
          </w:tcPr>
          <w:p>
            <w:pPr>
              <w:spacing w:after="0"/>
              <w:rPr>
                <w:sz w:val="12"/>
                <w:szCs w:val="12"/>
                <w:color w:val="auto"/>
              </w:rPr>
            </w:pP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w w:val="90"/>
              </w:rPr>
              <w:t>(b) Average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9"/>
              </w:rPr>
              <w:t>Publicly</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460" w:type="dxa"/>
            <w:vAlign w:val="bottom"/>
          </w:tcPr>
          <w:p>
            <w:pPr>
              <w:spacing w:after="0"/>
              <w:rPr>
                <w:sz w:val="12"/>
                <w:szCs w:val="12"/>
                <w:color w:val="auto"/>
              </w:rPr>
            </w:pPr>
          </w:p>
        </w:tc>
        <w:tc>
          <w:tcPr>
            <w:tcW w:w="11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3"/>
              </w:rPr>
              <w:t>Price Paid</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Announced</w:t>
            </w:r>
          </w:p>
        </w:tc>
        <w:tc>
          <w:tcPr>
            <w:tcW w:w="4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62"/>
        </w:trPr>
        <w:tc>
          <w:tcPr>
            <w:tcW w:w="60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800" w:type="dxa"/>
            <w:vAlign w:val="bottom"/>
          </w:tcPr>
          <w:p>
            <w:pPr>
              <w:jc w:val="center"/>
              <w:spacing w:after="0"/>
              <w:rPr>
                <w:sz w:val="20"/>
                <w:szCs w:val="20"/>
                <w:color w:val="auto"/>
              </w:rPr>
            </w:pPr>
            <w:r>
              <w:rPr>
                <w:rFonts w:ascii="Arial" w:cs="Arial" w:eastAsia="Arial" w:hAnsi="Arial"/>
                <w:sz w:val="14"/>
                <w:szCs w:val="14"/>
                <w:color w:val="auto"/>
              </w:rPr>
              <w:t>(or Units)</w:t>
            </w:r>
          </w:p>
        </w:tc>
        <w:tc>
          <w:tcPr>
            <w:tcW w:w="46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color w:val="auto"/>
                <w:w w:val="91"/>
              </w:rPr>
              <w:t>per Share</w:t>
            </w: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Plans or</w:t>
            </w:r>
          </w:p>
        </w:tc>
        <w:tc>
          <w:tcPr>
            <w:tcW w:w="4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67"/>
        </w:trPr>
        <w:tc>
          <w:tcPr>
            <w:tcW w:w="604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Purchased (1)</w:t>
            </w:r>
          </w:p>
        </w:tc>
        <w:tc>
          <w:tcPr>
            <w:tcW w:w="460" w:type="dxa"/>
            <w:vAlign w:val="bottom"/>
          </w:tcPr>
          <w:p>
            <w:pPr>
              <w:spacing w:after="0"/>
              <w:rPr>
                <w:sz w:val="14"/>
                <w:szCs w:val="14"/>
                <w:color w:val="auto"/>
              </w:rPr>
            </w:pPr>
          </w:p>
        </w:tc>
        <w:tc>
          <w:tcPr>
            <w:tcW w:w="1140" w:type="dxa"/>
            <w:vAlign w:val="bottom"/>
            <w:gridSpan w:val="3"/>
          </w:tcPr>
          <w:p>
            <w:pPr>
              <w:jc w:val="center"/>
              <w:ind w:right="460"/>
              <w:spacing w:after="0"/>
              <w:rPr>
                <w:sz w:val="20"/>
                <w:szCs w:val="20"/>
                <w:color w:val="auto"/>
              </w:rPr>
            </w:pPr>
            <w:r>
              <w:rPr>
                <w:rFonts w:ascii="Arial" w:cs="Arial" w:eastAsia="Arial" w:hAnsi="Arial"/>
                <w:sz w:val="14"/>
                <w:szCs w:val="14"/>
                <w:color w:val="auto"/>
              </w:rPr>
              <w:t>(or Unit)</w:t>
            </w: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Programs</w:t>
            </w:r>
          </w:p>
        </w:tc>
        <w:tc>
          <w:tcPr>
            <w:tcW w:w="48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 January 31, 2014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180,753</w:t>
            </w:r>
          </w:p>
        </w:tc>
        <w:tc>
          <w:tcPr>
            <w:tcW w:w="4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111.79</w:t>
            </w:r>
          </w:p>
        </w:tc>
        <w:tc>
          <w:tcPr>
            <w:tcW w:w="4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2,181,500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February 1 – February 28, 2014</w:t>
            </w:r>
          </w:p>
        </w:tc>
        <w:tc>
          <w:tcPr>
            <w:tcW w:w="800" w:type="dxa"/>
            <w:vAlign w:val="bottom"/>
          </w:tcPr>
          <w:p>
            <w:pPr>
              <w:jc w:val="right"/>
              <w:spacing w:after="0"/>
              <w:rPr>
                <w:sz w:val="20"/>
                <w:szCs w:val="20"/>
                <w:color w:val="auto"/>
              </w:rPr>
            </w:pPr>
            <w:r>
              <w:rPr>
                <w:rFonts w:ascii="Arial" w:cs="Arial" w:eastAsia="Arial" w:hAnsi="Arial"/>
                <w:sz w:val="18"/>
                <w:szCs w:val="18"/>
                <w:color w:val="auto"/>
              </w:rPr>
              <w:t>5,784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115.59</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 March 31, 2014</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118.33</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189,172</w:t>
            </w:r>
          </w:p>
        </w:tc>
        <w:tc>
          <w:tcPr>
            <w:tcW w:w="4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111.99</w:t>
            </w:r>
          </w:p>
        </w:tc>
        <w:tc>
          <w:tcPr>
            <w:tcW w:w="460" w:type="dxa"/>
            <w:vAlign w:val="bottom"/>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80" w:hanging="572"/>
        <w:spacing w:after="0" w:line="311" w:lineRule="auto"/>
        <w:tabs>
          <w:tab w:leader="none" w:pos="58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The total number of shares purchased during the periods indicated reflects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53" w:lineRule="exact"/>
        <w:rPr>
          <w:rFonts w:ascii="Arial" w:cs="Arial" w:eastAsia="Arial" w:hAnsi="Arial"/>
          <w:sz w:val="16"/>
          <w:szCs w:val="16"/>
          <w:i w:val="1"/>
          <w:iCs w:val="1"/>
          <w:color w:val="auto"/>
        </w:rPr>
      </w:pPr>
    </w:p>
    <w:p>
      <w:pPr>
        <w:ind w:left="580" w:right="140" w:hanging="572"/>
        <w:spacing w:after="0" w:line="277" w:lineRule="auto"/>
        <w:tabs>
          <w:tab w:leader="none" w:pos="58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center"/>
        <w:ind w:right="8940"/>
        <w:spacing w:after="0"/>
        <w:rPr>
          <w:sz w:val="20"/>
          <w:szCs w:val="20"/>
          <w:color w:val="auto"/>
        </w:rPr>
      </w:pPr>
      <w:r>
        <w:rPr>
          <w:rFonts w:ascii="Arial" w:cs="Arial" w:eastAsia="Arial" w:hAnsi="Arial"/>
          <w:sz w:val="16"/>
          <w:szCs w:val="16"/>
          <w:color w:val="auto"/>
        </w:rPr>
        <w:t>Item 4. Mine Safety Disclosures.</w:t>
      </w:r>
    </w:p>
    <w:p>
      <w:pPr>
        <w:spacing w:after="0" w:line="140" w:lineRule="exact"/>
        <w:rPr>
          <w:sz w:val="20"/>
          <w:szCs w:val="20"/>
          <w:color w:val="auto"/>
        </w:rPr>
      </w:pPr>
    </w:p>
    <w:p>
      <w:pPr>
        <w:jc w:val="center"/>
        <w:ind w:right="89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320"/>
          </w:cols>
          <w:pgMar w:left="24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0520" w:type="dxa"/>
            <w:vAlign w:val="bottom"/>
          </w:tcPr>
          <w:p>
            <w:pPr>
              <w:ind w:left="22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405"/>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10520" w:type="dxa"/>
            <w:vAlign w:val="bottom"/>
          </w:tcPr>
          <w:p>
            <w:pPr>
              <w:spacing w:after="0"/>
              <w:rPr>
                <w:sz w:val="24"/>
                <w:szCs w:val="24"/>
                <w:color w:val="auto"/>
              </w:rPr>
            </w:pPr>
          </w:p>
        </w:tc>
      </w:tr>
      <w:tr>
        <w:trPr>
          <w:trHeight w:val="290"/>
        </w:trPr>
        <w:tc>
          <w:tcPr>
            <w:tcW w:w="6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520" w:type="dxa"/>
            <w:vAlign w:val="bottom"/>
          </w:tcPr>
          <w:p>
            <w:pPr>
              <w:ind w:left="460"/>
              <w:spacing w:after="0"/>
              <w:rPr>
                <w:sz w:val="20"/>
                <w:szCs w:val="20"/>
                <w:color w:val="auto"/>
              </w:rPr>
            </w:pPr>
            <w:r>
              <w:rPr>
                <w:rFonts w:ascii="Arial" w:cs="Arial" w:eastAsia="Arial" w:hAnsi="Arial"/>
                <w:sz w:val="18"/>
                <w:szCs w:val="18"/>
                <w:color w:val="auto"/>
                <w:w w:val="95"/>
              </w:rPr>
              <w:t>M&amp;T Bank Corporation Form of Performance-Vested Restricted Stock Unit Award Agreement (for named executive officers (“NEOs”)</w:t>
            </w:r>
          </w:p>
        </w:tc>
      </w:tr>
      <w:tr>
        <w:trPr>
          <w:trHeight w:val="230"/>
        </w:trPr>
        <w:tc>
          <w:tcPr>
            <w:tcW w:w="680" w:type="dxa"/>
            <w:vAlign w:val="bottom"/>
          </w:tcPr>
          <w:p>
            <w:pPr>
              <w:spacing w:after="0"/>
              <w:rPr>
                <w:sz w:val="20"/>
                <w:szCs w:val="20"/>
                <w:color w:val="auto"/>
              </w:rPr>
            </w:pPr>
          </w:p>
        </w:tc>
        <w:tc>
          <w:tcPr>
            <w:tcW w:w="10520" w:type="dxa"/>
            <w:vAlign w:val="bottom"/>
          </w:tcPr>
          <w:p>
            <w:pPr>
              <w:ind w:left="460"/>
              <w:spacing w:after="0"/>
              <w:rPr>
                <w:sz w:val="20"/>
                <w:szCs w:val="20"/>
                <w:color w:val="auto"/>
              </w:rPr>
            </w:pPr>
            <w:r>
              <w:rPr>
                <w:rFonts w:ascii="Arial" w:cs="Arial" w:eastAsia="Arial" w:hAnsi="Arial"/>
                <w:sz w:val="18"/>
                <w:szCs w:val="18"/>
                <w:color w:val="auto"/>
              </w:rPr>
              <w:t>subject to Section 162 (m) of the Internal Revenue Code of 1986, as amended from time to time).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52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520" w:type="dxa"/>
            <w:vAlign w:val="bottom"/>
          </w:tcPr>
          <w:p>
            <w:pPr>
              <w:ind w:left="460"/>
              <w:spacing w:after="0"/>
              <w:rPr>
                <w:sz w:val="20"/>
                <w:szCs w:val="20"/>
                <w:color w:val="auto"/>
              </w:rPr>
            </w:pPr>
            <w:r>
              <w:rPr>
                <w:rFonts w:ascii="Arial" w:cs="Arial" w:eastAsia="Arial" w:hAnsi="Arial"/>
                <w:sz w:val="18"/>
                <w:szCs w:val="18"/>
                <w:color w:val="auto"/>
                <w:w w:val="91"/>
              </w:rPr>
              <w:t>Certification of Chief Executive Officer under 18 U.S.C. §1350 pursuant to Section 906 of the Sarbanes-Oxley Act of 2002.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520" w:type="dxa"/>
            <w:vAlign w:val="bottom"/>
          </w:tcPr>
          <w:p>
            <w:pPr>
              <w:ind w:left="460"/>
              <w:spacing w:after="0"/>
              <w:rPr>
                <w:sz w:val="20"/>
                <w:szCs w:val="20"/>
                <w:color w:val="auto"/>
              </w:rPr>
            </w:pPr>
            <w:r>
              <w:rPr>
                <w:rFonts w:ascii="Arial" w:cs="Arial" w:eastAsia="Arial" w:hAnsi="Arial"/>
                <w:sz w:val="18"/>
                <w:szCs w:val="18"/>
                <w:color w:val="auto"/>
                <w:w w:val="92"/>
              </w:rPr>
              <w:t>Certification of Chief Financial Officer under 18 U.S.C. §1350 pursuant to Section 906 of the Sarbanes-Oxley Act of 2002.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Schema.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68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10520" w:type="dxa"/>
            <w:vAlign w:val="bottom"/>
          </w:tcPr>
          <w:p>
            <w:pPr>
              <w:ind w:left="460"/>
              <w:spacing w:after="0"/>
              <w:rPr>
                <w:sz w:val="20"/>
                <w:szCs w:val="20"/>
                <w:color w:val="auto"/>
              </w:rPr>
            </w:pPr>
            <w:r>
              <w:rPr>
                <w:rFonts w:ascii="Arial" w:cs="Arial" w:eastAsia="Arial" w:hAnsi="Arial"/>
                <w:sz w:val="18"/>
                <w:szCs w:val="18"/>
                <w:color w:val="auto"/>
              </w:rPr>
              <w:t>XBRL Taxonomy Definition Linkbase. Filed herewith.</w:t>
            </w:r>
          </w:p>
        </w:tc>
      </w:tr>
      <w:tr>
        <w:trPr>
          <w:trHeight w:val="365"/>
        </w:trPr>
        <w:tc>
          <w:tcPr>
            <w:tcW w:w="680" w:type="dxa"/>
            <w:vAlign w:val="bottom"/>
          </w:tcPr>
          <w:p>
            <w:pPr>
              <w:spacing w:after="0"/>
              <w:rPr>
                <w:sz w:val="24"/>
                <w:szCs w:val="24"/>
                <w:color w:val="auto"/>
              </w:rPr>
            </w:pPr>
          </w:p>
        </w:tc>
        <w:tc>
          <w:tcPr>
            <w:tcW w:w="10520" w:type="dxa"/>
            <w:vAlign w:val="bottom"/>
          </w:tcPr>
          <w:p>
            <w:pPr>
              <w:ind w:left="4820"/>
              <w:spacing w:after="0"/>
              <w:rPr>
                <w:sz w:val="20"/>
                <w:szCs w:val="20"/>
                <w:color w:val="auto"/>
              </w:rPr>
            </w:pPr>
            <w:r>
              <w:rPr>
                <w:rFonts w:ascii="Arial" w:cs="Arial" w:eastAsia="Arial" w:hAnsi="Arial"/>
                <w:sz w:val="18"/>
                <w:szCs w:val="18"/>
                <w:color w:val="auto"/>
              </w:rPr>
              <w:t>- 93 -</w:t>
            </w:r>
          </w:p>
        </w:tc>
      </w:tr>
    </w:tbl>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M&amp;T BANK CORPORATION</w:t>
            </w:r>
          </w:p>
        </w:tc>
      </w:tr>
      <w:tr>
        <w:trPr>
          <w:trHeight w:val="432"/>
        </w:trPr>
        <w:tc>
          <w:tcPr>
            <w:tcW w:w="5900" w:type="dxa"/>
            <w:vAlign w:val="bottom"/>
            <w:gridSpan w:val="3"/>
          </w:tcPr>
          <w:p>
            <w:pPr>
              <w:spacing w:after="0"/>
              <w:rPr>
                <w:sz w:val="20"/>
                <w:szCs w:val="20"/>
                <w:color w:val="auto"/>
              </w:rPr>
            </w:pPr>
            <w:r>
              <w:rPr>
                <w:rFonts w:ascii="Arial" w:cs="Arial" w:eastAsia="Arial" w:hAnsi="Arial"/>
                <w:sz w:val="18"/>
                <w:szCs w:val="18"/>
                <w:color w:val="auto"/>
              </w:rPr>
              <w:t>Date: May 7, 2014</w:t>
            </w:r>
          </w:p>
        </w:tc>
        <w:tc>
          <w:tcPr>
            <w:tcW w:w="5520" w:type="dxa"/>
            <w:vAlign w:val="bottom"/>
            <w:gridSpan w:val="2"/>
          </w:tcPr>
          <w:p>
            <w:pPr>
              <w:spacing w:after="0"/>
              <w:rPr>
                <w:sz w:val="20"/>
                <w:szCs w:val="20"/>
                <w:color w:val="auto"/>
              </w:rPr>
            </w:pPr>
            <w:r>
              <w:rPr>
                <w:rFonts w:ascii="Arial" w:cs="Arial" w:eastAsia="Arial" w:hAnsi="Arial"/>
                <w:sz w:val="18"/>
                <w:szCs w:val="18"/>
                <w:color w:val="auto"/>
              </w:rPr>
              <w:t>By:  /s/ René F. Jones</w:t>
            </w: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René F. Jones</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Executive Vice President and Chief Financial Officer</w:t>
            </w:r>
          </w:p>
        </w:tc>
      </w:tr>
      <w:tr>
        <w:trPr>
          <w:trHeight w:val="4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720" w:type="dxa"/>
            <w:vAlign w:val="bottom"/>
            <w:gridSpan w:val="3"/>
          </w:tcPr>
          <w:p>
            <w:pPr>
              <w:ind w:left="4360"/>
              <w:spacing w:after="0"/>
              <w:rPr>
                <w:sz w:val="20"/>
                <w:szCs w:val="20"/>
                <w:color w:val="auto"/>
              </w:rPr>
            </w:pPr>
            <w:r>
              <w:rPr>
                <w:rFonts w:ascii="Arial" w:cs="Arial" w:eastAsia="Arial" w:hAnsi="Arial"/>
                <w:sz w:val="18"/>
                <w:szCs w:val="18"/>
                <w:color w:val="auto"/>
              </w:rPr>
              <w:t>EXHIBIT INDEX</w:t>
            </w:r>
          </w:p>
        </w:tc>
      </w:tr>
      <w:tr>
        <w:trPr>
          <w:trHeight w:val="405"/>
        </w:trPr>
        <w:tc>
          <w:tcPr>
            <w:tcW w:w="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Exhibit No.</w:t>
            </w:r>
          </w:p>
        </w:tc>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290"/>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w w:val="97"/>
              </w:rPr>
              <w:t>M&amp;T Bank Corporation Form of Performance-Vested Restricted Stock Unit Award Agreement (for named executive officers (“NEOs”)</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rPr>
              <w:t>subject to Section 162 (m) of the Internal Revenue Code of 1986, as amended from time to time). Filed herewith.</w:t>
            </w:r>
          </w:p>
        </w:tc>
      </w:tr>
      <w:tr>
        <w:trPr>
          <w:trHeight w:val="324"/>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w w:val="93"/>
              </w:rPr>
              <w:t>Certification of Chief Executive Officer under 18 U.S.C. §1350 pursuant to Section 906 of the Sarbanes-Oxley Act of 2002. Filed herewith.</w:t>
            </w:r>
          </w:p>
        </w:tc>
      </w:tr>
      <w:tr>
        <w:trPr>
          <w:trHeight w:val="324"/>
        </w:trPr>
        <w:tc>
          <w:tcPr>
            <w:tcW w:w="70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w w:val="94"/>
              </w:rPr>
              <w:t>Certification of Chief Financial Officer under 18 U.S.C. §1350 pursuant to Section 906 of the Sarbanes-Oxley Act of 2002. Filed herewith.</w:t>
            </w:r>
          </w:p>
        </w:tc>
      </w:tr>
      <w:tr>
        <w:trPr>
          <w:trHeight w:val="324"/>
        </w:trPr>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5200" w:type="dxa"/>
            <w:vAlign w:val="bottom"/>
          </w:tcPr>
          <w:p>
            <w:pPr>
              <w:ind w:left="460"/>
              <w:spacing w:after="0"/>
              <w:rPr>
                <w:sz w:val="20"/>
                <w:szCs w:val="20"/>
                <w:color w:val="auto"/>
              </w:rPr>
            </w:pPr>
            <w:r>
              <w:rPr>
                <w:rFonts w:ascii="Arial" w:cs="Arial" w:eastAsia="Arial" w:hAnsi="Arial"/>
                <w:sz w:val="18"/>
                <w:szCs w:val="18"/>
                <w:color w:val="auto"/>
              </w:rPr>
              <w:t>XBRL Instance Document. Filed herewith.</w:t>
            </w: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5200" w:type="dxa"/>
            <w:vAlign w:val="bottom"/>
          </w:tcPr>
          <w:p>
            <w:pPr>
              <w:ind w:left="460"/>
              <w:spacing w:after="0"/>
              <w:rPr>
                <w:sz w:val="20"/>
                <w:szCs w:val="20"/>
                <w:color w:val="auto"/>
              </w:rPr>
            </w:pPr>
            <w:r>
              <w:rPr>
                <w:rFonts w:ascii="Arial" w:cs="Arial" w:eastAsia="Arial" w:hAnsi="Arial"/>
                <w:sz w:val="18"/>
                <w:szCs w:val="18"/>
                <w:color w:val="auto"/>
              </w:rPr>
              <w:t>XBRL Taxonomy Extension Schema. Filed herewith.</w:t>
            </w: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200" w:type="dxa"/>
            <w:vAlign w:val="bottom"/>
          </w:tcPr>
          <w:p>
            <w:pPr>
              <w:ind w:left="460"/>
              <w:spacing w:after="0"/>
              <w:rPr>
                <w:sz w:val="20"/>
                <w:szCs w:val="20"/>
                <w:color w:val="auto"/>
              </w:rPr>
            </w:pPr>
            <w:r>
              <w:rPr>
                <w:rFonts w:ascii="Arial" w:cs="Arial" w:eastAsia="Arial" w:hAnsi="Arial"/>
                <w:sz w:val="18"/>
                <w:szCs w:val="18"/>
                <w:color w:val="auto"/>
                <w:w w:val="99"/>
              </w:rPr>
              <w:t>XBRL Taxonomy Extension Label Linkbase. Filed herewith.</w:t>
            </w: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072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5200" w:type="dxa"/>
            <w:vAlign w:val="bottom"/>
          </w:tcPr>
          <w:p>
            <w:pPr>
              <w:ind w:left="460"/>
              <w:spacing w:after="0"/>
              <w:rPr>
                <w:sz w:val="20"/>
                <w:szCs w:val="20"/>
                <w:color w:val="auto"/>
              </w:rPr>
            </w:pPr>
            <w:r>
              <w:rPr>
                <w:rFonts w:ascii="Arial" w:cs="Arial" w:eastAsia="Arial" w:hAnsi="Arial"/>
                <w:sz w:val="18"/>
                <w:szCs w:val="18"/>
                <w:color w:val="auto"/>
              </w:rPr>
              <w:t>XBRL Taxonomy Definition Linkbase. Filed herewith.</w:t>
            </w: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0" w:type="dxa"/>
            <w:vAlign w:val="bottom"/>
          </w:tcPr>
          <w:p>
            <w:pPr>
              <w:ind w:left="4820"/>
              <w:spacing w:after="0"/>
              <w:rPr>
                <w:sz w:val="20"/>
                <w:szCs w:val="20"/>
                <w:color w:val="auto"/>
              </w:rPr>
            </w:pPr>
            <w:r>
              <w:rPr>
                <w:rFonts w:ascii="Arial" w:cs="Arial" w:eastAsia="Arial" w:hAnsi="Arial"/>
                <w:sz w:val="18"/>
                <w:szCs w:val="18"/>
                <w:color w:val="auto"/>
                <w:w w:val="85"/>
              </w:rPr>
              <w:t>- 94 -</w:t>
            </w:r>
          </w:p>
        </w:tc>
        <w:tc>
          <w:tcPr>
            <w:tcW w:w="28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2009 EQUITY INCENTIVE COMPENSATION PLAN</w:t>
      </w:r>
    </w:p>
    <w:p>
      <w:pPr>
        <w:spacing w:after="0" w:line="211"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PERFORMANCE-VESTED RESTRICTED STOCK UNIT AWARD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GRANTEE: &lt;Participant Name&gt;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OF GRANT: &lt;Grant Date&gt;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 &lt;Shares Granted&gt;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M&amp;T Bank Corporation (the “Company”) hereby grants to the Grantee a Performance-Vested Restricted Stock Unit Award. This grant is made pursuant to the M&amp;T Bank Corporation 2009 Equity Incentive Compensation Plan (the “Plan”) and is subject to the terms and conditions of the Plan and this Agreement. As used herein, the term “Agreement” shall mean, collectively, this cover page, the related Terms and Conditions of Performance-Vested Restricted Stock Unit Award delivered to the Grantee with this cover page (the “Terms and Conditions”), and the Policy for Alignment of Incentive Compensation with Risk (the “Forfeiture Policy”). As used herein, the term “vest” shall mean the lapsing of the restrictions and the satisfaction of the conditions described herein and in the Plan with respect to one or more Performance-Vested Restricted Stock Units but shall not mean the actual settlement of the Award. Capitalized terms used in this Agreement without definition shall have the meanings assigned to them in the Plan. A copy of the Plan and the Forfeiture Policy can be viewed and downloaded from the Company’s Intranet under the Human Resources page.</w:t>
      </w:r>
    </w:p>
    <w:p>
      <w:pPr>
        <w:spacing w:after="0" w:line="17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Subject to the terms of the Plan, the Forfeiture Policy, and this Agreement, including without limitation, the Grantee’s fulfillment of the employment requirements in Paragraph 3(b) of the Terms and Conditions, and except as otherwise provided in Paragraph 3(f) of the Terms and Conditions, the Restricted Stock Units awarded hereunder shall vest on the dates (the “Vesting Dates”) indicated on the following vesting schedule, subject to the applicable provisions of the Plan and this Agreement, provided that the performance requirements in Paragraph 3(c) of the Terms and Conditions are satisfied: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vesting schedule, if any, as determined by the Committee.]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shall be no proportionate or partial vesting in the periods prior to each Vesting Date and, except as provided in the Terms and Conditions, all vesting shall occur only on the occurrence of applicable Vesting Date.</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unvested portion of the Grantee’s Restricted Stock Units is subject to forfeiture under Paragraph 3(b) of the Terms and Conditions and the Forfeiture Policy. The foregoing vesting schedule (but not necessarily the actual settlement of the Award) may be accelerated under the circumstances described in the Terms and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Agreement to be signed on its behalf effective as of the Date of Grant.</w:t>
      </w:r>
    </w:p>
    <w:p>
      <w:pPr>
        <w:spacing w:after="0" w:line="252"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color w:val="auto"/>
        </w:rPr>
        <w:t>M&amp;T BANK CORPORATION</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14605</wp:posOffset>
            </wp:positionV>
            <wp:extent cx="32499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49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9551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17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M&amp;T BANK CORPORATION</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2009 EQUITY INCENTIVE COMPENSATION PLAN</w:t>
      </w:r>
    </w:p>
    <w:p>
      <w:pPr>
        <w:spacing w:after="0" w:line="211" w:lineRule="exact"/>
        <w:rPr>
          <w:sz w:val="20"/>
          <w:szCs w:val="20"/>
          <w:color w:val="auto"/>
        </w:rPr>
      </w:pPr>
    </w:p>
    <w:p>
      <w:pPr>
        <w:jc w:val="center"/>
        <w:ind w:right="-191"/>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TERMS AND CONDITIONS</w:t>
      </w:r>
    </w:p>
    <w:p>
      <w:pPr>
        <w:spacing w:after="0" w:line="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PERFORMANCE-VESTED RESTRICTED STOCK UNIT AWARD</w:t>
      </w:r>
    </w:p>
    <w:p>
      <w:pPr>
        <w:spacing w:after="0" w:line="238" w:lineRule="exact"/>
        <w:rPr>
          <w:sz w:val="20"/>
          <w:szCs w:val="20"/>
          <w:color w:val="auto"/>
        </w:rPr>
      </w:pPr>
    </w:p>
    <w:p>
      <w:pPr>
        <w:ind w:left="452" w:right="160" w:hanging="452"/>
        <w:spacing w:after="0" w:line="277"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this Agreement, except where the context otherwise indicates, the following definitions apply. Capitalized terms used herein without definition shall have the meanings assigned to them in the Plan.</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“Date of Grant” means the date set forth as the “Date of Grant” on the cover page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“Grantee” means the person identified as the “Grantee” on the cover page of this Agreement.</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5"/>
        </w:numPr>
        <w:rPr>
          <w:rFonts w:ascii="Arial" w:cs="Arial" w:eastAsia="Arial" w:hAnsi="Arial"/>
          <w:sz w:val="17"/>
          <w:szCs w:val="17"/>
          <w:color w:val="auto"/>
        </w:rPr>
      </w:pPr>
      <w:r>
        <w:rPr>
          <w:rFonts w:ascii="Arial" w:cs="Arial" w:eastAsia="Arial" w:hAnsi="Arial"/>
          <w:sz w:val="17"/>
          <w:szCs w:val="17"/>
          <w:color w:val="auto"/>
        </w:rPr>
        <w:t>“Performance Period” means the full one calendar year (i.e., January 1 to December 31) immediately preceding a given Vesting Date.</w:t>
      </w:r>
    </w:p>
    <w:p>
      <w:pPr>
        <w:spacing w:after="0" w:line="142" w:lineRule="exact"/>
        <w:rPr>
          <w:rFonts w:ascii="Arial" w:cs="Arial" w:eastAsia="Arial" w:hAnsi="Arial"/>
          <w:sz w:val="17"/>
          <w:szCs w:val="17"/>
          <w:color w:val="auto"/>
        </w:rPr>
      </w:pPr>
    </w:p>
    <w:p>
      <w:pPr>
        <w:ind w:left="892" w:hanging="446"/>
        <w:spacing w:after="0"/>
        <w:tabs>
          <w:tab w:leader="none" w:pos="892" w:val="left"/>
        </w:tabs>
        <w:numPr>
          <w:ilvl w:val="1"/>
          <w:numId w:val="35"/>
        </w:numPr>
        <w:rPr>
          <w:rFonts w:ascii="Arial" w:cs="Arial" w:eastAsia="Arial" w:hAnsi="Arial"/>
          <w:sz w:val="17"/>
          <w:szCs w:val="17"/>
          <w:color w:val="auto"/>
        </w:rPr>
      </w:pPr>
      <w:r>
        <w:rPr>
          <w:rFonts w:ascii="Arial" w:cs="Arial" w:eastAsia="Arial" w:hAnsi="Arial"/>
          <w:sz w:val="17"/>
          <w:szCs w:val="17"/>
          <w:color w:val="auto"/>
        </w:rPr>
        <w:t>“Performance-Vested Restricted Stock Unit” means an Award denominated in Common Stock that will be settled in Common Stock.</w:t>
      </w:r>
    </w:p>
    <w:p>
      <w:pPr>
        <w:spacing w:after="0" w:line="142" w:lineRule="exact"/>
        <w:rPr>
          <w:rFonts w:ascii="Arial" w:cs="Arial" w:eastAsia="Arial" w:hAnsi="Arial"/>
          <w:sz w:val="17"/>
          <w:szCs w:val="17"/>
          <w:color w:val="auto"/>
        </w:rPr>
      </w:pPr>
    </w:p>
    <w:p>
      <w:pPr>
        <w:ind w:left="892" w:hanging="446"/>
        <w:spacing w:after="0" w:line="277" w:lineRule="auto"/>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“Performance-Vested Restricted Stock Unit Award” means the Award of Restricted Stock Units granted to the Grantee on the cover page of this Agreement.</w:t>
      </w:r>
    </w:p>
    <w:p>
      <w:pPr>
        <w:spacing w:after="0" w:line="75" w:lineRule="exact"/>
        <w:rPr>
          <w:rFonts w:ascii="Arial" w:cs="Arial" w:eastAsia="Arial" w:hAnsi="Arial"/>
          <w:sz w:val="18"/>
          <w:szCs w:val="18"/>
          <w:color w:val="auto"/>
        </w:rPr>
      </w:pPr>
    </w:p>
    <w:p>
      <w:pPr>
        <w:ind w:left="892" w:right="200" w:hanging="446"/>
        <w:spacing w:after="0" w:line="308" w:lineRule="auto"/>
        <w:tabs>
          <w:tab w:leader="none" w:pos="892" w:val="left"/>
        </w:tabs>
        <w:numPr>
          <w:ilvl w:val="1"/>
          <w:numId w:val="35"/>
        </w:numPr>
        <w:rPr>
          <w:rFonts w:ascii="Arial" w:cs="Arial" w:eastAsia="Arial" w:hAnsi="Arial"/>
          <w:sz w:val="17"/>
          <w:szCs w:val="17"/>
          <w:color w:val="auto"/>
        </w:rPr>
      </w:pPr>
      <w:r>
        <w:rPr>
          <w:rFonts w:ascii="Arial" w:cs="Arial" w:eastAsia="Arial" w:hAnsi="Arial"/>
          <w:sz w:val="17"/>
          <w:szCs w:val="17"/>
          <w:color w:val="auto"/>
        </w:rPr>
        <w:t>“Specified Employee” means an individual who is a “specified employee,” as defined under Section 409A of the Code, as determined by the Company in accordance with its uniform policy with respect to all arrangements subject to Section 409A of the Code.</w:t>
      </w:r>
    </w:p>
    <w:p>
      <w:pPr>
        <w:spacing w:after="0" w:line="51" w:lineRule="exact"/>
        <w:rPr>
          <w:rFonts w:ascii="Arial" w:cs="Arial" w:eastAsia="Arial" w:hAnsi="Arial"/>
          <w:sz w:val="17"/>
          <w:szCs w:val="17"/>
          <w:color w:val="auto"/>
        </w:rPr>
      </w:pPr>
    </w:p>
    <w:p>
      <w:pPr>
        <w:ind w:left="892" w:right="480" w:hanging="446"/>
        <w:spacing w:after="0" w:line="277" w:lineRule="auto"/>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the Grantee’s employment with the Company and its Affiliates that constitutes a “separation from service,” as defined under Section 409A of the Code.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“Vesting Dates” means the vesting dates designated in the schedule on the cover page of this Agreement.</w:t>
      </w:r>
    </w:p>
    <w:p>
      <w:pPr>
        <w:spacing w:after="0" w:line="130" w:lineRule="exact"/>
        <w:rPr>
          <w:rFonts w:ascii="Arial" w:cs="Arial" w:eastAsia="Arial" w:hAnsi="Arial"/>
          <w:sz w:val="18"/>
          <w:szCs w:val="18"/>
          <w:color w:val="auto"/>
        </w:rPr>
      </w:pPr>
    </w:p>
    <w:p>
      <w:pPr>
        <w:ind w:left="452" w:right="520" w:hanging="452"/>
        <w:spacing w:after="0" w:line="277" w:lineRule="auto"/>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Grant of Performance-Vested Restricted Stock Unit Award</w:t>
      </w:r>
      <w:r>
        <w:rPr>
          <w:rFonts w:ascii="Arial" w:cs="Arial" w:eastAsia="Arial" w:hAnsi="Arial"/>
          <w:sz w:val="18"/>
          <w:szCs w:val="18"/>
          <w:color w:val="auto"/>
        </w:rPr>
        <w:t>. The Performance-Vested Restricted Stock Unit Award granted hereby is granted in accordance with the cover page of this Agreement.</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Terms of the Performance-Vested Restricted Stock Unit Award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20" w:firstLine="921"/>
        <w:spacing w:after="0" w:line="264" w:lineRule="auto"/>
        <w:tabs>
          <w:tab w:leader="none" w:pos="1149"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Nature of Performance-Vested Restricted Stock Unit Award</w:t>
      </w:r>
      <w:r>
        <w:rPr>
          <w:rFonts w:ascii="Arial" w:cs="Arial" w:eastAsia="Arial" w:hAnsi="Arial"/>
          <w:sz w:val="18"/>
          <w:szCs w:val="18"/>
          <w:color w:val="auto"/>
        </w:rPr>
        <w:t>. Performance-Vested Restricted Stock Units are not actual shares of Common Stock. The Grantee’s interest in Performance-Vested Restricted Stock Units shall make the Grantee only a general, unsecured creditor of the Company until the Performance-Vested Restricted Stock Units become vested and settled.</w:t>
      </w:r>
    </w:p>
    <w:p>
      <w:pPr>
        <w:spacing w:after="0" w:line="113" w:lineRule="exact"/>
        <w:rPr>
          <w:rFonts w:ascii="Arial" w:cs="Arial" w:eastAsia="Arial" w:hAnsi="Arial"/>
          <w:sz w:val="18"/>
          <w:szCs w:val="18"/>
          <w:color w:val="auto"/>
        </w:rPr>
      </w:pPr>
    </w:p>
    <w:p>
      <w:pPr>
        <w:ind w:left="5652" w:hanging="96"/>
        <w:spacing w:after="0"/>
        <w:tabs>
          <w:tab w:leader="none" w:pos="5652" w:val="left"/>
        </w:tabs>
        <w:numPr>
          <w:ilvl w:val="3"/>
          <w:numId w:val="35"/>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232"/>
          </w:cols>
          <w:pgMar w:left="248" w:top="274" w:right="419" w:bottom="1440" w:gutter="0" w:footer="0" w:header="0"/>
        </w:sectPr>
      </w:pPr>
    </w:p>
    <w:bookmarkStart w:id="98" w:name="page99"/>
    <w:bookmarkEnd w:id="98"/>
    <w:p>
      <w:pPr>
        <w:ind w:left="-920" w:firstLine="921"/>
        <w:spacing w:after="0" w:line="293" w:lineRule="auto"/>
        <w:tabs>
          <w:tab w:leader="none" w:pos="24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Requirement; Forfeiture</w:t>
      </w:r>
      <w:r>
        <w:rPr>
          <w:rFonts w:ascii="Arial" w:cs="Arial" w:eastAsia="Arial" w:hAnsi="Arial"/>
          <w:sz w:val="16"/>
          <w:szCs w:val="16"/>
          <w:color w:val="auto"/>
        </w:rPr>
        <w:t>. Except as provided herein, the Grantee must remain continuously employed by the Company or one of its Affiliates from the Date of Grant and until the Performance-Vested Restricted Stock Unit Award (or a portion thereof) has vested in order to be entitled to receive shares of Common Stock in settlement of such Performance-Vested Performance-Vested Restricted Stock Unit Award (or portion thereof, as the case may be). Upon the Grantee’s Termination of Employment for any reason, including for Cause or as a result of the Grantee’s Resignation (other than due to death, Retirement or Disability), before the Grantee’s Performance-Vested Restricted Stock Units have fully vested, the Grantee will forfeit that portion of the Performance-Vested Restricted Stock Units that have not vested as of the date of the Grantee’s Termination of Employment.</w:t>
      </w:r>
    </w:p>
    <w:p>
      <w:pPr>
        <w:spacing w:after="0" w:line="160" w:lineRule="exact"/>
        <w:rPr>
          <w:rFonts w:ascii="Arial" w:cs="Arial" w:eastAsia="Arial" w:hAnsi="Arial"/>
          <w:sz w:val="16"/>
          <w:szCs w:val="16"/>
          <w:color w:val="auto"/>
        </w:rPr>
      </w:pPr>
    </w:p>
    <w:p>
      <w:pPr>
        <w:ind w:left="-920" w:right="20" w:firstLine="921"/>
        <w:spacing w:after="0" w:line="261" w:lineRule="auto"/>
        <w:tabs>
          <w:tab w:leader="none" w:pos="237"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Performance Requirement</w:t>
      </w:r>
      <w:r>
        <w:rPr>
          <w:rFonts w:ascii="Arial" w:cs="Arial" w:eastAsia="Arial" w:hAnsi="Arial"/>
          <w:sz w:val="18"/>
          <w:szCs w:val="18"/>
          <w:color w:val="auto"/>
        </w:rPr>
        <w:t xml:space="preserve">. </w:t>
      </w:r>
      <w:r>
        <w:rPr>
          <w:rFonts w:ascii="Arial" w:cs="Arial" w:eastAsia="Arial" w:hAnsi="Arial"/>
          <w:sz w:val="18"/>
          <w:szCs w:val="18"/>
          <w:b w:val="1"/>
          <w:bCs w:val="1"/>
          <w:color w:val="auto"/>
        </w:rPr>
        <w:t>[Insert performance metric approved by the Committee, defined as the “Performance Requirement”]</w:t>
      </w:r>
      <w:r>
        <w:rPr>
          <w:rFonts w:ascii="Arial" w:cs="Arial" w:eastAsia="Arial" w:hAnsi="Arial"/>
          <w:sz w:val="18"/>
          <w:szCs w:val="18"/>
          <w:color w:val="auto"/>
        </w:rPr>
        <w:t xml:space="preserve"> If the Performance Requirement is not satisfied for a given Performance Period, the Performance-Vested Restricted Stock Units scheduled to vest on the Vesting Date immediately following that Performance Period will not vest and will be forfeited unless otherwise determined by the Committee or as provided in this Agreement.</w:t>
      </w:r>
    </w:p>
    <w:p>
      <w:pPr>
        <w:spacing w:after="0" w:line="71" w:lineRule="exact"/>
        <w:rPr>
          <w:rFonts w:ascii="Arial" w:cs="Arial" w:eastAsia="Arial" w:hAnsi="Arial"/>
          <w:sz w:val="18"/>
          <w:szCs w:val="18"/>
          <w:color w:val="auto"/>
        </w:rPr>
      </w:pPr>
    </w:p>
    <w:p>
      <w:pPr>
        <w:ind w:left="260" w:hanging="259"/>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Calculation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[Insert Performance metric approved by the Committee]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[Insert description of the performance metric approved by the Committee.]</w:t>
      </w:r>
    </w:p>
    <w:p>
      <w:pPr>
        <w:spacing w:after="0" w:line="121" w:lineRule="exact"/>
        <w:rPr>
          <w:sz w:val="20"/>
          <w:szCs w:val="20"/>
          <w:color w:val="auto"/>
        </w:rPr>
      </w:pPr>
    </w:p>
    <w:p>
      <w:pPr>
        <w:jc w:val="both"/>
        <w:ind w:left="-920" w:right="100" w:firstLine="921"/>
        <w:spacing w:after="0" w:line="259" w:lineRule="auto"/>
        <w:tabs>
          <w:tab w:leader="none" w:pos="23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Acceleration of Vesting upon Change in Control, Death or Disability</w:t>
      </w:r>
      <w:r>
        <w:rPr>
          <w:rFonts w:ascii="Arial" w:cs="Arial" w:eastAsia="Arial" w:hAnsi="Arial"/>
          <w:sz w:val="18"/>
          <w:szCs w:val="18"/>
          <w:color w:val="auto"/>
        </w:rPr>
        <w:t>. Notwithstanding the above provisions of Paragraphs 3(b) and 3(c) and the vesting schedule on the cover page of this Agreement, the unvested portion of the Performance-Vested Restricted Stock Unit Award shall vest in full and become nonforfeitable (i) on the date a Change in Control occurs or (ii) upon the Grantee’s Termination of Employment due to the Grantee’s death, or as a result of the Grantee’s Disability.</w:t>
      </w:r>
    </w:p>
    <w:p>
      <w:pPr>
        <w:spacing w:after="0" w:line="186" w:lineRule="exact"/>
        <w:rPr>
          <w:rFonts w:ascii="Arial" w:cs="Arial" w:eastAsia="Arial" w:hAnsi="Arial"/>
          <w:sz w:val="18"/>
          <w:szCs w:val="18"/>
          <w:color w:val="auto"/>
        </w:rPr>
      </w:pPr>
    </w:p>
    <w:p>
      <w:pPr>
        <w:ind w:left="-920" w:right="240" w:firstLine="921"/>
        <w:spacing w:after="0" w:line="273" w:lineRule="auto"/>
        <w:tabs>
          <w:tab w:leader="none" w:pos="21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Vesting Upon Retirement</w:t>
      </w:r>
      <w:r>
        <w:rPr>
          <w:rFonts w:ascii="Arial" w:cs="Arial" w:eastAsia="Arial" w:hAnsi="Arial"/>
          <w:sz w:val="17"/>
          <w:szCs w:val="17"/>
          <w:color w:val="auto"/>
        </w:rPr>
        <w:t xml:space="preserve">. Notwithstanding the above provisions of Paragraph 3(b) and the vesting schedule on the cover page of this Agreement, the entire unvested portion of the Performance-Vested Restricted Stock Unit Award shall vest in full and become nonforfeitable on the Vesting Date immediately following the Performance Period during which the Termination of Employment of the Grantee occurs due to the Grantee’s Retirement (“Retirement Vesting Date”) if the </w:t>
      </w:r>
      <w:r>
        <w:rPr>
          <w:rFonts w:ascii="Arial" w:cs="Arial" w:eastAsia="Arial" w:hAnsi="Arial"/>
          <w:sz w:val="17"/>
          <w:szCs w:val="17"/>
          <w:b w:val="1"/>
          <w:bCs w:val="1"/>
          <w:u w:val="single" w:color="auto"/>
          <w:color w:val="auto"/>
        </w:rPr>
        <w:t>[Insert Performance metric approved by the Committee]</w:t>
      </w:r>
      <w:r>
        <w:rPr>
          <w:rFonts w:ascii="Arial" w:cs="Arial" w:eastAsia="Arial" w:hAnsi="Arial"/>
          <w:sz w:val="17"/>
          <w:szCs w:val="17"/>
          <w:color w:val="auto"/>
        </w:rPr>
        <w:t xml:space="preserve"> for the Performance Period in which Retirement occurs (“Retirement Performance Period”) satifies the Performance Requirement set forth in Paragraph 3(c) for the Retirement Performance Period. If the Performance Requirement for the Retirement Performance Period is not satisfied:</w:t>
      </w:r>
    </w:p>
    <w:p>
      <w:pPr>
        <w:spacing w:after="0" w:line="70" w:lineRule="exact"/>
        <w:rPr>
          <w:rFonts w:ascii="Arial" w:cs="Arial" w:eastAsia="Arial" w:hAnsi="Arial"/>
          <w:sz w:val="17"/>
          <w:szCs w:val="17"/>
          <w:color w:val="auto"/>
        </w:rPr>
      </w:pPr>
    </w:p>
    <w:p>
      <w:pPr>
        <w:ind w:left="-920" w:right="160" w:firstLine="1492"/>
        <w:spacing w:after="0" w:line="308" w:lineRule="auto"/>
        <w:tabs>
          <w:tab w:leader="none" w:pos="778"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number of Performance-Vested Restricted Stock Units scheduled to vest on the Retirement Vesting Date pursuant to the vesting schedule on the cover page of this Agreement will not vest and will be forfeited unless otherwise determined by the Committee; and</w:t>
      </w:r>
    </w:p>
    <w:p>
      <w:pPr>
        <w:spacing w:after="0" w:line="142" w:lineRule="exact"/>
        <w:rPr>
          <w:rFonts w:ascii="Arial" w:cs="Arial" w:eastAsia="Arial" w:hAnsi="Arial"/>
          <w:sz w:val="17"/>
          <w:szCs w:val="17"/>
          <w:color w:val="auto"/>
        </w:rPr>
      </w:pPr>
    </w:p>
    <w:p>
      <w:pPr>
        <w:ind w:left="-920" w:right="240" w:firstLine="1492"/>
        <w:spacing w:after="0" w:line="258" w:lineRule="auto"/>
        <w:tabs>
          <w:tab w:leader="none" w:pos="828"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For any Performance Period subsequent to the Retirement Performance Period (“Subsequent Performance Period”), if the </w:t>
      </w:r>
      <w:r>
        <w:rPr>
          <w:rFonts w:ascii="Arial" w:cs="Arial" w:eastAsia="Arial" w:hAnsi="Arial"/>
          <w:sz w:val="18"/>
          <w:szCs w:val="18"/>
          <w:b w:val="1"/>
          <w:bCs w:val="1"/>
          <w:u w:val="single" w:color="auto"/>
          <w:color w:val="auto"/>
        </w:rPr>
        <w:t>[Insert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Performance metric approved by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for such Subsequent Performance Period satifies the Performance Requirement set forth in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3(c), the remaining number of unvested Performance-Vested Restricted Stock Units scheduled to vest on the Vesting Date immediately following that Subsequent Performance Period pursuant to the vesting schedule on the cover page of this Agreement shall vest in full and become nonforfeitable on such Vesting Date. If such Performance Requirement is not satisfied, such</w:t>
      </w:r>
    </w:p>
    <w:p>
      <w:pPr>
        <w:spacing w:after="0" w:line="120" w:lineRule="exact"/>
        <w:rPr>
          <w:rFonts w:ascii="Arial" w:cs="Arial" w:eastAsia="Arial" w:hAnsi="Arial"/>
          <w:sz w:val="18"/>
          <w:szCs w:val="18"/>
          <w:color w:val="auto"/>
        </w:rPr>
      </w:pPr>
    </w:p>
    <w:p>
      <w:pPr>
        <w:ind w:left="4740" w:hanging="96"/>
        <w:spacing w:after="0"/>
        <w:tabs>
          <w:tab w:leader="none" w:pos="4740" w:val="left"/>
        </w:tabs>
        <w:numPr>
          <w:ilvl w:val="2"/>
          <w:numId w:val="37"/>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460"/>
          </w:cols>
          <w:pgMar w:left="1160" w:top="274" w:right="2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Performance-Vested Restricted Stock Units will not vest and will be forfeited unless otherwise determined by the Committee.</w:t>
      </w:r>
    </w:p>
    <w:p>
      <w:pPr>
        <w:spacing w:after="0" w:line="117" w:lineRule="exact"/>
        <w:rPr>
          <w:sz w:val="20"/>
          <w:szCs w:val="20"/>
          <w:color w:val="auto"/>
        </w:rPr>
      </w:pPr>
    </w:p>
    <w:p>
      <w:pPr>
        <w:ind w:right="20" w:firstLine="921"/>
        <w:spacing w:after="0" w:line="286" w:lineRule="auto"/>
        <w:tabs>
          <w:tab w:leader="none" w:pos="116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Settlement</w:t>
      </w:r>
      <w:r>
        <w:rPr>
          <w:rFonts w:ascii="Arial" w:cs="Arial" w:eastAsia="Arial" w:hAnsi="Arial"/>
          <w:sz w:val="17"/>
          <w:szCs w:val="17"/>
          <w:color w:val="auto"/>
        </w:rPr>
        <w:t>. With respect to each Performance-Vested Restricted Stock Unit that becomes vested and nonforfeitable, subject to the satisfaction of all tax obligations as provided in Paragraph 6, the Performance-Vested Restricted Stock Unit shall be settled and the Company shall deliver to the Grantee one share of Common Stock for each such vested Performance-Vested Restricted Stock Unit at the earliest of:</w:t>
      </w:r>
    </w:p>
    <w:p>
      <w:pPr>
        <w:spacing w:after="0" w:line="57" w:lineRule="exact"/>
        <w:rPr>
          <w:rFonts w:ascii="Arial" w:cs="Arial" w:eastAsia="Arial" w:hAnsi="Arial"/>
          <w:sz w:val="17"/>
          <w:szCs w:val="17"/>
          <w:color w:val="auto"/>
        </w:rPr>
      </w:pPr>
    </w:p>
    <w:p>
      <w:pPr>
        <w:ind w:left="1500" w:right="540" w:hanging="8"/>
        <w:spacing w:after="0" w:line="277" w:lineRule="auto"/>
        <w:tabs>
          <w:tab w:leader="none" w:pos="1715"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Within ten business days of the Grantee’s Termination of Employment due to the Grantee’s death or as a result of the Grantee’s Disability;</w:t>
      </w:r>
    </w:p>
    <w:p>
      <w:pPr>
        <w:spacing w:after="0" w:line="62" w:lineRule="exact"/>
        <w:rPr>
          <w:rFonts w:ascii="Arial" w:cs="Arial" w:eastAsia="Arial" w:hAnsi="Arial"/>
          <w:sz w:val="18"/>
          <w:szCs w:val="18"/>
          <w:color w:val="auto"/>
        </w:rPr>
      </w:pPr>
    </w:p>
    <w:p>
      <w:pPr>
        <w:ind w:left="1500" w:right="340" w:hanging="8"/>
        <w:spacing w:after="0" w:line="277" w:lineRule="auto"/>
        <w:tabs>
          <w:tab w:leader="none" w:pos="1765"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Within thirty business days of the applicable Vesting Date, provided that the Vesting Requirement for the applicable Performance Period has been satisfied; and</w:t>
      </w:r>
    </w:p>
    <w:p>
      <w:pPr>
        <w:spacing w:after="0" w:line="62" w:lineRule="exact"/>
        <w:rPr>
          <w:rFonts w:ascii="Arial" w:cs="Arial" w:eastAsia="Arial" w:hAnsi="Arial"/>
          <w:sz w:val="18"/>
          <w:szCs w:val="18"/>
          <w:color w:val="auto"/>
        </w:rPr>
      </w:pPr>
    </w:p>
    <w:p>
      <w:pPr>
        <w:ind w:left="1800" w:hanging="308"/>
        <w:spacing w:after="0"/>
        <w:tabs>
          <w:tab w:leader="none" w:pos="1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Within ten business days of a Change in Control.</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Notwithstanding the foregoing, if a Performance-Vested Restricted Stock Unit constitutes a “nonqualified deferred compensation arrangement” subject to Section 409A of the Code, then (1) the settlement of such Performance-Vested Restricted Stock Unit upon the Grantee’s Termination of Employment, other than due to the Grantee’s death, shall be delayed if the Grantee is a “Specified Employee” until the earlier of (A) the first day of the seventh month following the Grantee’s Termination of Employment and (B) the Grantee’s death; and (2) in the event that a Change in Control does not constitute a “change in control event” within the meaning of Section 409A of the Code and the regulations thereunder, the Performance-Vested Restricted Stock Units shall be settled upon the first to occur of the events or dates set forth in clauses (i) and (ii) of this Paragraph 3(g) (but shall not be subject to the forfeiture provisions of Paragraph 3(b) following such Change in Control).</w:t>
      </w:r>
    </w:p>
    <w:p>
      <w:pPr>
        <w:spacing w:after="0" w:line="70" w:lineRule="exact"/>
        <w:rPr>
          <w:sz w:val="20"/>
          <w:szCs w:val="20"/>
          <w:color w:val="auto"/>
        </w:rPr>
      </w:pPr>
    </w:p>
    <w:p>
      <w:pPr>
        <w:ind w:right="20" w:firstLine="921"/>
        <w:spacing w:after="0" w:line="312" w:lineRule="auto"/>
        <w:tabs>
          <w:tab w:leader="none" w:pos="1168"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Stock Certificates</w:t>
      </w:r>
      <w:r>
        <w:rPr>
          <w:rFonts w:ascii="Arial" w:cs="Arial" w:eastAsia="Arial" w:hAnsi="Arial"/>
          <w:sz w:val="16"/>
          <w:szCs w:val="16"/>
          <w:color w:val="auto"/>
        </w:rPr>
        <w:t>. The Grantee hereby (i) acknowledges that the Common Stock issued with respect to a vested Performance-Vested Restricted Stock Unit upon its settlement may be held in book entry form on the books of Registrar and Transfer Company (or another institution specified by the Company), and (ii) agrees to sign such other powers and take such other actions as the Company may reasonably request to accomplish the transfer.</w:t>
      </w:r>
    </w:p>
    <w:p>
      <w:pPr>
        <w:spacing w:after="0" w:line="38" w:lineRule="exact"/>
        <w:rPr>
          <w:rFonts w:ascii="Arial" w:cs="Arial" w:eastAsia="Arial" w:hAnsi="Arial"/>
          <w:sz w:val="16"/>
          <w:szCs w:val="16"/>
          <w:color w:val="auto"/>
        </w:rPr>
      </w:pPr>
    </w:p>
    <w:p>
      <w:pPr>
        <w:ind w:right="420" w:firstLine="921"/>
        <w:spacing w:after="0" w:line="277" w:lineRule="auto"/>
        <w:tabs>
          <w:tab w:leader="none" w:pos="1128"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Performance-Vested Restricted Stock Units may not be sold, transferred, pledged, assigned, or otherwise alienated or hypothecated other than by will or by the laws of descent and distribution.</w:t>
      </w:r>
    </w:p>
    <w:p>
      <w:pPr>
        <w:spacing w:after="0" w:line="62" w:lineRule="exact"/>
        <w:rPr>
          <w:rFonts w:ascii="Arial" w:cs="Arial" w:eastAsia="Arial" w:hAnsi="Arial"/>
          <w:sz w:val="18"/>
          <w:szCs w:val="18"/>
          <w:color w:val="auto"/>
        </w:rPr>
      </w:pPr>
    </w:p>
    <w:p>
      <w:pPr>
        <w:ind w:firstLine="921"/>
        <w:spacing w:after="0" w:line="255" w:lineRule="auto"/>
        <w:tabs>
          <w:tab w:leader="none" w:pos="1128"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If on any date the Company pays any dividend with respect to its Common Stock (the “Payment Date”), then, within 60 days following the Payment Date, the Company shall pay, or cause an Affiliate to pay, to the Grantee an amount equal to: (i) the product of (x) the number of the Grantee’s Performance-Vested Restricted Stock Units as of the Payment Date and (y) the per share cash amount of such dividend (or, in the case of a dividend payable in shares of Common Stock or in property other than cash, the per share equivalent fair market value of such dividend, as determined in good faith by the Committee). Notwithstanding the foregoing, dividends and distributions other than regular cash dividends, if any, may result in an adjustment pursuant to Paragraph 6, rather than under this Paragraph 3.</w:t>
      </w:r>
    </w:p>
    <w:p>
      <w:pPr>
        <w:spacing w:after="0" w:line="98"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The Grantee acknowledges and agrees that, with respect to the Performance-Vested Restricted Stock Units, he or she has no voting rights with respect to the</w:t>
      </w:r>
    </w:p>
    <w:p>
      <w:pPr>
        <w:spacing w:after="0" w:line="102" w:lineRule="exact"/>
        <w:rPr>
          <w:rFonts w:ascii="Arial" w:cs="Arial" w:eastAsia="Arial" w:hAnsi="Arial"/>
          <w:sz w:val="18"/>
          <w:szCs w:val="18"/>
          <w:color w:val="auto"/>
        </w:rPr>
      </w:pPr>
    </w:p>
    <w:p>
      <w:pPr>
        <w:ind w:left="5660" w:hanging="96"/>
        <w:spacing w:after="0"/>
        <w:tabs>
          <w:tab w:leader="none" w:pos="56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00"/>
          </w:cols>
          <w:pgMar w:left="240" w:top="274" w:right="259" w:bottom="1440" w:gutter="0" w:footer="0" w:header="0"/>
        </w:sectPr>
      </w:pPr>
    </w:p>
    <w:bookmarkStart w:id="100" w:name="page101"/>
    <w:bookmarkEnd w:id="100"/>
    <w:p>
      <w:pPr>
        <w:ind w:left="452"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unless and until such Performance-Vested Restricted Stock Units are settled in Common Stock pursuant to Paragraph 3(g). Upon and following the settlement of a Performance-Vested Restricted Stock Unit, the Grantee shall be the record owner of the Common Stock issued to him or her unless and until such shares are sold or otherwise disposed of, and as record owner shall be entitled to all rights of a stockholder of the Company holding such Common Stock, including, without limitation, voting rights, if any, with respect to such Common Stock. Prior to the Settlement Date, the Grantee shall not be deemed for any purpose to be the owner of any Common Stock denominated by the Performance-Vested Restricted Stock Unit Award.</w:t>
      </w:r>
    </w:p>
    <w:p>
      <w:pPr>
        <w:spacing w:after="0" w:line="99" w:lineRule="exact"/>
        <w:rPr>
          <w:sz w:val="20"/>
          <w:szCs w:val="20"/>
          <w:color w:val="auto"/>
        </w:rPr>
      </w:pPr>
    </w:p>
    <w:p>
      <w:pPr>
        <w:ind w:left="452" w:hanging="452"/>
        <w:spacing w:after="0" w:line="277" w:lineRule="auto"/>
        <w:tabs>
          <w:tab w:leader="none" w:pos="4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Capital Adjustments</w:t>
      </w:r>
      <w:r>
        <w:rPr>
          <w:rFonts w:ascii="Arial" w:cs="Arial" w:eastAsia="Arial" w:hAnsi="Arial"/>
          <w:sz w:val="18"/>
          <w:szCs w:val="18"/>
          <w:color w:val="auto"/>
        </w:rPr>
        <w:t>. The number of Performance-Vested Restricted Stock Units is subject to adjustment, in accordance with Section 4.2 of the Plan, on an equitable and proportionate basis in the manner deemed appropriate by the Committee.</w:t>
      </w:r>
    </w:p>
    <w:p>
      <w:pPr>
        <w:spacing w:after="0" w:line="75" w:lineRule="exact"/>
        <w:rPr>
          <w:rFonts w:ascii="Arial" w:cs="Arial" w:eastAsia="Arial" w:hAnsi="Arial"/>
          <w:sz w:val="18"/>
          <w:szCs w:val="18"/>
          <w:color w:val="auto"/>
        </w:rPr>
      </w:pPr>
    </w:p>
    <w:p>
      <w:pPr>
        <w:ind w:left="452" w:right="40" w:hanging="452"/>
        <w:spacing w:after="0" w:line="270" w:lineRule="auto"/>
        <w:tabs>
          <w:tab w:leader="none" w:pos="452"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Grantee expressly acknowledges that: (a) the Grantee’s Performance-Vested Restricted Stock Units will constitute wages under the Federal Insurance Contributions Act (FICA) and Federal Unemployment Tax Act (FUTA) that are subject to tax withholding by the Company or its Affiliate upon becoming vested and (b) the Common Stock delivered to a Grantee upon the settlement of his or her Performance-Vested Restricted Stock Units will constitute wages for purposes of federal and all other employment taxes, subject to tax withholding by the Company or its Affiliate. The Company’s obligation to issue or deliver shares of Common Stock with respect to the settlement of Performance-Vested Restricted Stock Units shall be subject to the satisfaction of any applicable federal, state, local or foreign tax withholding requirements (including the Grantee’s FICA and FUTA obligation). To the extent permitted by law, the Company and its Affiliates shall have the right to deduct any such taxes from any payment otherwise due to the Grantee (or his or her beneficiary). The Committee may establish such procedures as it deems appropriate, including making irrevocable elections, for the settlement of withholding obligations with Common Stock having a Fair Market Value on the date of withholding equal to the minimum amount (and not any greater amount) required to be withheld for tax purposes.</w:t>
      </w:r>
    </w:p>
    <w:p>
      <w:pPr>
        <w:spacing w:after="0" w:line="83" w:lineRule="exact"/>
        <w:rPr>
          <w:rFonts w:ascii="Arial" w:cs="Arial" w:eastAsia="Arial" w:hAnsi="Arial"/>
          <w:sz w:val="17"/>
          <w:szCs w:val="17"/>
          <w:color w:val="auto"/>
        </w:rPr>
      </w:pPr>
    </w:p>
    <w:p>
      <w:pPr>
        <w:ind w:left="452" w:hanging="452"/>
        <w:spacing w:after="0" w:line="284" w:lineRule="auto"/>
        <w:tabs>
          <w:tab w:leader="none" w:pos="45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Restriction on Issuance of Common Stock</w:t>
      </w:r>
      <w:r>
        <w:rPr>
          <w:rFonts w:ascii="Arial" w:cs="Arial" w:eastAsia="Arial" w:hAnsi="Arial"/>
          <w:sz w:val="16"/>
          <w:szCs w:val="16"/>
          <w:color w:val="auto"/>
        </w:rPr>
        <w:t>. Notwithstanding any other provision of this Agreement, the Grantee agrees, for himself or herself and his or her successors, that Common Stock will not be issued at any time that the Company does not have in effect a registration statement under the Securities Act of 1933, as amended, relating to the offer of Common Stock to the Grantee under the Plan, unless the Company agrees to permit such issuance. The Grantee further agrees, for himself or herself and his or her successors, that, upon the issuance of any Common Stock, he or she will, upon the request of the Company, agree in writing that he or she is acquiring such shares for investment only and not with a view to resale, and that he or she will not sell, pledge or otherwise dispose of such shares so issued unless and until (a) the Company is furnished with an opinion of counsel to the effect that registration of such shares pursuant to the Securities Act of 1933, as amended, is not required by that Act and the rules and regulations thereunder;</w:t>
      </w:r>
    </w:p>
    <w:p>
      <w:pPr>
        <w:spacing w:after="0" w:line="2" w:lineRule="exact"/>
        <w:rPr>
          <w:rFonts w:ascii="Arial" w:cs="Arial" w:eastAsia="Arial" w:hAnsi="Arial"/>
          <w:sz w:val="16"/>
          <w:szCs w:val="16"/>
          <w:color w:val="auto"/>
        </w:rPr>
      </w:pPr>
    </w:p>
    <w:p>
      <w:pPr>
        <w:ind w:left="452" w:right="120" w:hanging="6"/>
        <w:spacing w:after="0" w:line="273" w:lineRule="auto"/>
        <w:tabs>
          <w:tab w:leader="none" w:pos="707"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staff of the Securities and Exchange Commission has issued a “no-action” letter with respect to such disposition; or (c) such registration or notification as is, in the opinion of counsel for the Company, required for the lawful disposition of such shares has been filed by the Company and has become effective; provided, however, that the Company is not obligated hereby to file any such registration or notification. The Grantee further agrees that the Company may place a legend embodying such restriction on the certificates evidencing such shares.</w:t>
      </w:r>
    </w:p>
    <w:p>
      <w:pPr>
        <w:spacing w:after="0" w:line="109" w:lineRule="exact"/>
        <w:rPr>
          <w:rFonts w:ascii="Arial" w:cs="Arial" w:eastAsia="Arial" w:hAnsi="Arial"/>
          <w:sz w:val="17"/>
          <w:szCs w:val="17"/>
          <w:color w:val="auto"/>
        </w:rPr>
      </w:pPr>
    </w:p>
    <w:p>
      <w:pPr>
        <w:ind w:left="5652" w:hanging="96"/>
        <w:spacing w:after="0"/>
        <w:tabs>
          <w:tab w:leader="none" w:pos="5652" w:val="left"/>
        </w:tabs>
        <w:numPr>
          <w:ilvl w:val="2"/>
          <w:numId w:val="4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392"/>
          </w:cols>
          <w:pgMar w:left="248" w:top="274" w:right="259" w:bottom="1440" w:gutter="0" w:footer="0" w:header="0"/>
        </w:sectPr>
      </w:pPr>
    </w:p>
    <w:bookmarkStart w:id="101" w:name="page102"/>
    <w:bookmarkEnd w:id="101"/>
    <w:p>
      <w:pPr>
        <w:jc w:val="both"/>
        <w:ind w:left="452" w:right="100" w:hanging="452"/>
        <w:spacing w:after="0" w:line="312"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w:t>
      </w:r>
      <w:r>
        <w:rPr>
          <w:rFonts w:ascii="Arial" w:cs="Arial" w:eastAsia="Arial" w:hAnsi="Arial"/>
          <w:sz w:val="16"/>
          <w:szCs w:val="16"/>
          <w:color w:val="auto"/>
        </w:rPr>
        <w:t>. Neither the Performance-Vested Restricted Stock Unit Award evidenced by this Agreement nor any term or provision of this Agreement shall constitute or be evidence of any understanding, express or implied, on the part of the Company or any of its Affiliates to employ the Grantee for any period. Whenever reference is made in this Agreement to the employment of the Grantee, it means employment by the Company or an Affiliate.</w:t>
      </w:r>
    </w:p>
    <w:p>
      <w:pPr>
        <w:spacing w:after="0" w:line="52" w:lineRule="exact"/>
        <w:rPr>
          <w:rFonts w:ascii="Arial" w:cs="Arial" w:eastAsia="Arial" w:hAnsi="Arial"/>
          <w:sz w:val="16"/>
          <w:szCs w:val="16"/>
          <w:color w:val="auto"/>
        </w:rPr>
      </w:pPr>
    </w:p>
    <w:p>
      <w:pPr>
        <w:ind w:left="452" w:hanging="452"/>
        <w:spacing w:after="0" w:line="264"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Committee may permit the Grantee to file with the Company a written designation of a beneficiary on such form as may be prescribed by the Committee and may, from time to time, amend or revoke such designation. In the absence of any such designation or if all designated beneficiaries predecease the Grantee, the Grantee’s estate shall be deemed to be the Grantee’s beneficiary.</w:t>
      </w:r>
    </w:p>
    <w:p>
      <w:pPr>
        <w:spacing w:after="0" w:line="86"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Subject to the Plan</w:t>
      </w:r>
      <w:r>
        <w:rPr>
          <w:rFonts w:ascii="Arial" w:cs="Arial" w:eastAsia="Arial" w:hAnsi="Arial"/>
          <w:sz w:val="18"/>
          <w:szCs w:val="18"/>
          <w:color w:val="auto"/>
        </w:rPr>
        <w:t>. The Performance-Vested Restricted Stock Unit Award evidenced by this Agreement is subject to the terms and conditions of the Plan, which are incorporated herein by reference and made a part hereof, but the terms of the Plan shall not be considered an enlargement of any benefits under this Agreement. In addition, the Performance-Vested Restricted Stock Unit Award is subject to any rules and regulations promulgated by the Committee.</w:t>
      </w:r>
    </w:p>
    <w:p>
      <w:pPr>
        <w:spacing w:after="0" w:line="92" w:lineRule="exact"/>
        <w:rPr>
          <w:rFonts w:ascii="Arial" w:cs="Arial" w:eastAsia="Arial" w:hAnsi="Arial"/>
          <w:sz w:val="18"/>
          <w:szCs w:val="18"/>
          <w:color w:val="auto"/>
        </w:rPr>
      </w:pPr>
    </w:p>
    <w:p>
      <w:pPr>
        <w:ind w:left="452" w:right="220" w:hanging="452"/>
        <w:spacing w:after="0" w:line="302" w:lineRule="auto"/>
        <w:tabs>
          <w:tab w:leader="none" w:pos="45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Performance-Vested Restricted Stock Unit Award is intended to comply with the requirements of Section 409A of the Code or an exemption or exclusion therefrom and shall in all respects be administered in accordance with Section 409A of the Code. If a Performance-Vested Restricted Stock Unit does not constitute a “nonqualified deferred compensation arrangement” subject to Section 409A of the Code, then the Performance-Vested Restricted Stock Unit shall be settled no later than the March 15th following the calendar year in which it became vested.</w:t>
      </w:r>
    </w:p>
    <w:p>
      <w:pPr>
        <w:spacing w:after="0" w:line="59" w:lineRule="exact"/>
        <w:rPr>
          <w:rFonts w:ascii="Arial" w:cs="Arial" w:eastAsia="Arial" w:hAnsi="Arial"/>
          <w:sz w:val="16"/>
          <w:szCs w:val="16"/>
          <w:color w:val="auto"/>
        </w:rPr>
      </w:pPr>
    </w:p>
    <w:p>
      <w:pPr>
        <w:ind w:left="452" w:right="300" w:hanging="452"/>
        <w:spacing w:after="0" w:line="277"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interpretation and enforceability of this Agreement shall be determined and governed by the laws of the State of New York without giving effect to the principles of conflicts of laws.</w:t>
      </w:r>
    </w:p>
    <w:p>
      <w:pPr>
        <w:spacing w:after="0" w:line="75" w:lineRule="exact"/>
        <w:rPr>
          <w:rFonts w:ascii="Arial" w:cs="Arial" w:eastAsia="Arial" w:hAnsi="Arial"/>
          <w:sz w:val="18"/>
          <w:szCs w:val="18"/>
          <w:color w:val="auto"/>
        </w:rPr>
      </w:pPr>
    </w:p>
    <w:p>
      <w:pPr>
        <w:ind w:left="452" w:right="160" w:hanging="452"/>
        <w:spacing w:after="0" w:line="277" w:lineRule="auto"/>
        <w:tabs>
          <w:tab w:leader="none" w:pos="4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hereof are provided for convenience only and are not to serve as a basis for interpretation or construction, and shall not constitute a part, of this Agreement.</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1"/>
          <w:numId w:val="4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372"/>
          </w:cols>
          <w:pgMar w:left="248" w:top="274" w:right="27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13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13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ind w:left="460" w:right="28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7" w:lineRule="exact"/>
        <w:rPr>
          <w:sz w:val="20"/>
          <w:szCs w:val="20"/>
          <w:color w:val="auto"/>
        </w:rPr>
      </w:pPr>
    </w:p>
    <w:p>
      <w:pPr>
        <w:ind w:left="460" w:right="200" w:hanging="452"/>
        <w:spacing w:after="0" w:line="30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sz w:val="20"/>
          <w:szCs w:val="20"/>
          <w:color w:val="auto"/>
        </w:rPr>
      </w:pPr>
    </w:p>
    <w:p>
      <w:pPr>
        <w:ind w:left="460" w:right="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26930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76" w:lineRule="exact"/>
        <w:rPr>
          <w:sz w:val="20"/>
          <w:szCs w:val="20"/>
          <w:color w:val="auto"/>
        </w:rPr>
      </w:pPr>
    </w:p>
    <w:p>
      <w:pPr>
        <w:ind w:left="900" w:right="6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2014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7, 2014</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76" w:lineRule="exact"/>
        <w:rPr>
          <w:sz w:val="20"/>
          <w:szCs w:val="20"/>
          <w:color w:val="auto"/>
        </w:rPr>
      </w:pPr>
    </w:p>
    <w:p>
      <w:pPr>
        <w:ind w:left="900" w:right="6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March 31, 2014 (the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May 7, 2014</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lowerLetter"/>
      <w:start w:val="1"/>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lvl w:ilvl="1">
      <w:lvlJc w:val="left"/>
      <w:lvlText w:val="-"/>
      <w:numFmt w:val="bullet"/>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lowerLetter"/>
      <w:start w:val="1"/>
    </w:lvl>
    <w:lvl w:ilvl="1">
      <w:lvlJc w:val="left"/>
      <w:lvlText w:val="-"/>
      <w:numFmt w:val="bullet"/>
      <w:start w:val="1"/>
    </w:lvl>
  </w:abstractNum>
  <w:abstractNum w:abstractNumId="9">
    <w:nsid w:val="7C3DBD3D"/>
    <w:multiLevelType w:val="hybridMultilevel"/>
    <w:lvl w:ilvl="0">
      <w:lvlJc w:val="left"/>
      <w:lvlText w:val="(%1)"/>
      <w:numFmt w:val="lowerLetter"/>
      <w:start w:val="3"/>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lvl w:ilvl="1">
      <w:lvlJc w:val="left"/>
      <w:lvlText w:val="-"/>
      <w:numFmt w:val="bullet"/>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lowerLetter"/>
      <w:start w:val="1"/>
    </w:lvl>
    <w:lvl w:ilvl="1">
      <w:lvlJc w:val="left"/>
      <w:lvlText w:val="-"/>
      <w:numFmt w:val="bullet"/>
      <w:start w:val="1"/>
    </w:lvl>
  </w:abstractNum>
  <w:abstractNum w:abstractNumId="16">
    <w:nsid w:val="419AC241"/>
    <w:multiLevelType w:val="hybridMultilevel"/>
    <w:lvl w:ilvl="0">
      <w:lvlJc w:val="left"/>
      <w:lvlText w:val="(%1)"/>
      <w:numFmt w:val="lowerLetter"/>
      <w:start w:val="1"/>
    </w:lvl>
    <w:lvl w:ilvl="1">
      <w:lvlJc w:val="left"/>
      <w:lvlText w:val="-"/>
      <w:numFmt w:val="bullet"/>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1)"/>
      <w:numFmt w:val="lowerLetter"/>
      <w:start w:val="1"/>
    </w:lvl>
    <w:lvl w:ilvl="1">
      <w:lvlJc w:val="left"/>
      <w:lvlText w:val="-"/>
      <w:numFmt w:val="bullet"/>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lowerRoman"/>
      <w:start w:val="3"/>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2"/>
    </w:lvl>
    <w:lvl w:ilvl="1">
      <w:lvlJc w:val="left"/>
      <w:lvlText w:val="-"/>
      <w:numFmt w:val="bullet"/>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3"/>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35">
    <w:nsid w:val="725A06FB"/>
    <w:multiLevelType w:val="hybridMultilevel"/>
    <w:lvl w:ilvl="0">
      <w:lvlJc w:val="left"/>
      <w:lvlText w:val="(%1)"/>
      <w:numFmt w:val="lowerLetter"/>
      <w:start w:val="2"/>
    </w:lvl>
  </w:abstractNum>
  <w:abstractNum w:abstractNumId="36">
    <w:nsid w:val="2CD89A32"/>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37">
    <w:nsid w:val="57E4CCAF"/>
    <w:multiLevelType w:val="hybridMultilevel"/>
    <w:lvl w:ilvl="0">
      <w:lvlJc w:val="left"/>
      <w:lvlText w:val="(%1)"/>
      <w:numFmt w:val="lowerLetter"/>
      <w:start w:val="7"/>
    </w:lvl>
    <w:lvl w:ilvl="1">
      <w:lvlJc w:val="left"/>
      <w:lvlText w:val="(%2)"/>
      <w:numFmt w:val="lowerRoman"/>
      <w:start w:val="1"/>
    </w:lvl>
  </w:abstractNum>
  <w:abstractNum w:abstractNumId="38">
    <w:nsid w:val="7A6D8D3C"/>
    <w:multiLevelType w:val="hybridMultilevel"/>
    <w:lvl w:ilvl="0">
      <w:lvlJc w:val="left"/>
      <w:lvlText w:val="%1"/>
      <w:numFmt w:val="decimal"/>
      <w:start w:val="1"/>
    </w:lvl>
    <w:lvl w:ilvl="1">
      <w:lvlJc w:val="left"/>
      <w:lvlText w:val="(%2)"/>
      <w:numFmt w:val="lowerLetter"/>
      <w:start w:val="8"/>
    </w:lvl>
    <w:lvl w:ilvl="2">
      <w:lvlJc w:val="left"/>
      <w:lvlText w:val="-"/>
      <w:numFmt w:val="bullet"/>
      <w:start w:val="1"/>
    </w:lvl>
  </w:abstractNum>
  <w:abstractNum w:abstractNumId="39">
    <w:nsid w:val="4B588F54"/>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40">
    <w:nsid w:val="542289EC"/>
    <w:multiLevelType w:val="hybridMultilevel"/>
    <w:lvl w:ilvl="0">
      <w:lvlJc w:val="left"/>
      <w:lvlText w:val="%1."/>
      <w:numFmt w:val="decimal"/>
      <w:start w:val="5"/>
    </w:lvl>
    <w:lvl w:ilvl="1">
      <w:lvlJc w:val="left"/>
      <w:lvlText w:val="(%2)"/>
      <w:numFmt w:val="lowerLetter"/>
      <w:start w:val="2"/>
    </w:lvl>
    <w:lvl w:ilvl="2">
      <w:lvlJc w:val="left"/>
      <w:lvlText w:val="-"/>
      <w:numFmt w:val="bullet"/>
      <w:start w:val="1"/>
    </w:lvl>
  </w:abstractNum>
  <w:abstractNum w:abstractNumId="41">
    <w:nsid w:val="6DE91B18"/>
    <w:multiLevelType w:val="hybridMultilevel"/>
    <w:lvl w:ilvl="0">
      <w:lvlJc w:val="left"/>
      <w:lvlText w:val="%1."/>
      <w:numFmt w:val="decimal"/>
      <w:start w:val="8"/>
    </w:lvl>
    <w:lvl w:ilvl="1">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2019-12-05T09:33:53Z</dcterms:created>
  <dcterms:modified xsi:type="dcterms:W3CDTF">2019-12-05T09:33:53Z</dcterms:modified>
</cp:coreProperties>
</file>