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5"/>
              </w:rPr>
              <w:t>New York</w:t>
            </w:r>
          </w:p>
        </w:tc>
        <w:tc>
          <w:tcPr>
            <w:tcW w:w="5920" w:type="dxa"/>
            <w:vAlign w:val="bottom"/>
          </w:tcPr>
          <w:p>
            <w:pPr>
              <w:jc w:val="right"/>
              <w:ind w:right="4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6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920" w:type="dxa"/>
            <w:vAlign w:val="bottom"/>
          </w:tcPr>
          <w:p>
            <w:pPr>
              <w:jc w:val="center"/>
              <w:ind w:left="47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incorporation or organization)</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7"/>
              </w:rPr>
              <w:t>One M &amp; T Plaza</w:t>
            </w:r>
          </w:p>
        </w:tc>
        <w:tc>
          <w:tcPr>
            <w:tcW w:w="5920" w:type="dxa"/>
            <w:vAlign w:val="bottom"/>
          </w:tcPr>
          <w:p>
            <w:pPr>
              <w:spacing w:after="0"/>
              <w:rPr>
                <w:sz w:val="24"/>
                <w:szCs w:val="24"/>
                <w:color w:val="auto"/>
              </w:rPr>
            </w:pPr>
          </w:p>
        </w:tc>
      </w:t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2"/>
              </w:rPr>
              <w:t>Buffalo, New York</w:t>
            </w:r>
          </w:p>
        </w:tc>
        <w:tc>
          <w:tcPr>
            <w:tcW w:w="592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680" w:type="dxa"/>
            <w:vAlign w:val="bottom"/>
          </w:tcPr>
          <w:p>
            <w:pPr>
              <w:spacing w:after="0"/>
              <w:rPr>
                <w:sz w:val="24"/>
                <w:szCs w:val="24"/>
                <w:color w:val="auto"/>
              </w:rPr>
            </w:pPr>
          </w:p>
        </w:tc>
        <w:tc>
          <w:tcPr>
            <w:tcW w:w="5920" w:type="dxa"/>
            <w:vAlign w:val="bottom"/>
          </w:tcPr>
          <w:p>
            <w:pPr>
              <w:jc w:val="right"/>
              <w:ind w:right="3340"/>
              <w:spacing w:after="0"/>
              <w:rPr>
                <w:sz w:val="20"/>
                <w:szCs w:val="20"/>
                <w:color w:val="auto"/>
              </w:rPr>
            </w:pPr>
            <w:r>
              <w:rPr>
                <w:rFonts w:ascii="Arial" w:cs="Arial" w:eastAsia="Arial" w:hAnsi="Arial"/>
                <w:sz w:val="18"/>
                <w:szCs w:val="18"/>
                <w:b w:val="1"/>
                <w:bCs w:val="1"/>
                <w:color w:val="auto"/>
              </w:rPr>
              <w:t>(716) 635-4000</w:t>
            </w:r>
          </w:p>
        </w:tc>
      </w:tr>
      <w:tr>
        <w:trPr>
          <w:trHeight w:val="186"/>
        </w:trPr>
        <w:tc>
          <w:tcPr>
            <w:tcW w:w="2680" w:type="dxa"/>
            <w:vAlign w:val="bottom"/>
          </w:tcPr>
          <w:p>
            <w:pPr>
              <w:spacing w:after="0"/>
              <w:rPr>
                <w:sz w:val="16"/>
                <w:szCs w:val="16"/>
                <w:color w:val="auto"/>
              </w:rPr>
            </w:pPr>
          </w:p>
        </w:tc>
        <w:tc>
          <w:tcPr>
            <w:tcW w:w="5920" w:type="dxa"/>
            <w:vAlign w:val="bottom"/>
          </w:tcPr>
          <w:p>
            <w:pPr>
              <w:jc w:val="center"/>
              <w:ind w:righ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5"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73" w:lineRule="exact"/>
        <w:tabs>
          <w:tab w:leader="none" w:pos="540" w:val="left"/>
        </w:tabs>
        <w:rPr>
          <w:sz w:val="20"/>
          <w:szCs w:val="20"/>
          <w:color w:val="auto"/>
        </w:rPr>
      </w:pPr>
      <w:r>
        <w:rPr>
          <w:rFonts w:ascii="Arial" w:cs="Arial" w:eastAsia="Arial" w:hAnsi="Arial"/>
          <w:sz w:val="15"/>
          <w:szCs w:val="15"/>
          <w:color w:val="auto"/>
        </w:rPr>
        <w:t>files).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32" w:lineRule="exact"/>
        <w:rPr>
          <w:sz w:val="24"/>
          <w:szCs w:val="24"/>
          <w:color w:val="auto"/>
        </w:rPr>
      </w:pPr>
    </w:p>
    <w:p>
      <w:pPr>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ind w:left="112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60" w:type="dxa"/>
            <w:vAlign w:val="bottom"/>
          </w:tcPr>
          <w:p>
            <w:pPr>
              <w:spacing w:after="0"/>
              <w:rPr>
                <w:sz w:val="20"/>
                <w:szCs w:val="20"/>
                <w:color w:val="auto"/>
              </w:rPr>
            </w:pPr>
            <w:r>
              <w:rPr>
                <w:rFonts w:ascii="Arial" w:cs="Arial" w:eastAsia="Arial" w:hAnsi="Arial"/>
                <w:sz w:val="15"/>
                <w:szCs w:val="15"/>
                <w:color w:val="auto"/>
              </w:rPr>
              <w:t>Non-accelerated filer</w:t>
            </w:r>
          </w:p>
        </w:tc>
        <w:tc>
          <w:tcPr>
            <w:tcW w:w="4880" w:type="dxa"/>
            <w:vAlign w:val="bottom"/>
          </w:tcPr>
          <w:p>
            <w:pPr>
              <w:ind w:left="6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400" w:type="dxa"/>
            <w:vAlign w:val="bottom"/>
          </w:tcPr>
          <w:p>
            <w:pPr>
              <w:ind w:left="112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14"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April 28, 2017: 153,863,872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537845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Arial" w:cs="Arial" w:eastAsia="Arial" w:hAnsi="Arial"/>
                <w:sz w:val="18"/>
                <w:szCs w:val="18"/>
                <w:color w:val="auto"/>
                <w:w w:val="97"/>
              </w:rPr>
              <w:t>M&amp;T BANK CORPORATION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3"/>
              </w:rPr>
              <w:t>FORM 10-Q</w:t>
            </w:r>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60" w:type="dxa"/>
            <w:vAlign w:val="bottom"/>
            <w:gridSpan w:val="15"/>
          </w:tcPr>
          <w:p>
            <w:pPr>
              <w:jc w:val="center"/>
              <w:ind w:right="3600"/>
              <w:spacing w:after="0"/>
              <w:rPr>
                <w:sz w:val="20"/>
                <w:szCs w:val="20"/>
                <w:color w:val="auto"/>
              </w:rPr>
            </w:pPr>
            <w:r>
              <w:rPr>
                <w:rFonts w:ascii="Arial" w:cs="Arial" w:eastAsia="Arial" w:hAnsi="Arial"/>
                <w:sz w:val="18"/>
                <w:szCs w:val="18"/>
                <w:color w:val="auto"/>
                <w:w w:val="90"/>
              </w:rPr>
              <w:t>For the Quarterly Period Ended March 31, 2017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80" w:type="dxa"/>
            <w:vAlign w:val="bottom"/>
            <w:gridSpan w:val="13"/>
          </w:tcPr>
          <w:p>
            <w:pPr>
              <w:spacing w:after="0"/>
              <w:rPr>
                <w:sz w:val="20"/>
                <w:szCs w:val="20"/>
                <w:color w:val="auto"/>
              </w:rPr>
            </w:pPr>
            <w:r>
              <w:rPr>
                <w:rFonts w:ascii="Arial" w:cs="Arial" w:eastAsia="Arial" w:hAnsi="Arial"/>
                <w:sz w:val="18"/>
                <w:szCs w:val="18"/>
                <w:color w:val="auto"/>
                <w:w w:val="95"/>
              </w:rPr>
              <w:t>Table of Contents of Information Required in Report</w:t>
            </w:r>
          </w:p>
        </w:tc>
        <w:tc>
          <w:tcPr>
            <w:tcW w:w="3460" w:type="dxa"/>
            <w:vAlign w:val="bottom"/>
            <w:tcBorders>
              <w:top w:val="single" w:sz="8" w:color="auto"/>
            </w:tcBorders>
            <w:gridSpan w:val="9"/>
          </w:tcPr>
          <w:p>
            <w:pPr>
              <w:spacing w:after="0"/>
              <w:rPr>
                <w:sz w:val="24"/>
                <w:szCs w:val="24"/>
                <w:color w:val="auto"/>
              </w:rPr>
            </w:pPr>
          </w:p>
        </w:tc>
        <w:tc>
          <w:tcPr>
            <w:tcW w:w="3600" w:type="dxa"/>
            <w:vAlign w:val="bottom"/>
            <w:gridSpan w:val="6"/>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8"/>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00" w:type="dxa"/>
            <w:vAlign w:val="bottom"/>
            <w:tcBorders>
              <w:bottom w:val="single" w:sz="8" w:color="0000EE"/>
            </w:tcBorders>
            <w:gridSpan w:val="8"/>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0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 - March 31, 2017 and December 31, 2016</w:t>
              </w:r>
            </w:hyperlink>
          </w:p>
        </w:tc>
        <w:tc>
          <w:tcPr>
            <w:tcW w:w="382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 OF INCOME - Three months ended March 31, 2017 and 2016</w:t>
              </w:r>
            </w:hyperlink>
          </w:p>
        </w:tc>
        <w:tc>
          <w:tcPr>
            <w:tcW w:w="274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COMPREHENSIVE INCOME - Three months ended March 31, 2017 and 2016</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00" w:type="dxa"/>
            <w:vAlign w:val="bottom"/>
            <w:tcBorders>
              <w:top w:val="single" w:sz="8" w:color="0000EE"/>
            </w:tcBorders>
            <w:gridSpan w:val="2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Three months ended March 31, 2017 and 201</w:t>
              </w:r>
            </w:hyperlink>
            <w:r>
              <w:rPr>
                <w:rFonts w:ascii="Arial" w:cs="Arial" w:eastAsia="Arial" w:hAnsi="Arial"/>
                <w:sz w:val="18"/>
                <w:szCs w:val="18"/>
                <w:color w:val="000000"/>
              </w:rPr>
              <w:t>6</w:t>
            </w:r>
          </w:p>
        </w:tc>
        <w:tc>
          <w:tcPr>
            <w:tcW w:w="120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 OF CHANGES IN SHAREHOLDERS' EQUITY - Three months ended March 31, 2017 and 201</w:t>
              </w:r>
            </w:hyperlink>
            <w:r>
              <w:rPr>
                <w:rFonts w:ascii="Arial" w:cs="Arial" w:eastAsia="Arial" w:hAnsi="Arial"/>
                <w:sz w:val="18"/>
                <w:szCs w:val="18"/>
                <w:color w:val="000000"/>
                <w:w w:val="94"/>
              </w:rPr>
              <w:t>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40" w:type="dxa"/>
            <w:vAlign w:val="bottom"/>
            <w:tcBorders>
              <w:top w:val="single" w:sz="8" w:color="0000EE"/>
            </w:tcBorders>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26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Management's Discussion and Analysis of Financial Condition and Results of Operations.</w:t>
              </w:r>
            </w:hyperlink>
          </w:p>
        </w:tc>
        <w:tc>
          <w:tcPr>
            <w:tcW w:w="326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Quantitative and Qualitative Disclosures About Market Risk.</w:t>
              </w:r>
            </w:hyperlink>
          </w:p>
        </w:tc>
        <w:tc>
          <w:tcPr>
            <w:tcW w:w="5340" w:type="dxa"/>
            <w:vAlign w:val="bottom"/>
            <w:gridSpan w:val="10"/>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00" w:type="dxa"/>
            <w:vAlign w:val="bottom"/>
            <w:gridSpan w:val="2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Part II. OTHER INFORMATION</w:t>
              </w:r>
            </w:hyperlink>
          </w:p>
        </w:tc>
        <w:tc>
          <w:tcPr>
            <w:tcW w:w="860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79">
              <w:r>
                <w:rPr>
                  <w:rFonts w:ascii="Arial" w:cs="Arial" w:eastAsia="Arial" w:hAnsi="Arial"/>
                  <w:sz w:val="18"/>
                  <w:szCs w:val="18"/>
                  <w:color w:val="0000EE"/>
                  <w:w w:val="85"/>
                </w:rPr>
                <w:t>Legal Proceedings.</w:t>
              </w:r>
            </w:hyperlink>
          </w:p>
        </w:tc>
        <w:tc>
          <w:tcPr>
            <w:tcW w:w="8360" w:type="dxa"/>
            <w:vAlign w:val="bottom"/>
            <w:gridSpan w:val="2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00" w:type="dxa"/>
            <w:vAlign w:val="bottom"/>
            <w:gridSpan w:val="2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00" w:type="dxa"/>
            <w:vAlign w:val="bottom"/>
            <w:gridSpan w:val="2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Defaults Upon Senior Securities.</w:t>
              </w:r>
            </w:hyperlink>
          </w:p>
        </w:tc>
        <w:tc>
          <w:tcPr>
            <w:tcW w:w="536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Mine Safety Disclosures.</w:t>
              </w:r>
            </w:hyperlink>
          </w:p>
        </w:tc>
        <w:tc>
          <w:tcPr>
            <w:tcW w:w="7380" w:type="dxa"/>
            <w:vAlign w:val="bottom"/>
            <w:gridSpan w:val="1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940" w:type="dxa"/>
            <w:vAlign w:val="bottom"/>
            <w:gridSpan w:val="1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700" w:type="dxa"/>
            <w:vAlign w:val="bottom"/>
            <w:gridSpan w:val="2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8"/>
        </w:trPr>
        <w:tc>
          <w:tcPr>
            <w:tcW w:w="1340" w:type="dxa"/>
            <w:vAlign w:val="bottom"/>
            <w:gridSpan w:val="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00" w:type="dxa"/>
            <w:vAlign w:val="bottom"/>
            <w:gridSpan w:val="2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EXHIBIT INDEX</w:t>
              </w:r>
            </w:hyperlink>
          </w:p>
        </w:tc>
        <w:tc>
          <w:tcPr>
            <w:tcW w:w="9700" w:type="dxa"/>
            <w:vAlign w:val="bottom"/>
            <w:gridSpan w:val="2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17"/>
          </w:tcPr>
          <w:p>
            <w:pPr>
              <w:jc w:val="center"/>
              <w:ind w:left="3810"/>
              <w:spacing w:after="0"/>
              <w:rPr>
                <w:sz w:val="20"/>
                <w:szCs w:val="20"/>
                <w:color w:val="auto"/>
              </w:rPr>
            </w:pPr>
            <w:r>
              <w:rPr>
                <w:rFonts w:ascii="Arial" w:cs="Arial" w:eastAsia="Arial" w:hAnsi="Arial"/>
                <w:sz w:val="18"/>
                <w:szCs w:val="18"/>
                <w:color w:val="auto"/>
                <w:w w:val="93"/>
              </w:rPr>
              <w:t>- 2 -</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March 31,</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r>
      <w:tr>
        <w:trPr>
          <w:trHeight w:val="161"/>
        </w:trPr>
        <w:tc>
          <w:tcPr>
            <w:tcW w:w="862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Dollars in thousands, except per share</w:t>
            </w:r>
          </w:p>
        </w:tc>
        <w:tc>
          <w:tcPr>
            <w:tcW w:w="180" w:type="dxa"/>
            <w:vAlign w:val="bottom"/>
          </w:tcPr>
          <w:p>
            <w:pPr>
              <w:spacing w:after="0"/>
              <w:rPr>
                <w:sz w:val="13"/>
                <w:szCs w:val="13"/>
                <w:color w:val="auto"/>
              </w:rPr>
            </w:pPr>
          </w:p>
        </w:tc>
        <w:tc>
          <w:tcPr>
            <w:tcW w:w="960" w:type="dxa"/>
            <w:vAlign w:val="bottom"/>
          </w:tcPr>
          <w:p>
            <w:pPr>
              <w:jc w:val="right"/>
              <w:ind w:right="365"/>
              <w:spacing w:after="0" w:line="154" w:lineRule="exact"/>
              <w:rPr>
                <w:sz w:val="20"/>
                <w:szCs w:val="20"/>
                <w:color w:val="auto"/>
              </w:rPr>
            </w:pPr>
            <w:r>
              <w:rPr>
                <w:rFonts w:ascii="Arial" w:cs="Arial" w:eastAsia="Arial" w:hAnsi="Arial"/>
                <w:sz w:val="14"/>
                <w:szCs w:val="14"/>
                <w:color w:val="auto"/>
              </w:rPr>
              <w:t>2017</w:t>
            </w:r>
          </w:p>
        </w:tc>
        <w:tc>
          <w:tcPr>
            <w:tcW w:w="400" w:type="dxa"/>
            <w:vAlign w:val="bottom"/>
          </w:tcPr>
          <w:p>
            <w:pPr>
              <w:spacing w:after="0"/>
              <w:rPr>
                <w:sz w:val="13"/>
                <w:szCs w:val="13"/>
                <w:color w:val="auto"/>
              </w:rPr>
            </w:pPr>
          </w:p>
        </w:tc>
        <w:tc>
          <w:tcPr>
            <w:tcW w:w="1140" w:type="dxa"/>
            <w:vAlign w:val="bottom"/>
          </w:tcPr>
          <w:p>
            <w:pPr>
              <w:jc w:val="right"/>
              <w:ind w:right="365"/>
              <w:spacing w:after="0" w:line="154"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3"/>
                <w:szCs w:val="13"/>
                <w:color w:val="auto"/>
              </w:rPr>
            </w:pPr>
          </w:p>
        </w:tc>
      </w:tr>
      <w:tr>
        <w:trPr>
          <w:trHeight w:val="162"/>
        </w:trPr>
        <w:tc>
          <w:tcPr>
            <w:tcW w:w="1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1180" w:type="dxa"/>
            <w:vAlign w:val="bottom"/>
            <w:shd w:val="clear" w:color="auto" w:fill="CFF0FC"/>
          </w:tcPr>
          <w:p>
            <w:pPr>
              <w:spacing w:after="0"/>
              <w:rPr>
                <w:sz w:val="20"/>
                <w:szCs w:val="20"/>
                <w:color w:val="auto"/>
              </w:rPr>
            </w:pPr>
            <w:r>
              <w:rPr>
                <w:rFonts w:ascii="Arial" w:cs="Arial" w:eastAsia="Arial" w:hAnsi="Arial"/>
                <w:sz w:val="15"/>
                <w:szCs w:val="15"/>
                <w:color w:val="auto"/>
              </w:rPr>
              <w:t>Assets</w:t>
            </w:r>
          </w:p>
        </w:tc>
        <w:tc>
          <w:tcPr>
            <w:tcW w:w="7440" w:type="dxa"/>
            <w:vAlign w:val="bottom"/>
            <w:gridSpan w:val="2"/>
            <w:shd w:val="clear" w:color="auto" w:fill="CFF0FC"/>
          </w:tcPr>
          <w:p>
            <w:pPr>
              <w:ind w:left="780"/>
              <w:spacing w:after="0"/>
              <w:rPr>
                <w:sz w:val="20"/>
                <w:szCs w:val="20"/>
                <w:color w:val="auto"/>
              </w:rPr>
            </w:pPr>
            <w:r>
              <w:rPr>
                <w:rFonts w:ascii="Arial" w:cs="Arial" w:eastAsia="Arial" w:hAnsi="Arial"/>
                <w:sz w:val="15"/>
                <w:szCs w:val="15"/>
                <w:color w:val="auto"/>
              </w:rPr>
              <w:t>Cash and due from banks</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1,286,962</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1,320,549</w:t>
            </w:r>
          </w:p>
        </w:tc>
        <w:tc>
          <w:tcPr>
            <w:tcW w:w="120" w:type="dxa"/>
            <w:vAlign w:val="bottom"/>
            <w:shd w:val="clear" w:color="auto" w:fill="CFF0FC"/>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Arial" w:cs="Arial" w:eastAsia="Arial" w:hAnsi="Arial"/>
                <w:sz w:val="15"/>
                <w:szCs w:val="15"/>
                <w:color w:val="auto"/>
              </w:rPr>
              <w:t>Interest-bearing deposits at banks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6,945,149</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5,000,638</w:t>
            </w:r>
          </w:p>
        </w:tc>
        <w:tc>
          <w:tcPr>
            <w:tcW w:w="120" w:type="dxa"/>
            <w:vAlign w:val="bottom"/>
          </w:tcPr>
          <w:p>
            <w:pPr>
              <w:spacing w:after="0"/>
              <w:rPr>
                <w:sz w:val="15"/>
                <w:szCs w:val="15"/>
                <w:color w:val="auto"/>
              </w:rPr>
            </w:pPr>
          </w:p>
        </w:tc>
      </w:tr>
      <w:tr>
        <w:trPr>
          <w:trHeight w:val="176"/>
        </w:trPr>
        <w:tc>
          <w:tcPr>
            <w:tcW w:w="1180" w:type="dxa"/>
            <w:vAlign w:val="bottom"/>
            <w:shd w:val="clear" w:color="auto" w:fill="CFF0FC"/>
          </w:tcPr>
          <w:p>
            <w:pPr>
              <w:spacing w:after="0"/>
              <w:rPr>
                <w:sz w:val="15"/>
                <w:szCs w:val="15"/>
                <w:color w:val="auto"/>
              </w:rPr>
            </w:pPr>
          </w:p>
        </w:tc>
        <w:tc>
          <w:tcPr>
            <w:tcW w:w="7440" w:type="dxa"/>
            <w:vAlign w:val="bottom"/>
            <w:gridSpan w:val="2"/>
            <w:shd w:val="clear" w:color="auto" w:fill="CFF0FC"/>
          </w:tcPr>
          <w:p>
            <w:pPr>
              <w:ind w:left="780"/>
              <w:spacing w:after="0"/>
              <w:rPr>
                <w:sz w:val="20"/>
                <w:szCs w:val="20"/>
                <w:color w:val="auto"/>
              </w:rPr>
            </w:pPr>
            <w:r>
              <w:rPr>
                <w:rFonts w:ascii="Arial" w:cs="Arial" w:eastAsia="Arial" w:hAnsi="Arial"/>
                <w:sz w:val="15"/>
                <w:szCs w:val="15"/>
                <w:color w:val="auto"/>
              </w:rPr>
              <w:t>Trading account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174,854</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323,867</w:t>
            </w:r>
          </w:p>
        </w:tc>
        <w:tc>
          <w:tcPr>
            <w:tcW w:w="120" w:type="dxa"/>
            <w:vAlign w:val="bottom"/>
            <w:shd w:val="clear" w:color="auto" w:fill="CFF0FC"/>
          </w:tcPr>
          <w:p>
            <w:pPr>
              <w:spacing w:after="0"/>
              <w:rPr>
                <w:sz w:val="15"/>
                <w:szCs w:val="15"/>
                <w:color w:val="auto"/>
              </w:rPr>
            </w:pPr>
          </w:p>
        </w:tc>
      </w:tr>
      <w:tr>
        <w:trPr>
          <w:trHeight w:val="174"/>
        </w:trPr>
        <w:tc>
          <w:tcPr>
            <w:tcW w:w="118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Arial" w:cs="Arial" w:eastAsia="Arial" w:hAnsi="Arial"/>
                <w:sz w:val="15"/>
                <w:szCs w:val="15"/>
                <w:color w:val="auto"/>
              </w:rPr>
              <w:t>Investment securities (includes pledged securities that can be sold or repledged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600" w:type="dxa"/>
            <w:vAlign w:val="bottom"/>
          </w:tcPr>
          <w:p>
            <w:pPr>
              <w:spacing w:after="0"/>
              <w:rPr>
                <w:sz w:val="14"/>
                <w:szCs w:val="14"/>
                <w:color w:val="auto"/>
              </w:rPr>
            </w:pPr>
          </w:p>
        </w:tc>
        <w:tc>
          <w:tcPr>
            <w:tcW w:w="7020" w:type="dxa"/>
            <w:vAlign w:val="bottom"/>
          </w:tcPr>
          <w:p>
            <w:pPr>
              <w:ind w:left="500"/>
              <w:spacing w:after="0" w:line="164" w:lineRule="exact"/>
              <w:rPr>
                <w:sz w:val="20"/>
                <w:szCs w:val="20"/>
                <w:color w:val="auto"/>
              </w:rPr>
            </w:pPr>
            <w:r>
              <w:rPr>
                <w:rFonts w:ascii="Arial" w:cs="Arial" w:eastAsia="Arial" w:hAnsi="Arial"/>
                <w:sz w:val="15"/>
                <w:szCs w:val="15"/>
                <w:color w:val="auto"/>
              </w:rPr>
              <w:t>$519,063 at March 31, 2017; $1,203,473 at December 31, 2016)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720"/>
              <w:spacing w:after="0" w:line="162" w:lineRule="exact"/>
              <w:rPr>
                <w:sz w:val="20"/>
                <w:szCs w:val="20"/>
                <w:color w:val="auto"/>
              </w:rPr>
            </w:pPr>
            <w:r>
              <w:rPr>
                <w:rFonts w:ascii="Arial" w:cs="Arial" w:eastAsia="Arial" w:hAnsi="Arial"/>
                <w:sz w:val="15"/>
                <w:szCs w:val="15"/>
                <w:color w:val="auto"/>
              </w:rPr>
              <w:t>Available for sale (cost: $12,640,244 at March 31,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840"/>
              <w:spacing w:after="0"/>
              <w:rPr>
                <w:sz w:val="20"/>
                <w:szCs w:val="20"/>
                <w:color w:val="auto"/>
              </w:rPr>
            </w:pPr>
            <w:r>
              <w:rPr>
                <w:rFonts w:ascii="Arial" w:cs="Arial" w:eastAsia="Arial" w:hAnsi="Arial"/>
                <w:sz w:val="15"/>
                <w:szCs w:val="15"/>
                <w:color w:val="auto"/>
              </w:rPr>
              <w:t>$13,338,301 at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12,631,000</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13,332,072</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720"/>
              <w:spacing w:after="0" w:line="162" w:lineRule="exact"/>
              <w:rPr>
                <w:sz w:val="20"/>
                <w:szCs w:val="20"/>
                <w:color w:val="auto"/>
              </w:rPr>
            </w:pPr>
            <w:r>
              <w:rPr>
                <w:rFonts w:ascii="Arial" w:cs="Arial" w:eastAsia="Arial" w:hAnsi="Arial"/>
                <w:sz w:val="15"/>
                <w:szCs w:val="15"/>
                <w:color w:val="auto"/>
              </w:rPr>
              <w:t>Held to maturity (fair value: $2,865,885 at March 31, 2017;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7020" w:type="dxa"/>
            <w:vAlign w:val="bottom"/>
          </w:tcPr>
          <w:p>
            <w:pPr>
              <w:ind w:left="840"/>
              <w:spacing w:after="0"/>
              <w:rPr>
                <w:sz w:val="20"/>
                <w:szCs w:val="20"/>
                <w:color w:val="auto"/>
              </w:rPr>
            </w:pPr>
            <w:r>
              <w:rPr>
                <w:rFonts w:ascii="Arial" w:cs="Arial" w:eastAsia="Arial" w:hAnsi="Arial"/>
                <w:sz w:val="15"/>
                <w:szCs w:val="15"/>
                <w:color w:val="auto"/>
              </w:rPr>
              <w:t>$2,451,222 at December 31, 2016)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2,876,119</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2,457,278</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720"/>
              <w:spacing w:after="0" w:line="162" w:lineRule="exact"/>
              <w:rPr>
                <w:sz w:val="20"/>
                <w:szCs w:val="20"/>
                <w:color w:val="auto"/>
              </w:rPr>
            </w:pPr>
            <w:r>
              <w:rPr>
                <w:rFonts w:ascii="Arial" w:cs="Arial" w:eastAsia="Arial" w:hAnsi="Arial"/>
                <w:sz w:val="15"/>
                <w:szCs w:val="15"/>
                <w:color w:val="auto"/>
              </w:rPr>
              <w:t>Other (fair value: $461,296 at March 31,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840"/>
              <w:spacing w:after="0"/>
              <w:rPr>
                <w:sz w:val="20"/>
                <w:szCs w:val="20"/>
                <w:color w:val="auto"/>
              </w:rPr>
            </w:pPr>
            <w:r>
              <w:rPr>
                <w:rFonts w:ascii="Arial" w:cs="Arial" w:eastAsia="Arial" w:hAnsi="Arial"/>
                <w:sz w:val="15"/>
                <w:szCs w:val="15"/>
                <w:color w:val="auto"/>
              </w:rPr>
              <w:t>$461,118 at December 31, 2016)</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461,296</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461,118</w:t>
            </w:r>
          </w:p>
        </w:tc>
        <w:tc>
          <w:tcPr>
            <w:tcW w:w="120" w:type="dxa"/>
            <w:vAlign w:val="bottom"/>
            <w:shd w:val="clear" w:color="auto" w:fill="CFF0FC"/>
          </w:tcPr>
          <w:p>
            <w:pPr>
              <w:spacing w:after="0"/>
              <w:rPr>
                <w:sz w:val="15"/>
                <w:szCs w:val="15"/>
                <w:color w:val="auto"/>
              </w:rPr>
            </w:pP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investment securities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15,968,415</w:t>
            </w:r>
          </w:p>
        </w:tc>
        <w:tc>
          <w:tcPr>
            <w:tcW w:w="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16,250,468</w:t>
            </w:r>
          </w:p>
        </w:tc>
        <w:tc>
          <w:tcPr>
            <w:tcW w:w="120" w:type="dxa"/>
            <w:vAlign w:val="bottom"/>
            <w:tcBorders>
              <w:bottom w:val="single" w:sz="8" w:color="CFF0FC"/>
            </w:tcBorders>
          </w:tcPr>
          <w:p>
            <w:pPr>
              <w:spacing w:after="0"/>
              <w:rPr>
                <w:sz w:val="14"/>
                <w:szCs w:val="14"/>
                <w:color w:val="auto"/>
              </w:rPr>
            </w:pPr>
          </w:p>
        </w:tc>
      </w:tr>
      <w:tr>
        <w:trPr>
          <w:trHeight w:val="169"/>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9" w:lineRule="exact"/>
              <w:rPr>
                <w:sz w:val="20"/>
                <w:szCs w:val="20"/>
                <w:color w:val="auto"/>
              </w:rPr>
            </w:pPr>
            <w:r>
              <w:rPr>
                <w:rFonts w:ascii="Arial" w:cs="Arial" w:eastAsia="Arial" w:hAnsi="Arial"/>
                <w:sz w:val="15"/>
                <w:szCs w:val="15"/>
                <w:color w:val="auto"/>
              </w:rPr>
              <w:t>Loans and leases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89,555,547</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91,101,677</w:t>
            </w:r>
          </w:p>
        </w:tc>
        <w:tc>
          <w:tcPr>
            <w:tcW w:w="120" w:type="dxa"/>
            <w:vAlign w:val="bottom"/>
            <w:shd w:val="clear" w:color="auto" w:fill="CFF0FC"/>
          </w:tcPr>
          <w:p>
            <w:pPr>
              <w:spacing w:after="0"/>
              <w:rPr>
                <w:sz w:val="14"/>
                <w:szCs w:val="14"/>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720"/>
              <w:spacing w:after="0"/>
              <w:rPr>
                <w:sz w:val="20"/>
                <w:szCs w:val="20"/>
                <w:color w:val="auto"/>
              </w:rPr>
            </w:pPr>
            <w:r>
              <w:rPr>
                <w:rFonts w:ascii="Arial" w:cs="Arial" w:eastAsia="Arial" w:hAnsi="Arial"/>
                <w:sz w:val="15"/>
                <w:szCs w:val="15"/>
                <w:color w:val="auto"/>
              </w:rPr>
              <w:t>Unearned discount</w:t>
            </w:r>
          </w:p>
        </w:tc>
        <w:tc>
          <w:tcPr>
            <w:tcW w:w="2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5"/>
                <w:szCs w:val="15"/>
                <w:color w:val="auto"/>
              </w:rPr>
              <w:t>(242,545)</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(248,261)</w:t>
            </w:r>
          </w:p>
        </w:tc>
      </w:tr>
      <w:tr>
        <w:trPr>
          <w:trHeight w:val="169"/>
        </w:trPr>
        <w:tc>
          <w:tcPr>
            <w:tcW w:w="1600" w:type="dxa"/>
            <w:vAlign w:val="bottom"/>
            <w:tcBorders>
              <w:top w:val="single" w:sz="8" w:color="CFF0FC"/>
            </w:tcBorders>
            <w:shd w:val="clear" w:color="auto" w:fill="CFF0FC"/>
          </w:tcPr>
          <w:p>
            <w:pPr>
              <w:spacing w:after="0"/>
              <w:rPr>
                <w:sz w:val="14"/>
                <w:szCs w:val="14"/>
                <w:color w:val="auto"/>
              </w:rPr>
            </w:pPr>
          </w:p>
        </w:tc>
        <w:tc>
          <w:tcPr>
            <w:tcW w:w="7020" w:type="dxa"/>
            <w:vAlign w:val="bottom"/>
            <w:tcBorders>
              <w:top w:val="single" w:sz="8" w:color="CFF0FC"/>
            </w:tcBorders>
            <w:shd w:val="clear" w:color="auto" w:fill="CFF0FC"/>
          </w:tcPr>
          <w:p>
            <w:pPr>
              <w:ind w:left="84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22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89,313,002</w:t>
            </w:r>
          </w:p>
        </w:tc>
        <w:tc>
          <w:tcPr>
            <w:tcW w:w="40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90,853,416</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720"/>
              <w:spacing w:after="0"/>
              <w:rPr>
                <w:sz w:val="20"/>
                <w:szCs w:val="20"/>
                <w:color w:val="auto"/>
              </w:rPr>
            </w:pPr>
            <w:r>
              <w:rPr>
                <w:rFonts w:ascii="Arial" w:cs="Arial" w:eastAsia="Arial" w:hAnsi="Arial"/>
                <w:sz w:val="15"/>
                <w:szCs w:val="15"/>
                <w:color w:val="auto"/>
              </w:rPr>
              <w:t>Allowance for credit losses</w:t>
            </w:r>
          </w:p>
        </w:tc>
        <w:tc>
          <w:tcPr>
            <w:tcW w:w="2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5"/>
                <w:szCs w:val="15"/>
                <w:color w:val="auto"/>
              </w:rPr>
              <w:t>(1,001,430)</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(988,997)</w:t>
            </w:r>
          </w:p>
        </w:tc>
      </w:tr>
      <w:tr>
        <w:trPr>
          <w:trHeight w:val="169"/>
        </w:trPr>
        <w:tc>
          <w:tcPr>
            <w:tcW w:w="1600" w:type="dxa"/>
            <w:vAlign w:val="bottom"/>
            <w:tcBorders>
              <w:top w:val="single" w:sz="8" w:color="CFF0FC"/>
            </w:tcBorders>
            <w:shd w:val="clear" w:color="auto" w:fill="CFF0FC"/>
          </w:tcPr>
          <w:p>
            <w:pPr>
              <w:spacing w:after="0"/>
              <w:rPr>
                <w:sz w:val="14"/>
                <w:szCs w:val="14"/>
                <w:color w:val="auto"/>
              </w:rPr>
            </w:pPr>
          </w:p>
        </w:tc>
        <w:tc>
          <w:tcPr>
            <w:tcW w:w="7020" w:type="dxa"/>
            <w:vAlign w:val="bottom"/>
            <w:tcBorders>
              <w:top w:val="single" w:sz="8" w:color="CFF0FC"/>
            </w:tcBorders>
            <w:shd w:val="clear" w:color="auto" w:fill="CFF0FC"/>
          </w:tcPr>
          <w:p>
            <w:pPr>
              <w:ind w:left="840"/>
              <w:spacing w:after="0" w:line="169" w:lineRule="exact"/>
              <w:rPr>
                <w:sz w:val="20"/>
                <w:szCs w:val="20"/>
                <w:color w:val="auto"/>
              </w:rPr>
            </w:pPr>
            <w:r>
              <w:rPr>
                <w:rFonts w:ascii="Arial" w:cs="Arial" w:eastAsia="Arial" w:hAnsi="Arial"/>
                <w:sz w:val="15"/>
                <w:szCs w:val="15"/>
                <w:color w:val="auto"/>
              </w:rPr>
              <w:t>Loans and leases, net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88,311,572</w:t>
            </w:r>
          </w:p>
        </w:tc>
        <w:tc>
          <w:tcPr>
            <w:tcW w:w="40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89,864,419</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7020" w:type="dxa"/>
            <w:vAlign w:val="bottom"/>
          </w:tcPr>
          <w:p>
            <w:pPr>
              <w:ind w:left="360"/>
              <w:spacing w:after="0" w:line="169" w:lineRule="exact"/>
              <w:rPr>
                <w:sz w:val="20"/>
                <w:szCs w:val="20"/>
                <w:color w:val="auto"/>
              </w:rPr>
            </w:pPr>
            <w:r>
              <w:rPr>
                <w:rFonts w:ascii="Arial" w:cs="Arial" w:eastAsia="Arial" w:hAnsi="Arial"/>
                <w:sz w:val="15"/>
                <w:szCs w:val="15"/>
                <w:color w:val="auto"/>
              </w:rPr>
              <w:t>Premises and equipment</w:t>
            </w: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672,769</w:t>
            </w:r>
          </w:p>
        </w:tc>
        <w:tc>
          <w:tcPr>
            <w:tcW w:w="4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675,263</w:t>
            </w:r>
          </w:p>
        </w:tc>
        <w:tc>
          <w:tcPr>
            <w:tcW w:w="120" w:type="dxa"/>
            <w:vAlign w:val="bottom"/>
          </w:tcPr>
          <w:p>
            <w:pPr>
              <w:spacing w:after="0"/>
              <w:rPr>
                <w:sz w:val="14"/>
                <w:szCs w:val="14"/>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Core deposit and other intangible assets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94,535</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97,655</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Accrued interest and other assets</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5,175,883</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5,323,235</w:t>
            </w:r>
          </w:p>
        </w:tc>
        <w:tc>
          <w:tcPr>
            <w:tcW w:w="120" w:type="dxa"/>
            <w:vAlign w:val="bottom"/>
            <w:shd w:val="clear" w:color="auto" w:fill="CFF0FC"/>
          </w:tcPr>
          <w:p>
            <w:pPr>
              <w:spacing w:after="0"/>
              <w:rPr>
                <w:sz w:val="15"/>
                <w:szCs w:val="15"/>
                <w:color w:val="auto"/>
              </w:rPr>
            </w:pPr>
          </w:p>
        </w:tc>
      </w:tr>
      <w:tr>
        <w:trPr>
          <w:trHeight w:val="209"/>
        </w:trPr>
        <w:tc>
          <w:tcPr>
            <w:tcW w:w="1600" w:type="dxa"/>
            <w:vAlign w:val="bottom"/>
            <w:tcBorders>
              <w:bottom w:val="single" w:sz="8" w:color="CFF0FC"/>
            </w:tcBorders>
          </w:tcPr>
          <w:p>
            <w:pPr>
              <w:spacing w:after="0"/>
              <w:rPr>
                <w:sz w:val="18"/>
                <w:szCs w:val="18"/>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123,223,251</w:t>
            </w:r>
          </w:p>
        </w:tc>
        <w:tc>
          <w:tcPr>
            <w:tcW w:w="4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123,449,206</w:t>
            </w:r>
          </w:p>
        </w:tc>
        <w:tc>
          <w:tcPr>
            <w:tcW w:w="120" w:type="dxa"/>
            <w:vAlign w:val="bottom"/>
            <w:tcBorders>
              <w:bottom w:val="single" w:sz="8" w:color="CFF0FC"/>
            </w:tcBorders>
          </w:tcPr>
          <w:p>
            <w:pPr>
              <w:spacing w:after="0"/>
              <w:rPr>
                <w:sz w:val="18"/>
                <w:szCs w:val="18"/>
                <w:color w:val="auto"/>
              </w:rPr>
            </w:pPr>
          </w:p>
        </w:tc>
      </w:tr>
      <w:tr>
        <w:trPr>
          <w:trHeight w:val="156"/>
        </w:trPr>
        <w:tc>
          <w:tcPr>
            <w:tcW w:w="1600" w:type="dxa"/>
            <w:vAlign w:val="bottom"/>
            <w:shd w:val="clear" w:color="auto" w:fill="CFF0FC"/>
          </w:tcPr>
          <w:p>
            <w:pPr>
              <w:spacing w:after="0"/>
              <w:rPr>
                <w:sz w:val="13"/>
                <w:szCs w:val="13"/>
                <w:color w:val="auto"/>
              </w:rPr>
            </w:pPr>
          </w:p>
        </w:tc>
        <w:tc>
          <w:tcPr>
            <w:tcW w:w="7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6"/>
        </w:trPr>
        <w:tc>
          <w:tcPr>
            <w:tcW w:w="1600" w:type="dxa"/>
            <w:vAlign w:val="bottom"/>
          </w:tcPr>
          <w:p>
            <w:pPr>
              <w:spacing w:after="0"/>
              <w:rPr>
                <w:sz w:val="20"/>
                <w:szCs w:val="20"/>
                <w:color w:val="auto"/>
              </w:rPr>
            </w:pPr>
            <w:r>
              <w:rPr>
                <w:rFonts w:ascii="Arial" w:cs="Arial" w:eastAsia="Arial" w:hAnsi="Arial"/>
                <w:sz w:val="15"/>
                <w:szCs w:val="15"/>
                <w:color w:val="auto"/>
              </w:rPr>
              <w:t>Liabilities</w:t>
            </w:r>
          </w:p>
        </w:tc>
        <w:tc>
          <w:tcPr>
            <w:tcW w:w="7020" w:type="dxa"/>
            <w:vAlign w:val="bottom"/>
          </w:tcPr>
          <w:p>
            <w:pPr>
              <w:ind w:left="360"/>
              <w:spacing w:after="0"/>
              <w:rPr>
                <w:sz w:val="20"/>
                <w:szCs w:val="20"/>
                <w:color w:val="auto"/>
              </w:rPr>
            </w:pPr>
            <w:r>
              <w:rPr>
                <w:rFonts w:ascii="Arial" w:cs="Arial" w:eastAsia="Arial" w:hAnsi="Arial"/>
                <w:sz w:val="15"/>
                <w:szCs w:val="15"/>
                <w:color w:val="auto"/>
              </w:rPr>
              <w:t>Noninterest-bearing deposits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34,279,591</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32,813,896</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Savings and interest-checking deposits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53,542,149</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52,346,207</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Time deposits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9,028,018</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10,131,846</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Deposits at Cayman Islands office</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192,763</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201,927</w:t>
            </w:r>
          </w:p>
        </w:tc>
        <w:tc>
          <w:tcPr>
            <w:tcW w:w="120" w:type="dxa"/>
            <w:vAlign w:val="bottom"/>
            <w:shd w:val="clear" w:color="auto" w:fill="CFF0FC"/>
          </w:tcPr>
          <w:p>
            <w:pPr>
              <w:spacing w:after="0"/>
              <w:rPr>
                <w:sz w:val="15"/>
                <w:szCs w:val="15"/>
                <w:color w:val="auto"/>
              </w:rPr>
            </w:pP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deposits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97,042,521</w:t>
            </w:r>
          </w:p>
        </w:tc>
        <w:tc>
          <w:tcPr>
            <w:tcW w:w="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95,493,876</w:t>
            </w:r>
          </w:p>
        </w:tc>
        <w:tc>
          <w:tcPr>
            <w:tcW w:w="120" w:type="dxa"/>
            <w:vAlign w:val="bottom"/>
            <w:tcBorders>
              <w:bottom w:val="single" w:sz="8" w:color="CFF0FC"/>
            </w:tcBorders>
          </w:tcPr>
          <w:p>
            <w:pPr>
              <w:spacing w:after="0"/>
              <w:rPr>
                <w:sz w:val="14"/>
                <w:szCs w:val="14"/>
                <w:color w:val="auto"/>
              </w:rPr>
            </w:pPr>
          </w:p>
        </w:tc>
      </w:tr>
      <w:tr>
        <w:trPr>
          <w:trHeight w:val="169"/>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9" w:lineRule="exact"/>
              <w:rPr>
                <w:sz w:val="20"/>
                <w:szCs w:val="20"/>
                <w:color w:val="auto"/>
              </w:rPr>
            </w:pPr>
            <w:r>
              <w:rPr>
                <w:rFonts w:ascii="Arial" w:cs="Arial" w:eastAsia="Arial" w:hAnsi="Arial"/>
                <w:sz w:val="15"/>
                <w:szCs w:val="15"/>
                <w:color w:val="auto"/>
              </w:rPr>
              <w:t>Federal funds purchased and agreements to repurchase securities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185,102</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163,442</w:t>
            </w:r>
          </w:p>
        </w:tc>
        <w:tc>
          <w:tcPr>
            <w:tcW w:w="120" w:type="dxa"/>
            <w:vAlign w:val="bottom"/>
            <w:shd w:val="clear" w:color="auto" w:fill="CFF0FC"/>
          </w:tcPr>
          <w:p>
            <w:pPr>
              <w:spacing w:after="0"/>
              <w:rPr>
                <w:sz w:val="14"/>
                <w:szCs w:val="14"/>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Accrued interest and other liabilities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1,694,905</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1,811,431</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Long-term borrowings</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8,087,619</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9,493,835</w:t>
            </w:r>
          </w:p>
        </w:tc>
        <w:tc>
          <w:tcPr>
            <w:tcW w:w="120" w:type="dxa"/>
            <w:vAlign w:val="bottom"/>
            <w:shd w:val="clear" w:color="auto" w:fill="CFF0FC"/>
          </w:tcPr>
          <w:p>
            <w:pPr>
              <w:spacing w:after="0"/>
              <w:rPr>
                <w:sz w:val="15"/>
                <w:szCs w:val="15"/>
                <w:color w:val="auto"/>
              </w:rPr>
            </w:pP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107,010,147</w:t>
            </w:r>
          </w:p>
        </w:tc>
        <w:tc>
          <w:tcPr>
            <w:tcW w:w="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106,962,584</w:t>
            </w:r>
          </w:p>
        </w:tc>
        <w:tc>
          <w:tcPr>
            <w:tcW w:w="120" w:type="dxa"/>
            <w:vAlign w:val="bottom"/>
            <w:tcBorders>
              <w:bottom w:val="single" w:sz="8" w:color="CFF0FC"/>
            </w:tcBorders>
          </w:tcPr>
          <w:p>
            <w:pPr>
              <w:spacing w:after="0"/>
              <w:rPr>
                <w:sz w:val="14"/>
                <w:szCs w:val="14"/>
                <w:color w:val="auto"/>
              </w:rPr>
            </w:pPr>
          </w:p>
        </w:tc>
      </w:tr>
      <w:tr>
        <w:trPr>
          <w:trHeight w:val="156"/>
        </w:trPr>
        <w:tc>
          <w:tcPr>
            <w:tcW w:w="160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Shareholders' equity</w:t>
            </w:r>
          </w:p>
        </w:tc>
        <w:tc>
          <w:tcPr>
            <w:tcW w:w="7020" w:type="dxa"/>
            <w:vAlign w:val="bottom"/>
            <w:shd w:val="clear" w:color="auto" w:fill="CFF0FC"/>
          </w:tcPr>
          <w:p>
            <w:pPr>
              <w:ind w:left="360"/>
              <w:spacing w:after="0" w:line="156" w:lineRule="exact"/>
              <w:rPr>
                <w:sz w:val="20"/>
                <w:szCs w:val="20"/>
                <w:color w:val="auto"/>
              </w:rPr>
            </w:pPr>
            <w:r>
              <w:rPr>
                <w:rFonts w:ascii="Arial" w:cs="Arial" w:eastAsia="Arial" w:hAnsi="Arial"/>
                <w:sz w:val="15"/>
                <w:szCs w:val="15"/>
                <w:color w:val="auto"/>
              </w:rPr>
              <w:t>Preferred stock, $1.00 par, 1,000,000 shares authorized;</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Issued and outstanding: Liquidation preference of $1,000 per</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share: 731,500 shares at March 31, 2017 and December 31,</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2016; Liquidation preference of $10,000 per share: 50,000</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shares at March 31, 2017 and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360"/>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460"/>
              <w:spacing w:after="0" w:line="162" w:lineRule="exact"/>
              <w:rPr>
                <w:sz w:val="20"/>
                <w:szCs w:val="20"/>
                <w:color w:val="auto"/>
              </w:rPr>
            </w:pPr>
            <w:r>
              <w:rPr>
                <w:rFonts w:ascii="Arial" w:cs="Arial" w:eastAsia="Arial" w:hAnsi="Arial"/>
                <w:sz w:val="15"/>
                <w:szCs w:val="15"/>
                <w:color w:val="auto"/>
              </w:rPr>
              <w:t>159,825,445 shares issued at March 31, 2017;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7020" w:type="dxa"/>
            <w:vAlign w:val="bottom"/>
          </w:tcPr>
          <w:p>
            <w:pPr>
              <w:ind w:left="460"/>
              <w:spacing w:after="0"/>
              <w:rPr>
                <w:sz w:val="20"/>
                <w:szCs w:val="20"/>
                <w:color w:val="auto"/>
              </w:rPr>
            </w:pPr>
            <w:r>
              <w:rPr>
                <w:rFonts w:ascii="Arial" w:cs="Arial" w:eastAsia="Arial" w:hAnsi="Arial"/>
                <w:sz w:val="15"/>
                <w:szCs w:val="15"/>
                <w:color w:val="auto"/>
              </w:rPr>
              <w:t>159,945,678 shares issued at December 31, 2016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79,913</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79,973</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Common stock issuable, 28,740 shares at March 31,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32,403 shares at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1,921</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2,145</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6,603,355</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6,676,948</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9,437,450</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9,222,488</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Accumulated other comprehensive income (loss), net</w:t>
            </w:r>
          </w:p>
        </w:tc>
        <w:tc>
          <w:tcPr>
            <w:tcW w:w="2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5"/>
                <w:szCs w:val="15"/>
                <w:color w:val="auto"/>
              </w:rPr>
              <w:t>(291,567)</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(294,636)</w:t>
            </w: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Treasury stock - common, at cost - 6,073,095 shares at March 31,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3,764,742 shares at December 31, 2016</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5"/>
                <w:szCs w:val="15"/>
                <w:color w:val="auto"/>
              </w:rPr>
              <w:t>(849,468)</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(431,796)</w:t>
            </w: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360"/>
              <w:spacing w:after="0" w:line="169" w:lineRule="exact"/>
              <w:rPr>
                <w:sz w:val="20"/>
                <w:szCs w:val="20"/>
                <w:color w:val="auto"/>
              </w:rPr>
            </w:pPr>
            <w:r>
              <w:rPr>
                <w:rFonts w:ascii="Arial" w:cs="Arial" w:eastAsia="Arial" w:hAnsi="Arial"/>
                <w:sz w:val="15"/>
                <w:szCs w:val="15"/>
                <w:color w:val="auto"/>
              </w:rPr>
              <w:t>Total shareholders’ equity</w:t>
            </w: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16,213,104</w:t>
            </w:r>
          </w:p>
        </w:tc>
        <w:tc>
          <w:tcPr>
            <w:tcW w:w="400" w:type="dxa"/>
            <w:vAlign w:val="bottom"/>
            <w:tcBorders>
              <w:bottom w:val="single" w:sz="8" w:color="CFF0FC"/>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16,486,622</w:t>
            </w:r>
          </w:p>
        </w:tc>
        <w:tc>
          <w:tcPr>
            <w:tcW w:w="120" w:type="dxa"/>
            <w:vAlign w:val="bottom"/>
            <w:tcBorders>
              <w:bottom w:val="single" w:sz="8" w:color="CFF0FC"/>
            </w:tcBorders>
          </w:tcPr>
          <w:p>
            <w:pPr>
              <w:spacing w:after="0"/>
              <w:rPr>
                <w:sz w:val="14"/>
                <w:szCs w:val="14"/>
                <w:color w:val="auto"/>
              </w:rPr>
            </w:pPr>
          </w:p>
        </w:tc>
      </w:tr>
      <w:tr>
        <w:trPr>
          <w:trHeight w:val="169"/>
        </w:trPr>
        <w:tc>
          <w:tcPr>
            <w:tcW w:w="1600" w:type="dxa"/>
            <w:vAlign w:val="bottom"/>
            <w:tcBorders>
              <w:bottom w:val="single" w:sz="8" w:color="CFF0FC"/>
            </w:tcBorders>
            <w:shd w:val="clear" w:color="auto" w:fill="CFF0FC"/>
          </w:tcPr>
          <w:p>
            <w:pPr>
              <w:spacing w:after="0"/>
              <w:rPr>
                <w:sz w:val="14"/>
                <w:szCs w:val="14"/>
                <w:color w:val="auto"/>
              </w:rPr>
            </w:pPr>
          </w:p>
        </w:tc>
        <w:tc>
          <w:tcPr>
            <w:tcW w:w="7020" w:type="dxa"/>
            <w:vAlign w:val="bottom"/>
            <w:tcBorders>
              <w:bottom w:val="single" w:sz="8" w:color="CFF0FC"/>
            </w:tcBorders>
            <w:shd w:val="clear" w:color="auto" w:fill="CFF0FC"/>
          </w:tcPr>
          <w:p>
            <w:pPr>
              <w:ind w:left="36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2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123,223,251</w:t>
            </w:r>
          </w:p>
        </w:tc>
        <w:tc>
          <w:tcPr>
            <w:tcW w:w="40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123,449,206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ind w:left="40"/>
              <w:spacing w:after="0"/>
              <w:rPr>
                <w:sz w:val="20"/>
                <w:szCs w:val="20"/>
                <w:color w:val="auto"/>
              </w:rPr>
            </w:pPr>
            <w:r>
              <w:rPr>
                <w:rFonts w:ascii="Arial" w:cs="Arial" w:eastAsia="Arial" w:hAnsi="Arial"/>
                <w:sz w:val="14"/>
                <w:szCs w:val="14"/>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6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In thousands, except per share</w:t>
            </w:r>
          </w:p>
        </w:tc>
        <w:tc>
          <w:tcPr>
            <w:tcW w:w="5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11"/>
              <w:spacing w:after="0" w:line="154" w:lineRule="exact"/>
              <w:rPr>
                <w:sz w:val="20"/>
                <w:szCs w:val="20"/>
                <w:color w:val="auto"/>
              </w:rPr>
            </w:pPr>
            <w:r>
              <w:rPr>
                <w:rFonts w:ascii="Arial" w:cs="Arial" w:eastAsia="Arial" w:hAnsi="Arial"/>
                <w:sz w:val="14"/>
                <w:szCs w:val="14"/>
                <w:color w:val="auto"/>
              </w:rPr>
              <w:t>2017</w:t>
            </w:r>
          </w:p>
        </w:tc>
        <w:tc>
          <w:tcPr>
            <w:tcW w:w="340" w:type="dxa"/>
            <w:vAlign w:val="bottom"/>
          </w:tcPr>
          <w:p>
            <w:pPr>
              <w:spacing w:after="0"/>
              <w:rPr>
                <w:sz w:val="13"/>
                <w:szCs w:val="13"/>
                <w:color w:val="auto"/>
              </w:rPr>
            </w:pPr>
          </w:p>
        </w:tc>
        <w:tc>
          <w:tcPr>
            <w:tcW w:w="920" w:type="dxa"/>
            <w:vAlign w:val="bottom"/>
          </w:tcPr>
          <w:p>
            <w:pPr>
              <w:jc w:val="right"/>
              <w:ind w:right="230"/>
              <w:spacing w:after="0" w:line="154"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Loans and leases, including fees</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898,038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863,385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Investment securities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Fully taxable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95,124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640"/>
              <w:spacing w:after="0"/>
              <w:rPr>
                <w:sz w:val="20"/>
                <w:szCs w:val="20"/>
                <w:color w:val="auto"/>
              </w:rPr>
            </w:pPr>
            <w:r>
              <w:rPr>
                <w:rFonts w:ascii="Arial" w:cs="Arial" w:eastAsia="Arial" w:hAnsi="Arial"/>
                <w:sz w:val="18"/>
                <w:szCs w:val="18"/>
                <w:color w:val="auto"/>
              </w:rPr>
              <w:t>Exempt from federal taxes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Deposits at banks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7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Total interest income</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1,006,033</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972,834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720" w:type="dxa"/>
            <w:vAlign w:val="bottom"/>
          </w:tcPr>
          <w:p>
            <w:pPr>
              <w:ind w:left="400"/>
              <w:spacing w:after="0"/>
              <w:rPr>
                <w:sz w:val="20"/>
                <w:szCs w:val="20"/>
                <w:color w:val="auto"/>
              </w:rPr>
            </w:pPr>
            <w:r>
              <w:rPr>
                <w:rFonts w:ascii="Arial" w:cs="Arial" w:eastAsia="Arial" w:hAnsi="Arial"/>
                <w:sz w:val="18"/>
                <w:szCs w:val="18"/>
                <w:color w:val="auto"/>
              </w:rPr>
              <w:t>Savings and interest-checking deposits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25,634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Time deposits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Deposits at Cayman Islands office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Short-term borrowings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7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Long-term borrowings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46,660</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Total interest expense</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91,773</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i w:val="1"/>
                <w:iCs w:val="1"/>
                <w:color w:val="auto"/>
              </w:rPr>
              <w:t>Net interest income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914,260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Provision for credit losses</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7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Net interest income after provision for credit losses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859,260</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822,964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w:t>
            </w: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Mortgage banking revenues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84,692</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Service charges on deposit accounts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104,176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Trust income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Brokerage services income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17,384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Trading account and foreign exchange gains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Gain on bank investment securities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Other revenues from operations</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110,887</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720" w:type="dxa"/>
            <w:vAlign w:val="bottom"/>
            <w:tcBorders>
              <w:bottom w:val="single" w:sz="8" w:color="CFF0FC"/>
            </w:tcBorders>
          </w:tcPr>
          <w:p>
            <w:pPr>
              <w:ind w:left="900"/>
              <w:spacing w:after="0"/>
              <w:rPr>
                <w:sz w:val="20"/>
                <w:szCs w:val="20"/>
                <w:color w:val="auto"/>
              </w:rPr>
            </w:pPr>
            <w:r>
              <w:rPr>
                <w:rFonts w:ascii="Arial" w:cs="Arial" w:eastAsia="Arial" w:hAnsi="Arial"/>
                <w:sz w:val="18"/>
                <w:szCs w:val="18"/>
                <w:color w:val="auto"/>
              </w:rPr>
              <w:t>Total other income</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446,845</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Salaries and employee benefits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449,862</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Equipment and net occupancy</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74,366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Outside data processing and software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FDIC assessments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28,827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Advertising and marketing</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Printing, postage and supplies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9,708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Amortization of core deposit and other intangible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7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Other costs of operations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156,258</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Total other expense</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787,852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776,095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Income before taxes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518,253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169,326</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5720" w:type="dxa"/>
            <w:vAlign w:val="bottom"/>
            <w:tcBorders>
              <w:bottom w:val="single" w:sz="8" w:color="CFF0FC"/>
            </w:tcBorders>
          </w:tcPr>
          <w:p>
            <w:pPr>
              <w:ind w:left="400"/>
              <w:spacing w:after="0"/>
              <w:rPr>
                <w:sz w:val="20"/>
                <w:szCs w:val="20"/>
                <w:color w:val="auto"/>
              </w:rPr>
            </w:pPr>
            <w:r>
              <w:rPr>
                <w:rFonts w:ascii="Arial" w:cs="Arial" w:eastAsia="Arial" w:hAnsi="Arial"/>
                <w:sz w:val="18"/>
                <w:szCs w:val="18"/>
                <w:i w:val="1"/>
                <w:iCs w:val="1"/>
                <w:color w:val="auto"/>
              </w:rPr>
              <w:t>Net income</w:t>
            </w:r>
          </w:p>
        </w:tc>
        <w:tc>
          <w:tcPr>
            <w:tcW w:w="1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348,927</w:t>
            </w:r>
          </w:p>
        </w:tc>
        <w:tc>
          <w:tcPr>
            <w:tcW w:w="34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298,528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b w:val="1"/>
                <w:bCs w:val="1"/>
                <w:color w:val="auto"/>
              </w:rPr>
              <w:t>Net income available to common shareholders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90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328,562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328,567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b w:val="1"/>
                <w:bCs w:val="1"/>
                <w:color w:val="auto"/>
              </w:rPr>
              <w:t>Net income per common share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Basic</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900"/>
              <w:spacing w:after="0"/>
              <w:rPr>
                <w:sz w:val="20"/>
                <w:szCs w:val="20"/>
                <w:color w:val="auto"/>
              </w:rPr>
            </w:pPr>
            <w:r>
              <w:rPr>
                <w:rFonts w:ascii="Arial" w:cs="Arial" w:eastAsia="Arial" w:hAnsi="Arial"/>
                <w:sz w:val="18"/>
                <w:szCs w:val="18"/>
                <w:color w:val="auto"/>
              </w:rPr>
              <w:t>Diluted</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Cash dividends per common share</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Average common shares outstanding</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7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Basic</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154,427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20" w:type="dxa"/>
            <w:vAlign w:val="bottom"/>
          </w:tcPr>
          <w:p>
            <w:pPr>
              <w:ind w:left="900"/>
              <w:spacing w:after="0"/>
              <w:rPr>
                <w:sz w:val="20"/>
                <w:szCs w:val="20"/>
                <w:color w:val="auto"/>
              </w:rPr>
            </w:pPr>
            <w:r>
              <w:rPr>
                <w:rFonts w:ascii="Arial" w:cs="Arial" w:eastAsia="Arial" w:hAnsi="Arial"/>
                <w:sz w:val="18"/>
                <w:szCs w:val="18"/>
                <w:color w:val="auto"/>
              </w:rPr>
              <w:t>Diluted</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154,949</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20" w:type="dxa"/>
            <w:vAlign w:val="bottom"/>
          </w:tcPr>
          <w:p>
            <w:pPr>
              <w:ind w:left="3400"/>
              <w:spacing w:after="0"/>
              <w:rPr>
                <w:sz w:val="20"/>
                <w:szCs w:val="20"/>
                <w:color w:val="auto"/>
              </w:rPr>
            </w:pPr>
            <w:r>
              <w:rPr>
                <w:rFonts w:ascii="Arial" w:cs="Arial" w:eastAsia="Arial" w:hAnsi="Arial"/>
                <w:sz w:val="18"/>
                <w:szCs w:val="18"/>
                <w:color w:val="auto"/>
              </w:rPr>
              <w:t>- 4 -</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4"/>
          </w:tcPr>
          <w:p>
            <w:pPr>
              <w:jc w:val="right"/>
              <w:ind w:right="660"/>
              <w:spacing w:after="0"/>
              <w:rPr>
                <w:sz w:val="20"/>
                <w:szCs w:val="20"/>
                <w:color w:val="auto"/>
              </w:rPr>
            </w:pPr>
            <w:r>
              <w:rPr>
                <w:rFonts w:ascii="Arial" w:cs="Arial" w:eastAsia="Arial" w:hAnsi="Arial"/>
                <w:sz w:val="14"/>
                <w:szCs w:val="14"/>
                <w:color w:val="auto"/>
                <w:w w:val="97"/>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In thousands</w:t>
            </w:r>
          </w:p>
        </w:tc>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74"/>
              <w:spacing w:after="0" w:line="154" w:lineRule="exact"/>
              <w:rPr>
                <w:sz w:val="20"/>
                <w:szCs w:val="20"/>
                <w:color w:val="auto"/>
              </w:rPr>
            </w:pPr>
            <w:r>
              <w:rPr>
                <w:rFonts w:ascii="Arial" w:cs="Arial" w:eastAsia="Arial" w:hAnsi="Arial"/>
                <w:sz w:val="14"/>
                <w:szCs w:val="14"/>
                <w:color w:val="auto"/>
              </w:rPr>
              <w:t>2017</w:t>
            </w:r>
          </w:p>
        </w:tc>
        <w:tc>
          <w:tcPr>
            <w:tcW w:w="380" w:type="dxa"/>
            <w:vAlign w:val="bottom"/>
          </w:tcPr>
          <w:p>
            <w:pPr>
              <w:spacing w:after="0"/>
              <w:rPr>
                <w:sz w:val="13"/>
                <w:szCs w:val="13"/>
                <w:color w:val="auto"/>
              </w:rPr>
            </w:pPr>
          </w:p>
        </w:tc>
        <w:tc>
          <w:tcPr>
            <w:tcW w:w="1000" w:type="dxa"/>
            <w:vAlign w:val="bottom"/>
          </w:tcPr>
          <w:p>
            <w:pPr>
              <w:jc w:val="right"/>
              <w:ind w:right="272"/>
              <w:spacing w:after="0" w:line="154" w:lineRule="exact"/>
              <w:rPr>
                <w:sz w:val="20"/>
                <w:szCs w:val="20"/>
                <w:color w:val="auto"/>
              </w:rPr>
            </w:pPr>
            <w:r>
              <w:rPr>
                <w:rFonts w:ascii="Arial" w:cs="Arial" w:eastAsia="Arial" w:hAnsi="Arial"/>
                <w:sz w:val="14"/>
                <w:szCs w:val="14"/>
                <w:color w:val="auto"/>
              </w:rPr>
              <w:t>2016</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3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348,927</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298,528</w:t>
            </w:r>
          </w:p>
        </w:tc>
        <w:tc>
          <w:tcPr>
            <w:tcW w:w="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 and reclassification adjustments:</w:t>
            </w: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unrealized gains (losses) on investment securities</w:t>
            </w:r>
          </w:p>
        </w:tc>
        <w:tc>
          <w:tcPr>
            <w:tcW w:w="3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(1,356)</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97,194</w:t>
            </w:r>
          </w:p>
        </w:tc>
        <w:tc>
          <w:tcPr>
            <w:tcW w:w="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Arial" w:cs="Arial" w:eastAsia="Arial" w:hAnsi="Arial"/>
                <w:sz w:val="18"/>
                <w:szCs w:val="18"/>
                <w:color w:val="auto"/>
              </w:rPr>
              <w:t>Cash flow hedges adjustments</w:t>
            </w: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3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Defined benefit plans liability adjustments</w:t>
            </w:r>
          </w:p>
        </w:tc>
        <w:tc>
          <w:tcPr>
            <w:tcW w:w="3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3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3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other comprehensive income</w:t>
            </w:r>
          </w:p>
        </w:tc>
        <w:tc>
          <w:tcPr>
            <w:tcW w:w="3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3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101,438</w:t>
            </w:r>
          </w:p>
        </w:tc>
        <w:tc>
          <w:tcPr>
            <w:tcW w:w="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480"/>
              <w:spacing w:after="0"/>
              <w:rPr>
                <w:sz w:val="20"/>
                <w:szCs w:val="20"/>
                <w:color w:val="auto"/>
              </w:rPr>
            </w:pPr>
            <w:r>
              <w:rPr>
                <w:rFonts w:ascii="Arial" w:cs="Arial" w:eastAsia="Arial" w:hAnsi="Arial"/>
                <w:sz w:val="18"/>
                <w:szCs w:val="18"/>
                <w:i w:val="1"/>
                <w:iCs w:val="1"/>
                <w:color w:val="auto"/>
              </w:rPr>
              <w:t>Total comprehensive income</w:t>
            </w:r>
          </w:p>
        </w:tc>
        <w:tc>
          <w:tcPr>
            <w:tcW w:w="3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351,996</w:t>
            </w:r>
          </w:p>
        </w:tc>
        <w:tc>
          <w:tcPr>
            <w:tcW w:w="3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399,966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60" w:type="dxa"/>
            <w:vAlign w:val="bottom"/>
            <w:vMerge w:val="restart"/>
          </w:tcPr>
          <w:p>
            <w:pPr>
              <w:jc w:val="right"/>
              <w:ind w:right="2730"/>
              <w:spacing w:after="0"/>
              <w:rPr>
                <w:sz w:val="20"/>
                <w:szCs w:val="20"/>
                <w:color w:val="auto"/>
              </w:rPr>
            </w:pPr>
            <w:r>
              <w:rPr>
                <w:rFonts w:ascii="Arial" w:cs="Arial" w:eastAsia="Arial" w:hAnsi="Arial"/>
                <w:sz w:val="18"/>
                <w:szCs w:val="18"/>
                <w:color w:val="auto"/>
              </w:rPr>
              <w:t>- 5 -</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tcPr>
          <w:p>
            <w:pPr>
              <w:jc w:val="right"/>
              <w:ind w:right="260"/>
              <w:spacing w:after="0"/>
              <w:rPr>
                <w:sz w:val="20"/>
                <w:szCs w:val="20"/>
                <w:color w:val="auto"/>
              </w:rPr>
            </w:pPr>
            <w:r>
              <w:rPr>
                <w:rFonts w:ascii="Arial" w:cs="Arial" w:eastAsia="Arial" w:hAnsi="Arial"/>
                <w:sz w:val="14"/>
                <w:szCs w:val="14"/>
                <w:color w:val="auto"/>
                <w:w w:val="94"/>
              </w:rPr>
              <w:t>Three Months Ended March 31</w:t>
            </w:r>
          </w:p>
        </w:tc>
        <w:tc>
          <w:tcPr>
            <w:tcW w:w="0" w:type="dxa"/>
            <w:vAlign w:val="bottom"/>
          </w:tcPr>
          <w:p>
            <w:pPr>
              <w:spacing w:after="0"/>
              <w:rPr>
                <w:sz w:val="1"/>
                <w:szCs w:val="1"/>
                <w:color w:val="auto"/>
              </w:rPr>
            </w:pPr>
          </w:p>
        </w:tc>
      </w:tr>
      <w:tr>
        <w:trPr>
          <w:trHeight w:val="154"/>
        </w:trPr>
        <w:tc>
          <w:tcPr>
            <w:tcW w:w="228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In thousands</w:t>
            </w:r>
          </w:p>
        </w:tc>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28"/>
              <w:spacing w:after="0" w:line="154" w:lineRule="exact"/>
              <w:rPr>
                <w:sz w:val="20"/>
                <w:szCs w:val="20"/>
                <w:color w:val="auto"/>
              </w:rPr>
            </w:pPr>
            <w:r>
              <w:rPr>
                <w:rFonts w:ascii="Arial" w:cs="Arial" w:eastAsia="Arial" w:hAnsi="Arial"/>
                <w:sz w:val="14"/>
                <w:szCs w:val="14"/>
                <w:color w:val="auto"/>
              </w:rPr>
              <w:t>2017</w:t>
            </w:r>
          </w:p>
        </w:tc>
        <w:tc>
          <w:tcPr>
            <w:tcW w:w="340" w:type="dxa"/>
            <w:vAlign w:val="bottom"/>
          </w:tcPr>
          <w:p>
            <w:pPr>
              <w:spacing w:after="0"/>
              <w:rPr>
                <w:sz w:val="13"/>
                <w:szCs w:val="13"/>
                <w:color w:val="auto"/>
              </w:rPr>
            </w:pPr>
          </w:p>
        </w:tc>
        <w:tc>
          <w:tcPr>
            <w:tcW w:w="900" w:type="dxa"/>
            <w:vAlign w:val="bottom"/>
          </w:tcPr>
          <w:p>
            <w:pPr>
              <w:jc w:val="right"/>
              <w:ind w:right="248"/>
              <w:spacing w:after="0" w:line="154"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280" w:type="dxa"/>
            <w:vAlign w:val="bottom"/>
            <w:gridSpan w:val="2"/>
          </w:tcPr>
          <w:p>
            <w:pPr>
              <w:spacing w:after="0"/>
              <w:rPr>
                <w:sz w:val="20"/>
                <w:szCs w:val="20"/>
                <w:color w:val="auto"/>
              </w:rPr>
            </w:pPr>
            <w:r>
              <w:rPr>
                <w:rFonts w:ascii="Arial" w:cs="Arial" w:eastAsia="Arial" w:hAnsi="Arial"/>
                <w:sz w:val="14"/>
                <w:szCs w:val="14"/>
                <w:color w:val="auto"/>
              </w:rPr>
              <w:t>Cash flows from operating</w:t>
            </w:r>
          </w:p>
        </w:tc>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348,927</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298,528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Provision for credit losses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55,000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Depreciation and amortization of premises and equipment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27,429</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Amortization of capitalized servicing rights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13,543</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Amortization of core deposit and other intangible assets</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8,420</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Provision for deferred income taxes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36,731</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Asset write-downs</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5,118</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Net gain on sales of assets</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(11,647)</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(5,399)</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Net change in accrued interest receivable, payable</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(23,782)</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(16,530)</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Net change in other accrued income and expense</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(209)</w:t>
            </w:r>
          </w:p>
        </w:tc>
        <w:tc>
          <w:tcPr>
            <w:tcW w:w="900" w:type="dxa"/>
            <w:vAlign w:val="bottom"/>
          </w:tcPr>
          <w:p>
            <w:pPr>
              <w:jc w:val="right"/>
              <w:spacing w:after="0"/>
              <w:rPr>
                <w:sz w:val="20"/>
                <w:szCs w:val="20"/>
                <w:color w:val="auto"/>
              </w:rPr>
            </w:pPr>
            <w:r>
              <w:rPr>
                <w:rFonts w:ascii="Arial" w:cs="Arial" w:eastAsia="Arial" w:hAnsi="Arial"/>
                <w:sz w:val="14"/>
                <w:szCs w:val="14"/>
                <w:color w:val="auto"/>
              </w:rPr>
              <w:t>70,766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Net change in loans originated for sale</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712,954</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Net change in trading account assets and liabilities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113,332</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(59,080)</w:t>
            </w:r>
          </w:p>
        </w:tc>
        <w:tc>
          <w:tcPr>
            <w:tcW w:w="0" w:type="dxa"/>
            <w:vAlign w:val="bottom"/>
          </w:tcPr>
          <w:p>
            <w:pPr>
              <w:spacing w:after="0"/>
              <w:rPr>
                <w:sz w:val="1"/>
                <w:szCs w:val="1"/>
                <w:color w:val="auto"/>
              </w:rPr>
            </w:pPr>
          </w:p>
        </w:tc>
      </w:tr>
      <w:tr>
        <w:trPr>
          <w:trHeight w:val="156"/>
        </w:trPr>
        <w:tc>
          <w:tcPr>
            <w:tcW w:w="74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CFF0FC"/>
            </w:tcBorders>
            <w:shd w:val="clear" w:color="auto" w:fill="CFF0FC"/>
          </w:tcPr>
          <w:p>
            <w:pPr>
              <w:spacing w:after="0"/>
              <w:rPr>
                <w:sz w:val="13"/>
                <w:szCs w:val="13"/>
                <w:color w:val="auto"/>
              </w:rPr>
            </w:pPr>
          </w:p>
        </w:tc>
        <w:tc>
          <w:tcPr>
            <w:tcW w:w="6920" w:type="dxa"/>
            <w:vAlign w:val="bottom"/>
            <w:tcBorders>
              <w:top w:val="single" w:sz="8" w:color="CFF0FC"/>
            </w:tcBorders>
            <w:shd w:val="clear" w:color="auto" w:fill="CFF0FC"/>
          </w:tcPr>
          <w:p>
            <w:pPr>
              <w:ind w:left="7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1,285,816</w:t>
            </w:r>
          </w:p>
        </w:tc>
        <w:tc>
          <w:tcPr>
            <w:tcW w:w="3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448,220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investing</w:t>
            </w:r>
          </w:p>
        </w:tc>
        <w:tc>
          <w:tcPr>
            <w:tcW w:w="6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Proceeds from sales of investment securities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maturities of investment securities</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Available for sale</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697,756</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511,549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Held to maturity</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121,455</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132,636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Purchases of investment securities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(5,143)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(311,302)</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Held to maturity</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(539,516)</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(5,343)</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(278)</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Net decrease (increase) in loans and leases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797,351</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(439,712)</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in interest-bearing deposits at banks</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(1,944,511)</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(1,950,831)</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Capital expenditures, net</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(21,521)</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(16,307)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decrease in loan servicing advances</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56,437</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692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11,863</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920" w:type="dxa"/>
            <w:vAlign w:val="bottom"/>
            <w:shd w:val="clear" w:color="auto" w:fill="CFF0FC"/>
          </w:tcPr>
          <w:p>
            <w:pPr>
              <w:ind w:left="540"/>
              <w:spacing w:after="0" w:line="155" w:lineRule="exact"/>
              <w:rPr>
                <w:sz w:val="20"/>
                <w:szCs w:val="20"/>
                <w:color w:val="auto"/>
              </w:rPr>
            </w:pPr>
            <w:r>
              <w:rPr>
                <w:rFonts w:ascii="Arial" w:cs="Arial" w:eastAsia="Arial" w:hAnsi="Arial"/>
                <w:sz w:val="14"/>
                <w:szCs w:val="14"/>
                <w:color w:val="auto"/>
              </w:rPr>
              <w:t>Net cash used by investing activities</w:t>
            </w:r>
          </w:p>
        </w:tc>
        <w:tc>
          <w:tcPr>
            <w:tcW w:w="1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(826,007)</w:t>
            </w:r>
          </w:p>
        </w:tc>
        <w:tc>
          <w:tcPr>
            <w:tcW w:w="34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(2,015,275)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financing</w:t>
            </w:r>
          </w:p>
        </w:tc>
        <w:tc>
          <w:tcPr>
            <w:tcW w:w="6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Net increase in deposits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1,550,297</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2,264,623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(decrease) in short-term borrowings</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21,660</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(343,838)</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Payments on long-term borrowings</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(1,401,410)</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(317,187)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Purchases of treasury stock</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(532,073)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Dividends paid — common</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(116,566)</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(112,000)</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Dividends paid — preferred</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(17,368)</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(17,368)</w:t>
            </w: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692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920" w:type="dxa"/>
            <w:vAlign w:val="bottom"/>
            <w:shd w:val="clear" w:color="auto" w:fill="CFF0FC"/>
          </w:tcPr>
          <w:p>
            <w:pPr>
              <w:ind w:left="540"/>
              <w:spacing w:after="0" w:line="155" w:lineRule="exact"/>
              <w:rPr>
                <w:sz w:val="20"/>
                <w:szCs w:val="20"/>
                <w:color w:val="auto"/>
              </w:rPr>
            </w:pPr>
            <w:r>
              <w:rPr>
                <w:rFonts w:ascii="Arial" w:cs="Arial" w:eastAsia="Arial" w:hAnsi="Arial"/>
                <w:sz w:val="14"/>
                <w:szCs w:val="14"/>
                <w:color w:val="auto"/>
              </w:rPr>
              <w:t>Net cash provided (used) by financing activities</w:t>
            </w:r>
          </w:p>
        </w:tc>
        <w:tc>
          <w:tcPr>
            <w:tcW w:w="1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(493,396)</w:t>
            </w:r>
          </w:p>
        </w:tc>
        <w:tc>
          <w:tcPr>
            <w:tcW w:w="34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1,377,190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920" w:type="dxa"/>
            <w:vAlign w:val="bottom"/>
          </w:tcPr>
          <w:p>
            <w:pPr>
              <w:ind w:left="300"/>
              <w:spacing w:after="0" w:line="155" w:lineRule="exact"/>
              <w:rPr>
                <w:sz w:val="20"/>
                <w:szCs w:val="20"/>
                <w:color w:val="auto"/>
              </w:rPr>
            </w:pPr>
            <w:r>
              <w:rPr>
                <w:rFonts w:ascii="Arial" w:cs="Arial" w:eastAsia="Arial" w:hAnsi="Arial"/>
                <w:sz w:val="14"/>
                <w:szCs w:val="14"/>
                <w:color w:val="auto"/>
              </w:rPr>
              <w:t>Net decrease in cash and cash equivalents</w:t>
            </w: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(33,587)</w:t>
            </w:r>
          </w:p>
        </w:tc>
        <w:tc>
          <w:tcPr>
            <w:tcW w:w="3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(189,865)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1,320,549</w:t>
            </w:r>
          </w:p>
        </w:tc>
        <w:tc>
          <w:tcPr>
            <w:tcW w:w="3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1,368,040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spacing w:after="0"/>
              <w:rPr>
                <w:sz w:val="17"/>
                <w:szCs w:val="17"/>
                <w:color w:val="auto"/>
              </w:rPr>
            </w:pPr>
          </w:p>
        </w:tc>
        <w:tc>
          <w:tcPr>
            <w:tcW w:w="6920" w:type="dxa"/>
            <w:vAlign w:val="bottom"/>
            <w:tcBorders>
              <w:bottom w:val="single" w:sz="8" w:color="CFF0FC"/>
            </w:tcBorders>
          </w:tcPr>
          <w:p>
            <w:pPr>
              <w:ind w:left="30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1,286,962</w:t>
            </w:r>
          </w:p>
        </w:tc>
        <w:tc>
          <w:tcPr>
            <w:tcW w:w="3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1,178,175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80" w:type="dxa"/>
            <w:vAlign w:val="bottom"/>
            <w:gridSpan w:val="2"/>
            <w:shd w:val="clear" w:color="auto" w:fill="CFF0FC"/>
          </w:tcPr>
          <w:p>
            <w:pPr>
              <w:spacing w:after="0" w:line="124" w:lineRule="exact"/>
              <w:rPr>
                <w:sz w:val="20"/>
                <w:szCs w:val="20"/>
                <w:color w:val="auto"/>
              </w:rPr>
            </w:pPr>
            <w:r>
              <w:rPr>
                <w:rFonts w:ascii="Arial" w:cs="Arial" w:eastAsia="Arial" w:hAnsi="Arial"/>
                <w:sz w:val="14"/>
                <w:szCs w:val="14"/>
                <w:color w:val="auto"/>
              </w:rPr>
              <w:t>Supplemental disclosure of cash</w:t>
            </w:r>
          </w:p>
        </w:tc>
        <w:tc>
          <w:tcPr>
            <w:tcW w:w="6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flow information</w:t>
            </w: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received during the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1,001,129</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968,223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Interest paid during the period</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116,183</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taxes paid (refunded) during the period</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29,272</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(86,146)</w:t>
            </w: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4"/>
                <w:szCs w:val="14"/>
                <w:color w:val="auto"/>
              </w:rPr>
              <w:t>Supplemental schedule of</w:t>
            </w:r>
          </w:p>
        </w:tc>
        <w:tc>
          <w:tcPr>
            <w:tcW w:w="6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80" w:type="dxa"/>
            <w:vAlign w:val="bottom"/>
            <w:gridSpan w:val="2"/>
            <w:vMerge w:val="continue"/>
          </w:tcPr>
          <w:p>
            <w:pPr>
              <w:spacing w:after="0"/>
              <w:rPr>
                <w:sz w:val="10"/>
                <w:szCs w:val="10"/>
                <w:color w:val="auto"/>
              </w:rPr>
            </w:pPr>
          </w:p>
        </w:tc>
        <w:tc>
          <w:tcPr>
            <w:tcW w:w="6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investing and financing</w:t>
            </w:r>
          </w:p>
        </w:tc>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Real estate acquired in settlement of loans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23,607</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Securitization of residential mortgage loans allocated to</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Available-for-sale investment securities</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3,684</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Capitalized servicing rights</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Common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Comprehensive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Preferred</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Common</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Stock</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Income</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Treasury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314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In thousands, except per share</w:t>
            </w:r>
          </w:p>
        </w:tc>
        <w:tc>
          <w:tcPr>
            <w:tcW w:w="400" w:type="dxa"/>
            <w:vAlign w:val="bottom"/>
          </w:tcPr>
          <w:p>
            <w:pPr>
              <w:spacing w:after="0"/>
              <w:rPr>
                <w:sz w:val="15"/>
                <w:szCs w:val="15"/>
                <w:color w:val="auto"/>
              </w:rPr>
            </w:pPr>
          </w:p>
        </w:tc>
        <w:tc>
          <w:tcPr>
            <w:tcW w:w="104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1"/>
              </w:rPr>
              <w:t>Stock</w:t>
            </w:r>
          </w:p>
        </w:tc>
        <w:tc>
          <w:tcPr>
            <w:tcW w:w="82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Stock</w:t>
            </w:r>
          </w:p>
        </w:tc>
        <w:tc>
          <w:tcPr>
            <w:tcW w:w="80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88"/>
              </w:rPr>
              <w:t>Issuable</w:t>
            </w:r>
          </w:p>
        </w:tc>
        <w:tc>
          <w:tcPr>
            <w:tcW w:w="104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Capital</w:t>
            </w:r>
          </w:p>
        </w:tc>
        <w:tc>
          <w:tcPr>
            <w:tcW w:w="98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5"/>
                <w:szCs w:val="15"/>
                <w:color w:val="auto"/>
              </w:rPr>
            </w:pPr>
          </w:p>
        </w:tc>
        <w:tc>
          <w:tcPr>
            <w:tcW w:w="110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3"/>
              </w:rPr>
              <w:t>(Loss), Net</w:t>
            </w:r>
          </w:p>
        </w:tc>
        <w:tc>
          <w:tcPr>
            <w:tcW w:w="98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r>
      <w:tr>
        <w:trPr>
          <w:trHeight w:val="217"/>
        </w:trPr>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Balance — January 1, 2016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$ 1,231,500</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79,782</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6,680,768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8,430,502</w:t>
            </w: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(251,627)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16,173,289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298,528</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101,438</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(20,318)</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(20,318)</w:t>
            </w: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(100,000)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 net</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(978)</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30"/>
        </w:trPr>
        <w:tc>
          <w:tcPr>
            <w:tcW w:w="3140" w:type="dxa"/>
            <w:vAlign w:val="bottom"/>
            <w:gridSpan w:val="2"/>
          </w:tcPr>
          <w:p>
            <w:pPr>
              <w:ind w:left="260"/>
              <w:spacing w:after="0"/>
              <w:rPr>
                <w:sz w:val="20"/>
                <w:szCs w:val="20"/>
                <w:color w:val="auto"/>
              </w:rPr>
            </w:pPr>
            <w:r>
              <w:rPr>
                <w:rFonts w:ascii="Arial" w:cs="Arial" w:eastAsia="Arial" w:hAnsi="Arial"/>
                <w:sz w:val="18"/>
                <w:szCs w:val="18"/>
                <w:color w:val="auto"/>
              </w:rPr>
              <w:t>Exercises of stock options, net</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2,335</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purchase plan</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10,319</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tcPr>
          <w:p>
            <w:pPr>
              <w:ind w:left="260"/>
              <w:spacing w:after="0"/>
              <w:rPr>
                <w:sz w:val="20"/>
                <w:szCs w:val="20"/>
                <w:color w:val="auto"/>
              </w:rPr>
            </w:pPr>
            <w:r>
              <w:rPr>
                <w:rFonts w:ascii="Arial" w:cs="Arial" w:eastAsia="Arial" w:hAnsi="Arial"/>
                <w:sz w:val="18"/>
                <w:szCs w:val="18"/>
                <w:color w:val="auto"/>
              </w:rPr>
              <w:t>Directors’ stock plan</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compensation plans, net,</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including dividend equivalents</w:t>
            </w:r>
          </w:p>
        </w:tc>
        <w:tc>
          <w:tcPr>
            <w:tcW w:w="4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1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cash dividends —</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$.70 per share</w:t>
            </w:r>
          </w:p>
        </w:tc>
        <w:tc>
          <w:tcPr>
            <w:tcW w:w="4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(111,937)</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(111,937)</w:t>
            </w:r>
          </w:p>
        </w:tc>
        <w:tc>
          <w:tcPr>
            <w:tcW w:w="20" w:type="dxa"/>
            <w:vAlign w:val="bottom"/>
          </w:tcPr>
          <w:p>
            <w:pPr>
              <w:spacing w:after="0"/>
              <w:rPr>
                <w:sz w:val="20"/>
                <w:szCs w:val="20"/>
                <w:color w:val="auto"/>
              </w:rPr>
            </w:pPr>
          </w:p>
        </w:tc>
      </w:tr>
      <w:tr>
        <w:trPr>
          <w:trHeight w:val="263"/>
        </w:trPr>
        <w:tc>
          <w:tcPr>
            <w:tcW w:w="3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March 31, 2016</w:t>
            </w:r>
          </w:p>
        </w:tc>
        <w:tc>
          <w:tcPr>
            <w:tcW w:w="4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79,982</w:t>
            </w:r>
          </w:p>
        </w:tc>
        <w:tc>
          <w:tcPr>
            <w:tcW w:w="200" w:type="dxa"/>
            <w:vAlign w:val="bottom"/>
            <w:tcBorders>
              <w:bottom w:val="single" w:sz="8" w:color="CFF0FC"/>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0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6,683,499</w:t>
            </w:r>
          </w:p>
        </w:tc>
        <w:tc>
          <w:tcPr>
            <w:tcW w:w="2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8,596,752</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(150,189)</w:t>
            </w:r>
          </w:p>
        </w:tc>
        <w:tc>
          <w:tcPr>
            <w:tcW w:w="20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(88,671)</w:t>
            </w:r>
          </w:p>
        </w:tc>
        <w:tc>
          <w:tcPr>
            <w:tcW w:w="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16,355,053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1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Balance — January 1, 2017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$ 1,231,500</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79,973</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6,676,948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9,222,488</w:t>
            </w: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(294,636)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(431,796)</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16,486,622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348,927</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(18,237)</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(18,237)</w:t>
            </w:r>
          </w:p>
        </w:tc>
        <w:tc>
          <w:tcPr>
            <w:tcW w:w="20" w:type="dxa"/>
            <w:vAlign w:val="bottom"/>
          </w:tcPr>
          <w:p>
            <w:pPr>
              <w:spacing w:after="0"/>
              <w:rPr>
                <w:sz w:val="19"/>
                <w:szCs w:val="19"/>
                <w:color w:val="auto"/>
              </w:rPr>
            </w:pPr>
          </w:p>
        </w:tc>
      </w:tr>
      <w:tr>
        <w:trPr>
          <w:trHeight w:val="215"/>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87,515 Series A stock</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warrants into 47,954 shares of</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(5,934)</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(532,073)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(532,073)</w:t>
            </w: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plans:</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tcPr>
          <w:p>
            <w:pPr>
              <w:ind w:left="260"/>
              <w:spacing w:after="0"/>
              <w:rPr>
                <w:sz w:val="20"/>
                <w:szCs w:val="20"/>
                <w:color w:val="auto"/>
              </w:rPr>
            </w:pPr>
            <w:r>
              <w:rPr>
                <w:rFonts w:ascii="Arial" w:cs="Arial" w:eastAsia="Arial" w:hAnsi="Arial"/>
                <w:sz w:val="18"/>
                <w:szCs w:val="18"/>
                <w:color w:val="auto"/>
              </w:rPr>
              <w:t>Compensation expense, net</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(67,016)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55,667</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(11,409)</w:t>
            </w: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Exercises of stock options, net</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(3,127)</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43,789</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tcPr>
          <w:p>
            <w:pPr>
              <w:ind w:left="260"/>
              <w:spacing w:after="0"/>
              <w:rPr>
                <w:sz w:val="20"/>
                <w:szCs w:val="20"/>
                <w:color w:val="auto"/>
              </w:rPr>
            </w:pPr>
            <w:r>
              <w:rPr>
                <w:rFonts w:ascii="Arial" w:cs="Arial" w:eastAsia="Arial" w:hAnsi="Arial"/>
                <w:sz w:val="18"/>
                <w:szCs w:val="18"/>
                <w:color w:val="auto"/>
              </w:rPr>
              <w:t>Stock purchase plan</w:t>
            </w: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2,563</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8,268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Directors’ stock plan</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40" w:type="dxa"/>
            <w:vAlign w:val="bottom"/>
            <w:gridSpan w:val="2"/>
          </w:tcPr>
          <w:p>
            <w:pPr>
              <w:ind w:left="260"/>
              <w:spacing w:after="0"/>
              <w:rPr>
                <w:sz w:val="20"/>
                <w:szCs w:val="20"/>
                <w:color w:val="auto"/>
              </w:rPr>
            </w:pPr>
            <w:r>
              <w:rPr>
                <w:rFonts w:ascii="Arial" w:cs="Arial" w:eastAsia="Arial" w:hAnsi="Arial"/>
                <w:sz w:val="18"/>
                <w:szCs w:val="18"/>
                <w:color w:val="auto"/>
              </w:rPr>
              <w:t>Deferred compensation plans, net,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gridSpan w:val="2"/>
          </w:tcPr>
          <w:p>
            <w:pPr>
              <w:ind w:left="380"/>
              <w:spacing w:after="0"/>
              <w:rPr>
                <w:sz w:val="20"/>
                <w:szCs w:val="20"/>
                <w:color w:val="auto"/>
              </w:rPr>
            </w:pPr>
            <w:r>
              <w:rPr>
                <w:rFonts w:ascii="Arial" w:cs="Arial" w:eastAsia="Arial" w:hAnsi="Arial"/>
                <w:sz w:val="18"/>
                <w:szCs w:val="18"/>
                <w:color w:val="auto"/>
              </w:rPr>
              <w:t>including dividend equivalents</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r>
      <w:tr>
        <w:trPr>
          <w:trHeight w:val="215"/>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cash dividends —</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$.75 per share</w:t>
            </w:r>
          </w:p>
        </w:tc>
        <w:tc>
          <w:tcPr>
            <w:tcW w:w="4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(115,707)</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(115,707)</w:t>
            </w:r>
          </w:p>
        </w:tc>
        <w:tc>
          <w:tcPr>
            <w:tcW w:w="20" w:type="dxa"/>
            <w:vAlign w:val="bottom"/>
          </w:tcPr>
          <w:p>
            <w:pPr>
              <w:spacing w:after="0"/>
              <w:rPr>
                <w:sz w:val="20"/>
                <w:szCs w:val="20"/>
                <w:color w:val="auto"/>
              </w:rPr>
            </w:pP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Balance — March 31, 2017</w:t>
            </w: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79,913</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6,603,355</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9,437,450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(291,567)</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(849,468)</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16,213,104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- 7 -</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2016 (“2016 Annual Report”), except that effective January 2017 the Company adopted amended accounting guidance that is discussed in note 16 herein. The most significant of those changes related to the accounting for excess tax benefits or deficiencies associated with share-based compensation whereby beginning in 2017 those amounts are recognized in income tax expense. Previously, tax effects resulting from changes in M&amp;T’s share price subsequent to the grant date were recorded through shareholders’ equity. The adoption of this new accounting guidance resulted in a reduction of income tax expense for the quarter ended March 31, 2017 of $18 million, or $.12 of diluted earnings per common share. In the opinion of management, all adjustments necessary for a fair presentation have been made and were all of a normal recurring nature.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2. Acquisitions</w:t>
      </w:r>
    </w:p>
    <w:p>
      <w:pPr>
        <w:spacing w:after="0" w:line="33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connection with the acquisition of Hudson City Bancorp, Inc. (“Hudson City”) on November 1, 2015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Hudson City employees); travel costs; and other costs of completing the transaction and commencing operations in new markets and offices.</w:t>
      </w:r>
    </w:p>
    <w:p>
      <w:pPr>
        <w:spacing w:after="0" w:line="14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21"/>
          <w:szCs w:val="21"/>
          <w:color w:val="auto"/>
        </w:rPr>
        <w:t>A summary of merger-related expenses included in the consolidated statement of income for the three-month period ended March 31, 2016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r>
      <w:tr>
        <w:trPr>
          <w:trHeight w:val="444"/>
        </w:trPr>
        <w:tc>
          <w:tcPr>
            <w:tcW w:w="568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5,274</w:t>
            </w:r>
          </w:p>
        </w:tc>
        <w:tc>
          <w:tcPr>
            <w:tcW w:w="80" w:type="dxa"/>
            <w:vAlign w:val="bottom"/>
          </w:tcPr>
          <w:p>
            <w:pPr>
              <w:spacing w:after="0"/>
              <w:rPr>
                <w:sz w:val="24"/>
                <w:szCs w:val="24"/>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Equipment and net occupancy</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Outside data processing and software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marketing</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cost of operations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11,102</w:t>
            </w:r>
          </w:p>
        </w:tc>
        <w:tc>
          <w:tcPr>
            <w:tcW w:w="80" w:type="dxa"/>
            <w:vAlign w:val="bottom"/>
            <w:shd w:val="clear" w:color="auto" w:fill="CFF0FC"/>
          </w:tcPr>
          <w:p>
            <w:pPr>
              <w:spacing w:after="0"/>
              <w:rPr>
                <w:sz w:val="19"/>
                <w:szCs w:val="19"/>
                <w:color w:val="auto"/>
              </w:rPr>
            </w:pPr>
          </w:p>
        </w:tc>
      </w:tr>
      <w:tr>
        <w:trPr>
          <w:trHeight w:val="223"/>
        </w:trPr>
        <w:tc>
          <w:tcPr>
            <w:tcW w:w="5680" w:type="dxa"/>
            <w:vAlign w:val="bottom"/>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23,162</w:t>
            </w: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There were no merger-related expenses during the three-month period ended March 31, 2017.</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Investment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Gross</w:t>
            </w: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8"/>
              </w:rPr>
              <w:t>Amortized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Unrealized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Estimated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Cost</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Gains</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3"/>
          </w:tcPr>
          <w:p>
            <w:pPr>
              <w:jc w:val="right"/>
              <w:ind w:right="632"/>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1,907,573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1,898,250</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10,525,601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87,830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109,117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10,504,314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133,778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15,311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119,767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70,199</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35,873</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105,504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12,640,244</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125,261</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134,505</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12,631,000</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46,836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46,913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2,670,966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34,777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2,695,166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153,036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118,525</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5,281</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2,876,119</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46,435</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2,865,885</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461,296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461,296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15,977,659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180,940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15,958,181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1,912,110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1,902,544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10,980,507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88,343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113,989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10,954,861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134,105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16,996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118,516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307,964</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45,073</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352,466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13,338,301</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135,286</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141,515</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13,332,072</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60,901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2,233,173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37,498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2,263,297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157,704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121,481</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5,543</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2,457,278</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38,662</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2,451,222</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461,118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461,118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16,256,697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16,244,412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3"/>
              </w:rPr>
              <w:t>- 9 -</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Investment securities, continued</w:t>
      </w:r>
    </w:p>
    <w:p>
      <w:pPr>
        <w:spacing w:after="0" w:line="251" w:lineRule="exact"/>
        <w:rPr>
          <w:sz w:val="20"/>
          <w:szCs w:val="20"/>
          <w:color w:val="auto"/>
        </w:rPr>
      </w:pPr>
    </w:p>
    <w:p>
      <w:pPr>
        <w:ind w:right="20" w:firstLine="761"/>
        <w:spacing w:after="0" w:line="264"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quarters ended March 31, 2017 and 2016.</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At March 31, 2017, the amortized cost and estimated fair value of debt securities by contractual maturity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Amortized</w:t>
            </w: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Estimated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Cost</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Fair Value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3"/>
          </w:tcPr>
          <w:p>
            <w:pPr>
              <w:jc w:val="right"/>
              <w:ind w:right="652"/>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156,211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156,378</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1,756,628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1,747,311</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56,297</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54,094</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75,266</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63,358</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2,044,402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2,021,141</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10,525,643</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10,504,355</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2"/>
                <w:szCs w:val="22"/>
                <w:color w:val="auto"/>
              </w:rPr>
            </w:pPr>
          </w:p>
        </w:tc>
        <w:tc>
          <w:tcPr>
            <w:tcW w:w="23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12,570,045</w:t>
            </w:r>
          </w:p>
        </w:tc>
        <w:tc>
          <w:tcPr>
            <w:tcW w:w="3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12,525,496</w:t>
            </w:r>
          </w:p>
        </w:tc>
        <w:tc>
          <w:tcPr>
            <w:tcW w:w="80" w:type="dxa"/>
            <w:vAlign w:val="bottom"/>
            <w:tcBorders>
              <w:bottom w:val="single" w:sz="8" w:color="CFF0FC"/>
            </w:tcBorders>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21,613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21,711</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23,326</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23,261</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1,897</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52,117</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52,194</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held to maturity</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2,824,002</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2,813,691</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2,876,119</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2,865,885</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80" w:type="dxa"/>
            <w:vAlign w:val="bottom"/>
            <w:vMerge w:val="restart"/>
          </w:tcPr>
          <w:p>
            <w:pPr>
              <w:jc w:val="right"/>
              <w:ind w:right="790"/>
              <w:spacing w:after="0"/>
              <w:rPr>
                <w:sz w:val="20"/>
                <w:szCs w:val="20"/>
                <w:color w:val="auto"/>
              </w:rPr>
            </w:pPr>
            <w:r>
              <w:rPr>
                <w:rFonts w:ascii="Arial" w:cs="Arial" w:eastAsia="Arial" w:hAnsi="Arial"/>
                <w:sz w:val="18"/>
                <w:szCs w:val="18"/>
                <w:color w:val="auto"/>
              </w:rPr>
              <w:t>- 10 -</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251"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21"/>
          <w:szCs w:val="21"/>
          <w:color w:val="auto"/>
        </w:rPr>
        <w:t>A summary of investment securities that as of March 31, 2017 and December 31, 2016 had been in a continuous unrealized loss position for less than twelve months and those that had been in a continuous unrealized loss position for twelve months or longer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ind w:left="320"/>
              <w:spacing w:after="0"/>
              <w:rPr>
                <w:sz w:val="20"/>
                <w:szCs w:val="20"/>
                <w:color w:val="auto"/>
              </w:rPr>
            </w:pPr>
            <w:r>
              <w:rPr>
                <w:rFonts w:ascii="Arial" w:cs="Arial" w:eastAsia="Arial" w:hAnsi="Arial"/>
                <w:sz w:val="14"/>
                <w:szCs w:val="14"/>
                <w:color w:val="auto"/>
              </w:rPr>
              <w:t>Less Than 12 Months</w:t>
            </w:r>
          </w:p>
        </w:tc>
        <w:tc>
          <w:tcPr>
            <w:tcW w:w="2040" w:type="dxa"/>
            <w:vAlign w:val="bottom"/>
            <w:gridSpan w:val="4"/>
          </w:tcPr>
          <w:p>
            <w:pPr>
              <w:jc w:val="right"/>
              <w:ind w:right="6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80"/>
              <w:spacing w:after="0" w:line="137" w:lineRule="exact"/>
              <w:rPr>
                <w:sz w:val="20"/>
                <w:szCs w:val="20"/>
                <w:color w:val="auto"/>
              </w:rPr>
            </w:pPr>
            <w:r>
              <w:rPr>
                <w:rFonts w:ascii="Arial" w:cs="Arial" w:eastAsia="Arial" w:hAnsi="Arial"/>
                <w:sz w:val="14"/>
                <w:szCs w:val="14"/>
                <w:color w:val="auto"/>
                <w:w w:val="99"/>
              </w:rPr>
              <w:t>Fair</w:t>
            </w:r>
          </w:p>
        </w:tc>
        <w:tc>
          <w:tcPr>
            <w:tcW w:w="9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2"/>
              </w:rPr>
              <w:t>Unrealized</w:t>
            </w:r>
          </w:p>
        </w:tc>
        <w:tc>
          <w:tcPr>
            <w:tcW w:w="3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620"/>
              <w:spacing w:after="0" w:line="137" w:lineRule="exact"/>
              <w:rPr>
                <w:sz w:val="20"/>
                <w:szCs w:val="20"/>
                <w:color w:val="auto"/>
              </w:rPr>
            </w:pPr>
            <w:r>
              <w:rPr>
                <w:rFonts w:ascii="Arial" w:cs="Arial" w:eastAsia="Arial" w:hAnsi="Arial"/>
                <w:sz w:val="14"/>
                <w:szCs w:val="14"/>
                <w:color w:val="auto"/>
                <w:w w:val="99"/>
              </w:rPr>
              <w:t>Fair</w:t>
            </w:r>
          </w:p>
        </w:tc>
        <w:tc>
          <w:tcPr>
            <w:tcW w:w="960" w:type="dxa"/>
            <w:vAlign w:val="bottom"/>
            <w:tcBorders>
              <w:top w:val="single" w:sz="8" w:color="auto"/>
            </w:tcBorders>
          </w:tcPr>
          <w:p>
            <w:pPr>
              <w:jc w:val="right"/>
              <w:ind w:right="91"/>
              <w:spacing w:after="0" w:line="137"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Value</w:t>
            </w:r>
          </w:p>
        </w:tc>
        <w:tc>
          <w:tcPr>
            <w:tcW w:w="1540" w:type="dxa"/>
            <w:vAlign w:val="bottom"/>
            <w:gridSpan w:val="3"/>
          </w:tcPr>
          <w:p>
            <w:pPr>
              <w:jc w:val="center"/>
              <w:ind w:right="640"/>
              <w:spacing w:after="0"/>
              <w:rPr>
                <w:sz w:val="20"/>
                <w:szCs w:val="20"/>
                <w:color w:val="auto"/>
              </w:rPr>
            </w:pPr>
            <w:r>
              <w:rPr>
                <w:rFonts w:ascii="Arial" w:cs="Arial" w:eastAsia="Arial" w:hAnsi="Arial"/>
                <w:sz w:val="14"/>
                <w:szCs w:val="14"/>
                <w:color w:val="auto"/>
                <w:w w:val="85"/>
              </w:rPr>
              <w:t>Losses</w:t>
            </w:r>
          </w:p>
        </w:tc>
        <w:tc>
          <w:tcPr>
            <w:tcW w:w="98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Value</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680"/>
              <w:spacing w:after="0" w:line="155" w:lineRule="exact"/>
              <w:rPr>
                <w:sz w:val="20"/>
                <w:szCs w:val="20"/>
                <w:color w:val="auto"/>
              </w:rPr>
            </w:pPr>
            <w:r>
              <w:rPr>
                <w:rFonts w:ascii="Arial" w:cs="Arial" w:eastAsia="Arial" w:hAnsi="Arial"/>
                <w:sz w:val="14"/>
                <w:szCs w:val="14"/>
                <w:color w:val="auto"/>
                <w:w w:val="93"/>
              </w:rPr>
              <w:t>(In thousands)</w:t>
            </w: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1,745,277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(9,494)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5,549,268</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(108,380)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93,425</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19,052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75,763</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7,331,466</w:t>
            </w:r>
          </w:p>
        </w:tc>
        <w:tc>
          <w:tcPr>
            <w:tcW w:w="3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(118,396)</w:t>
            </w:r>
          </w:p>
        </w:tc>
        <w:tc>
          <w:tcPr>
            <w:tcW w:w="3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171,883</w:t>
            </w:r>
          </w:p>
        </w:tc>
        <w:tc>
          <w:tcPr>
            <w:tcW w:w="3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9,909</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896,556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(10,013)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17,472</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7,161</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74,137</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916,922</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101,518</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8,248,388</w:t>
            </w:r>
          </w:p>
        </w:tc>
        <w:tc>
          <w:tcPr>
            <w:tcW w:w="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(128,525)</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273,401</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1,710,241</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(9,950)</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2,295</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6,730,829</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(113,374)</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81,003</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85,400</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(16,995)</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17,776</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8,458,946</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(123,747)</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169,469</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17,988</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618,832</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(6,842)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17,481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17,911</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57,016</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654,731</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(8,190)</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86,388</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9,113,677</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(131,937)</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255,857</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20" w:firstLine="518"/>
        <w:spacing w:after="0" w:line="249" w:lineRule="auto"/>
        <w:rPr>
          <w:sz w:val="20"/>
          <w:szCs w:val="20"/>
          <w:color w:val="auto"/>
        </w:rPr>
      </w:pPr>
      <w:r>
        <w:rPr>
          <w:rFonts w:ascii="Arial" w:cs="Arial" w:eastAsia="Arial" w:hAnsi="Arial"/>
          <w:sz w:val="21"/>
          <w:szCs w:val="21"/>
          <w:color w:val="auto"/>
        </w:rPr>
        <w:t>The Company owned 1,075 individual investment securities with aggregate gross unrealized losses of $181 million at March 31, 2017. Based on a review of each of the securities in the investment securities portfolio at March 31, 2017, the Company concluded that it expected to recover the amortized cost basis of its investment. As of March 31, 2017, the Company does not intend to sell nor is it anticipated that it would be required to sell any of its impaired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318"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investment securities at a loss. At March 31, 2017, the Company has not identified events or changes in circumstances which may have a significant adverse effect on the fair value of the $461 million of cost method investment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March 31, 2017 and December 31, 2016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Accruing</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Loans</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Acquired</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Accruing</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Loans Past</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a Discount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Due 90</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Past Due</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30-89 Days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Days or</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90 days</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Purchased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Past Due</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More (a)</w:t>
            </w:r>
          </w:p>
        </w:tc>
        <w:tc>
          <w:tcPr>
            <w:tcW w:w="1220" w:type="dxa"/>
            <w:vAlign w:val="bottom"/>
            <w:gridSpan w:val="3"/>
          </w:tcPr>
          <w:p>
            <w:pPr>
              <w:jc w:val="center"/>
              <w:ind w:right="20"/>
              <w:spacing w:after="0"/>
              <w:rPr>
                <w:sz w:val="20"/>
                <w:szCs w:val="20"/>
                <w:color w:val="auto"/>
              </w:rPr>
            </w:pPr>
            <w:r>
              <w:rPr>
                <w:rFonts w:ascii="Arial" w:cs="Arial" w:eastAsia="Arial" w:hAnsi="Arial"/>
                <w:sz w:val="14"/>
                <w:szCs w:val="14"/>
                <w:color w:val="auto"/>
                <w:w w:val="98"/>
              </w:rPr>
              <w:t>or More (b)</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Impaired (c)</w:t>
            </w:r>
          </w:p>
        </w:tc>
        <w:tc>
          <w:tcPr>
            <w:tcW w:w="700" w:type="dxa"/>
            <w:vAlign w:val="bottom"/>
          </w:tcPr>
          <w:p>
            <w:pPr>
              <w:jc w:val="right"/>
              <w:spacing w:after="0"/>
              <w:rPr>
                <w:sz w:val="20"/>
                <w:szCs w:val="20"/>
                <w:color w:val="auto"/>
              </w:rPr>
            </w:pPr>
            <w:r>
              <w:rPr>
                <w:rFonts w:ascii="Arial" w:cs="Arial" w:eastAsia="Arial" w:hAnsi="Arial"/>
                <w:sz w:val="14"/>
                <w:szCs w:val="14"/>
                <w:color w:val="auto"/>
                <w:w w:val="93"/>
              </w:rPr>
              <w:t>Nonaccrual</w:t>
            </w:r>
          </w:p>
        </w:tc>
        <w:tc>
          <w:tcPr>
            <w:tcW w:w="280" w:type="dxa"/>
            <w:vAlign w:val="bottom"/>
          </w:tcPr>
          <w:p>
            <w:pPr>
              <w:spacing w:after="0"/>
              <w:rPr>
                <w:sz w:val="14"/>
                <w:szCs w:val="14"/>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$ 21,986,926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38,046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1,825</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261,497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$ 22,295,376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25,088,525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185,331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13,618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26,391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25,514,300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1,714,177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1,757,705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5,747,834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23,973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13,879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5,799,649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17,004,912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431,427</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251,308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11,116</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362,283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237,685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18,298,731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3,086,264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91,177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135,759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112,560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3,425,760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5,398,590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32,939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12,238</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79,962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5,523,729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3,049,712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48,751</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3,114,572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3,519,996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25,876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24,401</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3,583,180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86,596,936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892,705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552,935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89,313,002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$ 22,287,857</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53,503</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261,434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$ 22,610,047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25,076,684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183,531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12,870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31,404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176,201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25,487,744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1,884,989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14,006</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1,922,326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5,985,118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77,701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14,274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6,096,324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17,631,377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485,468</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281,298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11,537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378,549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229,242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19,017,471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3,239,344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88,366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139,158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106,573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3,573,441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5,502,091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44,565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12,678</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81,815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5,641,149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2,869,232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56,158</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2,944,065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3,491,629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31,286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21,491</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3,560,849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87,968,321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1,025,245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300,659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920,015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90,853,416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572"/>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9" w:lineRule="exact"/>
        <w:rPr>
          <w:rFonts w:ascii="Arial" w:cs="Arial" w:eastAsia="Arial" w:hAnsi="Arial"/>
          <w:sz w:val="18"/>
          <w:szCs w:val="18"/>
          <w:i w:val="1"/>
          <w:iCs w:val="1"/>
          <w:color w:val="auto"/>
        </w:rPr>
      </w:pPr>
    </w:p>
    <w:p>
      <w:pPr>
        <w:ind w:left="520" w:right="20" w:hanging="512"/>
        <w:spacing w:after="0" w:line="250" w:lineRule="auto"/>
        <w:tabs>
          <w:tab w:leader="none" w:pos="5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20" w:hanging="512"/>
        <w:spacing w:after="0"/>
        <w:tabs>
          <w:tab w:leader="none" w:pos="5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224"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One-to-four family residential mortgage loans held for sale were $297 million and $414 million at March 31, 2017 and December 31, 2016, respectively. Commercial real estate loans held for sale were $75 million at March 31, 2017 and $643 million at December 31, 2016.</w:t>
      </w:r>
    </w:p>
    <w:p>
      <w:pPr>
        <w:spacing w:after="0" w:line="7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March 31,</w:t>
            </w: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December 31,</w:t>
            </w:r>
          </w:p>
        </w:tc>
      </w:tr>
      <w:tr>
        <w:trPr>
          <w:trHeight w:val="167"/>
        </w:trPr>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176"/>
        </w:trPr>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3"/>
          </w:tcPr>
          <w:p>
            <w:pPr>
              <w:jc w:val="right"/>
              <w:ind w:right="654"/>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5"/>
                <w:szCs w:val="15"/>
                <w:color w:val="auto"/>
              </w:rPr>
            </w:pPr>
          </w:p>
        </w:tc>
      </w:tr>
      <w:tr>
        <w:trPr>
          <w:trHeight w:val="439"/>
        </w:trPr>
        <w:tc>
          <w:tcPr>
            <w:tcW w:w="678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2,089,909</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2,311,699</w:t>
            </w:r>
          </w:p>
        </w:tc>
        <w:tc>
          <w:tcPr>
            <w:tcW w:w="80" w:type="dxa"/>
            <w:vAlign w:val="bottom"/>
          </w:tcPr>
          <w:p>
            <w:pPr>
              <w:spacing w:after="0"/>
              <w:rPr>
                <w:sz w:val="24"/>
                <w:szCs w:val="24"/>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55,671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59,928</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415,047</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456,820</w:t>
            </w: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765,986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799,802</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369,803</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487,721</w:t>
            </w:r>
          </w:p>
        </w:tc>
        <w:tc>
          <w:tcPr>
            <w:tcW w:w="8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1,606,507</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1,804,271</w:t>
            </w: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Purchased impaired loans included in the table above totaled $553 million at March 31, 2017 and $578 million at December 31, 2016, representing less than 1% of the Company’s assets as of each date. A summary of changes in the accretable yield for loans acquired at a discount for the three-month periods ended March 31, 2017 and 2016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color w:val="auto"/>
                <w:w w:val="95"/>
              </w:rPr>
              <w:t>Three Months Ended March 31,</w:t>
            </w:r>
          </w:p>
        </w:tc>
        <w:tc>
          <w:tcPr>
            <w:tcW w:w="2100" w:type="dxa"/>
            <w:vAlign w:val="bottom"/>
            <w:gridSpan w:val="5"/>
          </w:tcPr>
          <w:p>
            <w:pPr>
              <w:jc w:val="right"/>
              <w:ind w:right="180"/>
              <w:spacing w:after="0"/>
              <w:rPr>
                <w:sz w:val="20"/>
                <w:szCs w:val="20"/>
                <w:color w:val="auto"/>
              </w:rPr>
            </w:pPr>
            <w:r>
              <w:rPr>
                <w:rFonts w:ascii="Arial" w:cs="Arial" w:eastAsia="Arial" w:hAnsi="Arial"/>
                <w:sz w:val="14"/>
                <w:szCs w:val="14"/>
                <w:color w:val="auto"/>
                <w:w w:val="96"/>
              </w:rPr>
              <w:t>Three Months Ended March 31,</w:t>
            </w:r>
          </w:p>
        </w:tc>
      </w:tr>
      <w:tr>
        <w:trPr>
          <w:trHeight w:val="167"/>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w w:val="89"/>
              </w:rPr>
              <w:t>Purchased</w:t>
            </w:r>
          </w:p>
        </w:tc>
        <w:tc>
          <w:tcPr>
            <w:tcW w:w="860" w:type="dxa"/>
            <w:vAlign w:val="bottom"/>
          </w:tcPr>
          <w:p>
            <w:pPr>
              <w:jc w:val="right"/>
              <w:ind w:right="177"/>
              <w:spacing w:after="0" w:line="151" w:lineRule="exact"/>
              <w:rPr>
                <w:sz w:val="20"/>
                <w:szCs w:val="20"/>
                <w:color w:val="auto"/>
              </w:rPr>
            </w:pPr>
            <w:r>
              <w:rPr>
                <w:rFonts w:ascii="Arial" w:cs="Arial" w:eastAsia="Arial" w:hAnsi="Arial"/>
                <w:sz w:val="14"/>
                <w:szCs w:val="14"/>
                <w:color w:val="auto"/>
              </w:rPr>
              <w:t>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w w:val="89"/>
              </w:rPr>
              <w:t>Purchased</w:t>
            </w:r>
          </w:p>
        </w:tc>
        <w:tc>
          <w:tcPr>
            <w:tcW w:w="860" w:type="dxa"/>
            <w:vAlign w:val="bottom"/>
          </w:tcPr>
          <w:p>
            <w:pPr>
              <w:jc w:val="right"/>
              <w:ind w:right="195"/>
              <w:spacing w:after="0" w:line="151"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r>
      <w:tr>
        <w:trPr>
          <w:trHeight w:val="167"/>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Impaired</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Acquired</w:t>
            </w:r>
          </w:p>
        </w:tc>
        <w:tc>
          <w:tcPr>
            <w:tcW w:w="1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Impaired</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Acquired</w:t>
            </w:r>
          </w:p>
        </w:tc>
      </w:tr>
      <w:tr>
        <w:trPr>
          <w:trHeight w:val="176"/>
        </w:trPr>
        <w:tc>
          <w:tcPr>
            <w:tcW w:w="4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5"/>
          </w:tcPr>
          <w:p>
            <w:pPr>
              <w:jc w:val="right"/>
              <w:ind w:right="860"/>
              <w:spacing w:after="0"/>
              <w:rPr>
                <w:sz w:val="20"/>
                <w:szCs w:val="20"/>
                <w:color w:val="auto"/>
              </w:rPr>
            </w:pPr>
            <w:r>
              <w:rPr>
                <w:rFonts w:ascii="Arial" w:cs="Arial" w:eastAsia="Arial" w:hAnsi="Arial"/>
                <w:sz w:val="14"/>
                <w:szCs w:val="14"/>
                <w:color w:val="auto"/>
              </w:rPr>
              <w:t>(In thousands)</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39"/>
        </w:trPr>
        <w:tc>
          <w:tcPr>
            <w:tcW w:w="47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154,233</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201,153</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184,618</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296,434</w:t>
            </w:r>
          </w:p>
        </w:tc>
        <w:tc>
          <w:tcPr>
            <w:tcW w:w="100" w:type="dxa"/>
            <w:vAlign w:val="bottom"/>
          </w:tcPr>
          <w:p>
            <w:pPr>
              <w:spacing w:after="0"/>
              <w:rPr>
                <w:sz w:val="24"/>
                <w:szCs w:val="24"/>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(10,925)</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(25,518)</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(14,062)</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(37,862)</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Reclassifications from nonaccretable balance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FF0FC"/>
          </w:tcPr>
          <w:p>
            <w:pPr>
              <w:spacing w:after="0"/>
              <w:rPr>
                <w:sz w:val="19"/>
                <w:szCs w:val="19"/>
                <w:color w:val="auto"/>
              </w:rPr>
            </w:pPr>
          </w:p>
        </w:tc>
      </w:tr>
      <w:tr>
        <w:trPr>
          <w:trHeight w:val="224"/>
        </w:trPr>
        <w:tc>
          <w:tcPr>
            <w:tcW w:w="4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143,454</w:t>
            </w: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181,310</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171,185</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269,017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0</wp:posOffset>
            </wp:positionV>
            <wp:extent cx="548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0</wp:posOffset>
            </wp:positionV>
            <wp:extent cx="5403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5"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7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-816610</wp:posOffset>
            </wp:positionV>
            <wp:extent cx="2710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March 31, 2017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680" w:type="dxa"/>
            <w:vAlign w:val="bottom"/>
            <w:gridSpan w:val="3"/>
          </w:tcPr>
          <w:p>
            <w:pPr>
              <w:jc w:val="center"/>
              <w:ind w:left="1214"/>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Unallocated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r>
      <w:tr>
        <w:trPr>
          <w:trHeight w:val="176"/>
        </w:trPr>
        <w:tc>
          <w:tcPr>
            <w:tcW w:w="3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Beginning balance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$ 330,833</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362,719</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78,030</w:t>
            </w:r>
          </w:p>
        </w:tc>
        <w:tc>
          <w:tcPr>
            <w:tcW w:w="3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24"/>
                <w:szCs w:val="24"/>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28,823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5,637</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charge-offs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26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(16,357)</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(5,445)</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(6,259)</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(34,503)</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(62,564)</w:t>
            </w:r>
          </w:p>
        </w:tc>
      </w:tr>
      <w:tr>
        <w:trPr>
          <w:trHeight w:val="230"/>
        </w:trPr>
        <w:tc>
          <w:tcPr>
            <w:tcW w:w="352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4,461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12,555</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19,997</w:t>
            </w:r>
          </w:p>
        </w:tc>
        <w:tc>
          <w:tcPr>
            <w:tcW w:w="120" w:type="dxa"/>
            <w:vAlign w:val="bottom"/>
          </w:tcPr>
          <w:p>
            <w:pPr>
              <w:spacing w:after="0"/>
              <w:rPr>
                <w:sz w:val="19"/>
                <w:szCs w:val="19"/>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(11,896)</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(21,948)</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Ending balance</w:t>
            </w:r>
          </w:p>
        </w:tc>
        <w:tc>
          <w:tcPr>
            <w:tcW w:w="1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$ 347,760</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360,010</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62,012</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153,172</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1,001,430</w:t>
            </w:r>
          </w:p>
        </w:tc>
        <w:tc>
          <w:tcPr>
            <w:tcW w:w="12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March 31, 2016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640" w:type="dxa"/>
            <w:vAlign w:val="bottom"/>
            <w:gridSpan w:val="3"/>
          </w:tcPr>
          <w:p>
            <w:pPr>
              <w:jc w:val="center"/>
              <w:ind w:left="1173"/>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0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94"/>
              </w:rPr>
              <w:t>Unallocated</w:t>
            </w:r>
          </w:p>
        </w:tc>
        <w:tc>
          <w:tcPr>
            <w:tcW w:w="140" w:type="dxa"/>
            <w:vAlign w:val="bottom"/>
          </w:tcPr>
          <w:p>
            <w:pPr>
              <w:spacing w:after="0"/>
              <w:rPr>
                <w:sz w:val="13"/>
                <w:szCs w:val="13"/>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3"/>
                <w:szCs w:val="13"/>
                <w:color w:val="auto"/>
              </w:rPr>
            </w:pPr>
          </w:p>
        </w:tc>
      </w:tr>
      <w:tr>
        <w:trPr>
          <w:trHeight w:val="176"/>
        </w:trPr>
        <w:tc>
          <w:tcPr>
            <w:tcW w:w="3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78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Beginning balance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$ 300,404</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326,831</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72,238</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178,320</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78,199</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955,992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24,364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19,893</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Net charge-offs</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2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(6,149)</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(1,272)</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(6,972)</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(44,319)</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(58,712)</w:t>
            </w:r>
          </w:p>
        </w:tc>
        <w:tc>
          <w:tcPr>
            <w:tcW w:w="20" w:type="dxa"/>
            <w:vAlign w:val="bottom"/>
          </w:tcPr>
          <w:p>
            <w:pPr>
              <w:spacing w:after="0"/>
              <w:rPr>
                <w:sz w:val="19"/>
                <w:szCs w:val="19"/>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5,247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6,925</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5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(37,394)</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(42,240)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Ending balance</w:t>
            </w:r>
          </w:p>
        </w:tc>
        <w:tc>
          <w:tcPr>
            <w:tcW w:w="15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$ 323,866</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331,985</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68,371</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160,819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77,711</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962,752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620" w:type="dxa"/>
            <w:vAlign w:val="bottom"/>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- 14 -</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Despite the allocation in the preceding table, the allowance for credit losses is general in nature and is available to absorb losses from any loan or lease type.</w:t>
      </w:r>
    </w:p>
    <w:p>
      <w:pPr>
        <w:spacing w:after="0" w:line="171"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credit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loans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right="40" w:firstLine="518"/>
        <w:spacing w:after="0" w:line="264" w:lineRule="auto"/>
        <w:rPr>
          <w:sz w:val="20"/>
          <w:szCs w:val="20"/>
          <w:color w:val="auto"/>
        </w:rPr>
      </w:pPr>
      <w:r>
        <w:rPr>
          <w:rFonts w:ascii="Arial" w:cs="Arial" w:eastAsia="Arial" w:hAnsi="Arial"/>
          <w:sz w:val="21"/>
          <w:szCs w:val="21"/>
          <w:color w:val="auto"/>
        </w:rPr>
        <w:t>The following tables provide information with respect to loans and leases that were considered impaired as of March 31, 2017 and December 31, 2016 and for the three-month periods ended March 31, 2017 and 2016.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March 31, 2017</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December 31, 2016</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4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4"/>
              </w:rPr>
              <w:t>Unpaid</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9"/>
              </w:rPr>
              <w:t>Unpaid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Principal</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Related</w:t>
            </w: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Principal</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Related</w:t>
            </w:r>
          </w:p>
        </w:tc>
        <w:tc>
          <w:tcPr>
            <w:tcW w:w="20" w:type="dxa"/>
            <w:vAlign w:val="bottom"/>
          </w:tcPr>
          <w:p>
            <w:pPr>
              <w:spacing w:after="0"/>
              <w:rPr>
                <w:sz w:val="12"/>
                <w:szCs w:val="12"/>
                <w:color w:val="auto"/>
              </w:rPr>
            </w:pPr>
          </w:p>
        </w:tc>
      </w:tr>
      <w:tr>
        <w:trPr>
          <w:trHeight w:val="167"/>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Investment</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Balance</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Balance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Allowance</w:t>
            </w:r>
          </w:p>
        </w:tc>
        <w:tc>
          <w:tcPr>
            <w:tcW w:w="20" w:type="dxa"/>
            <w:vAlign w:val="bottom"/>
          </w:tcPr>
          <w:p>
            <w:pPr>
              <w:spacing w:after="0"/>
              <w:rPr>
                <w:sz w:val="14"/>
                <w:szCs w:val="14"/>
                <w:color w:val="auto"/>
              </w:rPr>
            </w:pPr>
          </w:p>
        </w:tc>
      </w:tr>
      <w:tr>
        <w:trPr>
          <w:trHeight w:val="156"/>
        </w:trPr>
        <w:tc>
          <w:tcPr>
            <w:tcW w:w="4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51"/>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$ 177,001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196,338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64,056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168,072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184,432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64,746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80,482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10,541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86,666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2,673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91,077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111,477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105,944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81,922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97,658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97,718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46,132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50,262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16,087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16,602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3,670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489,560</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566,193</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96,758</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484,498</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558,385</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92,546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127,252</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100,805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124,786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126,437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139,103</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121,846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11,748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18,863</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21,124</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12,029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31,072</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35,281</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14,946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22,209</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24,161</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14,466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22,941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24,590</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272,172</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361,440</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276,634</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351,788</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269,547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323,590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64,056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268,877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309,218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191,183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219,585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10,541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185,138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208,512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18,618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25,894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14,232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33,745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106,023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133,686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130,105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96,388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120,599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97,976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122,308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46,132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50,262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16,087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16,602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3,670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$ 761,732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927,633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96,758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761,132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910,173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1820" w:type="dxa"/>
            <w:vAlign w:val="bottom"/>
            <w:gridSpan w:val="2"/>
          </w:tcPr>
          <w:p>
            <w:pPr>
              <w:jc w:val="right"/>
              <w:ind w:right="157"/>
              <w:spacing w:after="0"/>
              <w:rPr>
                <w:sz w:val="20"/>
                <w:szCs w:val="20"/>
                <w:color w:val="auto"/>
              </w:rPr>
            </w:pPr>
            <w:r>
              <w:rPr>
                <w:rFonts w:ascii="Arial" w:cs="Arial" w:eastAsia="Arial" w:hAnsi="Arial"/>
                <w:sz w:val="18"/>
                <w:szCs w:val="18"/>
                <w:color w:val="auto"/>
              </w:rPr>
              <w:t>- 16 -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gridSpan w:val="7"/>
          </w:tcPr>
          <w:p>
            <w:pPr>
              <w:jc w:val="center"/>
              <w:ind w:right="300"/>
              <w:spacing w:after="0"/>
              <w:rPr>
                <w:sz w:val="20"/>
                <w:szCs w:val="20"/>
                <w:color w:val="auto"/>
              </w:rPr>
            </w:pPr>
            <w:r>
              <w:rPr>
                <w:rFonts w:ascii="Arial" w:cs="Arial" w:eastAsia="Arial" w:hAnsi="Arial"/>
                <w:sz w:val="14"/>
                <w:szCs w:val="14"/>
                <w:color w:val="auto"/>
                <w:w w:val="93"/>
              </w:rPr>
              <w:t>Three Months Ended March 31, 2017</w:t>
            </w:r>
          </w:p>
        </w:tc>
        <w:tc>
          <w:tcPr>
            <w:tcW w:w="2940" w:type="dxa"/>
            <w:vAlign w:val="bottom"/>
            <w:gridSpan w:val="7"/>
          </w:tcPr>
          <w:p>
            <w:pPr>
              <w:jc w:val="center"/>
              <w:ind w:right="100"/>
              <w:spacing w:after="0"/>
              <w:rPr>
                <w:sz w:val="20"/>
                <w:szCs w:val="20"/>
                <w:color w:val="auto"/>
              </w:rPr>
            </w:pPr>
            <w:r>
              <w:rPr>
                <w:rFonts w:ascii="Arial" w:cs="Arial" w:eastAsia="Arial" w:hAnsi="Arial"/>
                <w:sz w:val="14"/>
                <w:szCs w:val="14"/>
                <w:color w:val="auto"/>
                <w:w w:val="93"/>
              </w:rPr>
              <w:t>Three Months Ended March 31, 2016</w:t>
            </w: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2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2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color w:val="auto"/>
                <w:w w:val="91"/>
              </w:rPr>
              <w:t>Recognized</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Average</w:t>
            </w:r>
          </w:p>
        </w:tc>
        <w:tc>
          <w:tcPr>
            <w:tcW w:w="124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color w:val="auto"/>
                <w:w w:val="91"/>
              </w:rPr>
              <w:t>Recognized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Recorded</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Recorded</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220" w:type="dxa"/>
            <w:vAlign w:val="bottom"/>
            <w:gridSpan w:val="3"/>
          </w:tcPr>
          <w:p>
            <w:pPr>
              <w:jc w:val="center"/>
              <w:ind w:right="520"/>
              <w:spacing w:after="0"/>
              <w:rPr>
                <w:sz w:val="20"/>
                <w:szCs w:val="20"/>
                <w:color w:val="auto"/>
              </w:rPr>
            </w:pPr>
            <w:r>
              <w:rPr>
                <w:rFonts w:ascii="Arial" w:cs="Arial" w:eastAsia="Arial" w:hAnsi="Arial"/>
                <w:sz w:val="14"/>
                <w:szCs w:val="14"/>
                <w:color w:val="auto"/>
                <w:w w:val="96"/>
              </w:rPr>
              <w:t>Total</w:t>
            </w:r>
          </w:p>
        </w:tc>
        <w:tc>
          <w:tcPr>
            <w:tcW w:w="820" w:type="dxa"/>
            <w:vAlign w:val="bottom"/>
            <w:gridSpan w:val="2"/>
          </w:tcPr>
          <w:p>
            <w:pPr>
              <w:spacing w:after="0"/>
              <w:rPr>
                <w:sz w:val="20"/>
                <w:szCs w:val="20"/>
                <w:color w:val="auto"/>
              </w:rPr>
            </w:pPr>
            <w:r>
              <w:rPr>
                <w:rFonts w:ascii="Arial" w:cs="Arial" w:eastAsia="Arial" w:hAnsi="Arial"/>
                <w:sz w:val="14"/>
                <w:szCs w:val="14"/>
                <w:color w:val="auto"/>
              </w:rPr>
              <w:t>Basis</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Investment</w:t>
            </w: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color w:val="auto"/>
                <w:w w:val="89"/>
              </w:rPr>
              <w:t>Total</w:t>
            </w: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$ 271,825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296,584</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182,857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182,454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16,328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16,868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103,875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97,121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107,473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45,542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26,019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16,504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Other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3,598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17,717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$ 757,701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799,615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 real estate loans are individually reviewed by centralized credit personnel each quarter to determine the appropriateness of the assigned loan grade, including whether the loan should be reported as accruing or nonaccruing. Smaller-balance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following table summarizes the loan grades applied to the various classes of the Company’s commercial loans and commercial real estate loans.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8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4"/>
              </w:rPr>
              <w:t>Commercial,</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1"/>
              </w:rPr>
              <w:t>Real Estate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5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Residential</w:t>
            </w:r>
          </w:p>
        </w:tc>
        <w:tc>
          <w:tcPr>
            <w:tcW w:w="94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Financial,</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Builder and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Leasing, etc.</w:t>
            </w: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Commercial</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Developer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Construction</w:t>
            </w: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4"/>
          </w:tcPr>
          <w:p>
            <w:pPr>
              <w:ind w:left="68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$ 21,036,982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24,589,201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1,660,537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5,609,985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996,897</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741,986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83,595</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261,497</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183,113</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13,573</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22,295,376</w:t>
            </w:r>
          </w:p>
        </w:tc>
        <w:tc>
          <w:tcPr>
            <w:tcW w:w="3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25,514,300</w:t>
            </w: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1,757,705</w:t>
            </w:r>
          </w:p>
        </w:tc>
        <w:tc>
          <w:tcPr>
            <w:tcW w:w="3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5,799,649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$ 21,398,581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24,570,269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1,789,071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950,032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741,274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116,548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261,434</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176,201</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22,610,047</w:t>
            </w:r>
          </w:p>
        </w:tc>
        <w:tc>
          <w:tcPr>
            <w:tcW w:w="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25,487,744</w:t>
            </w: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1,922,326</w:t>
            </w:r>
          </w:p>
        </w:tc>
        <w:tc>
          <w:tcPr>
            <w:tcW w:w="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totaled $43 million and $30 million, respectively, at March 31, 2017 and $44 million and $32 million, respectively, at December 31, 2016. Residential real estate loans and home equity loans and lines of credit that were more than 150 days past due but did not require a partial charge-off because the net realizable value of the collateral exceeded the outstanding customer balance were $18 million and $39 million, respectively, at March 31, 2017 and $16 million and $39 million, respectively, at December 31, 2016.</w:t>
      </w:r>
    </w:p>
    <w:p>
      <w:pPr>
        <w:spacing w:after="0" w:line="17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allocation of the allowance for credit losses summarized on the basis of the Company’s impairment methodology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Financial,</w:t>
            </w:r>
          </w:p>
        </w:tc>
        <w:tc>
          <w:tcPr>
            <w:tcW w:w="2260" w:type="dxa"/>
            <w:vAlign w:val="bottom"/>
            <w:gridSpan w:val="4"/>
          </w:tcPr>
          <w:p>
            <w:pPr>
              <w:ind w:left="640"/>
              <w:spacing w:after="0"/>
              <w:rPr>
                <w:sz w:val="20"/>
                <w:szCs w:val="20"/>
                <w:color w:val="auto"/>
              </w:rPr>
            </w:pPr>
            <w:r>
              <w:rPr>
                <w:rFonts w:ascii="Arial" w:cs="Arial" w:eastAsia="Arial" w:hAnsi="Arial"/>
                <w:sz w:val="14"/>
                <w:szCs w:val="14"/>
                <w:color w:val="auto"/>
              </w:rPr>
              <w:t>Real Estate</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120" w:type="dxa"/>
            <w:vAlign w:val="bottom"/>
            <w:gridSpan w:val="3"/>
          </w:tcPr>
          <w:p>
            <w:pPr>
              <w:jc w:val="center"/>
              <w:ind w:right="340"/>
              <w:spacing w:after="0" w:line="155" w:lineRule="exact"/>
              <w:rPr>
                <w:sz w:val="20"/>
                <w:szCs w:val="20"/>
                <w:color w:val="auto"/>
              </w:rPr>
            </w:pPr>
            <w:r>
              <w:rPr>
                <w:rFonts w:ascii="Arial" w:cs="Arial" w:eastAsia="Arial" w:hAnsi="Arial"/>
                <w:sz w:val="14"/>
                <w:szCs w:val="14"/>
                <w:color w:val="auto"/>
                <w:w w:val="93"/>
              </w:rPr>
              <w:t>Leasing, etc.</w:t>
            </w:r>
          </w:p>
        </w:tc>
        <w:tc>
          <w:tcPr>
            <w:tcW w:w="114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Commercial</w:t>
            </w:r>
          </w:p>
        </w:tc>
        <w:tc>
          <w:tcPr>
            <w:tcW w:w="82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3"/>
                <w:szCs w:val="13"/>
                <w:color w:val="auto"/>
              </w:rPr>
            </w:pPr>
          </w:p>
        </w:tc>
        <w:tc>
          <w:tcPr>
            <w:tcW w:w="11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3"/>
                <w:szCs w:val="13"/>
                <w:color w:val="auto"/>
              </w:rPr>
            </w:pPr>
          </w:p>
        </w:tc>
        <w:tc>
          <w:tcPr>
            <w:tcW w:w="8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64,056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11,342</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12,622</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283,704</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346,795</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49,902</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140,550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3,372</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347,760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360,010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62,012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153,172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922,954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Unallocated</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78,476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Borders>
              <w:bottom w:val="single" w:sz="8" w:color="CFF0FC"/>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1,001,430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48,480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282,353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348,301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47,993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143,745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822,392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330,833</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362,719</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61,127</w:t>
            </w:r>
          </w:p>
        </w:tc>
        <w:tc>
          <w:tcPr>
            <w:tcW w:w="3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156,288</w:t>
            </w:r>
          </w:p>
        </w:tc>
        <w:tc>
          <w:tcPr>
            <w:tcW w:w="3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CFF0FC"/>
            </w:tcBorders>
          </w:tcPr>
          <w:p>
            <w:pPr>
              <w:spacing w:after="0"/>
              <w:rPr>
                <w:sz w:val="22"/>
                <w:szCs w:val="22"/>
                <w:color w:val="auto"/>
              </w:rPr>
            </w:pPr>
          </w:p>
        </w:tc>
        <w:tc>
          <w:tcPr>
            <w:tcW w:w="7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910,967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Financial,</w:t>
            </w:r>
          </w:p>
        </w:tc>
        <w:tc>
          <w:tcPr>
            <w:tcW w:w="2480" w:type="dxa"/>
            <w:vAlign w:val="bottom"/>
            <w:gridSpan w:val="4"/>
          </w:tcPr>
          <w:p>
            <w:pPr>
              <w:ind w:left="740"/>
              <w:spacing w:after="0"/>
              <w:rPr>
                <w:sz w:val="20"/>
                <w:szCs w:val="20"/>
                <w:color w:val="auto"/>
              </w:rPr>
            </w:pPr>
            <w:r>
              <w:rPr>
                <w:rFonts w:ascii="Arial" w:cs="Arial" w:eastAsia="Arial" w:hAnsi="Arial"/>
                <w:sz w:val="14"/>
                <w:szCs w:val="14"/>
                <w:color w:val="auto"/>
              </w:rPr>
              <w:t>Real Estate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Arial" w:cs="Arial" w:eastAsia="Arial" w:hAnsi="Arial"/>
                <w:sz w:val="14"/>
                <w:szCs w:val="14"/>
                <w:color w:val="auto"/>
                <w:w w:val="93"/>
              </w:rPr>
              <w:t>Leasing, etc.</w:t>
            </w:r>
          </w:p>
        </w:tc>
        <w:tc>
          <w:tcPr>
            <w:tcW w:w="12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Commercial</w:t>
            </w: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Residential</w:t>
            </w:r>
          </w:p>
        </w:tc>
        <w:tc>
          <w:tcPr>
            <w:tcW w:w="32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269,547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224,033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202,411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65,741</w:t>
            </w:r>
          </w:p>
        </w:tc>
        <w:tc>
          <w:tcPr>
            <w:tcW w:w="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761,732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22,024,004</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32,794,553</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21,024,038</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12,155,740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87,998,335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53,068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498,042</w:t>
            </w:r>
          </w:p>
        </w:tc>
        <w:tc>
          <w:tcPr>
            <w:tcW w:w="3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22,295,376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33,071,654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21,724,491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12,221,481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89,313,002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224,630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65,466</w:t>
            </w:r>
          </w:p>
        </w:tc>
        <w:tc>
          <w:tcPr>
            <w:tcW w:w="3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22,340,529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33,222,080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21,871,726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12,080,597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89,514,932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59,684</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517,707</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22,610,047</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33,506,394</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22,590,912</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12,146,063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90,853,416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 months ended March 31, 2017 and 2016: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center"/>
              <w:ind w:right="32"/>
              <w:spacing w:after="0"/>
              <w:rPr>
                <w:sz w:val="20"/>
                <w:szCs w:val="20"/>
                <w:color w:val="auto"/>
              </w:rPr>
            </w:pPr>
            <w:r>
              <w:rPr>
                <w:rFonts w:ascii="Arial" w:cs="Arial" w:eastAsia="Arial" w:hAnsi="Arial"/>
                <w:sz w:val="14"/>
                <w:szCs w:val="14"/>
                <w:color w:val="auto"/>
                <w:w w:val="90"/>
              </w:rPr>
              <w:t>Pre-</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color w:val="auto"/>
              </w:rPr>
              <w:t>Post-modification (a)</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6"/>
              </w:rPr>
              <w:t>modification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6"/>
              </w:rPr>
              <w:t>Combination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recorded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2"/>
              </w:rPr>
              <w:t>of Concession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March 31, 2017</w:t>
            </w:r>
          </w:p>
        </w:tc>
        <w:tc>
          <w:tcPr>
            <w:tcW w:w="8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4"/>
              </w:rPr>
              <w:t>investment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Deferral</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color w:val="auto"/>
                <w:w w:val="89"/>
              </w:rPr>
              <w:t>Types</w:t>
            </w: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5"/>
          </w:tcPr>
          <w:p>
            <w:pPr>
              <w:ind w:left="460"/>
              <w:spacing w:after="0" w:line="142" w:lineRule="exact"/>
              <w:rPr>
                <w:sz w:val="20"/>
                <w:szCs w:val="20"/>
                <w:color w:val="auto"/>
              </w:rPr>
            </w:pPr>
            <w:r>
              <w:rPr>
                <w:rFonts w:ascii="Arial" w:cs="Arial" w:eastAsia="Arial" w:hAnsi="Arial"/>
                <w:sz w:val="14"/>
                <w:szCs w:val="14"/>
                <w:color w:val="auto"/>
              </w:rPr>
              <w:t>(Dollars 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60" w:type="dxa"/>
            <w:vAlign w:val="bottom"/>
            <w:gridSpan w:val="3"/>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4,389</w:t>
            </w:r>
          </w:p>
        </w:tc>
        <w:tc>
          <w:tcPr>
            <w:tcW w:w="3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34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2,728</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Three Months Ended March 31, 2016</w:t>
            </w:r>
          </w:p>
        </w:tc>
        <w:tc>
          <w:tcPr>
            <w:tcW w:w="4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60" w:type="dxa"/>
            <w:vAlign w:val="bottom"/>
            <w:tcBorders>
              <w:top w:val="single" w:sz="8" w:color="auto"/>
            </w:tcBorders>
            <w:shd w:val="clear" w:color="auto" w:fill="CFF0FC"/>
          </w:tcPr>
          <w:p>
            <w:pPr>
              <w:spacing w:after="0"/>
              <w:rPr>
                <w:sz w:val="5"/>
                <w:szCs w:val="5"/>
                <w:color w:val="auto"/>
              </w:rPr>
            </w:pPr>
          </w:p>
        </w:tc>
        <w:tc>
          <w:tcPr>
            <w:tcW w:w="2980" w:type="dxa"/>
            <w:vAlign w:val="bottom"/>
            <w:tcBorders>
              <w:top w:val="single" w:sz="8" w:color="CFF0FC"/>
            </w:tcBorders>
            <w:shd w:val="clear" w:color="auto" w:fill="CFF0FC"/>
          </w:tcPr>
          <w:p>
            <w:pPr>
              <w:spacing w:after="0"/>
              <w:rPr>
                <w:sz w:val="5"/>
                <w:szCs w:val="5"/>
                <w:color w:val="auto"/>
              </w:rPr>
            </w:pPr>
          </w:p>
        </w:tc>
        <w:tc>
          <w:tcPr>
            <w:tcW w:w="46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72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19,728</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80" w:right="20" w:hanging="472"/>
        <w:spacing w:after="0" w:line="277" w:lineRule="auto"/>
        <w:tabs>
          <w:tab w:leader="none" w:pos="4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8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22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2017 and 2016 and for which there was a subsequent payment default during the three-month periods ended March 31, 2017 and 2016, respectively, were not material.</w:t>
      </w:r>
    </w:p>
    <w:p>
      <w:pPr>
        <w:spacing w:after="0" w:line="180"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amount of foreclosed residential real estate property held by the Company totaled $112 million and $129 million at March 31, 2017 and December 31, 2016, respectively. There were $538 million and $506 million at March 31, 2017 and December 31, 2016, respectively, in loans secured by residential real estate that were in the process of foreclosure. Of all loans in the process of foreclosure at March 31, 2017, approximately 53% were classified as purchased impaired and 20% were government guaranteed.</w:t>
      </w: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M&amp;T had $517 million of fixed and variable rate junior subordinated deferrable interest debentures ("Junior Subordinated Debentures") outstanding at March 31, 2017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16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 continued</w:t>
      </w:r>
    </w:p>
    <w:p>
      <w:pPr>
        <w:spacing w:after="0" w:line="224"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Also included in long-term borrowings are agreements to repurchase securities of $431 million and $1.1 billion at March 31, 2017 and December 31, 2016,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$452 million and $1.1 billion at March 31, 2017 and December 31, 2016, respectively</w:t>
      </w:r>
      <w:r>
        <w:rPr>
          <w:rFonts w:ascii="Arial" w:cs="Arial" w:eastAsia="Arial" w:hAnsi="Arial"/>
          <w:sz w:val="17"/>
          <w:szCs w:val="17"/>
          <w:color w:val="auto"/>
        </w:rPr>
        <w:t>.</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6. Shareholders' equity</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Issued and outstanding preferred stock of M&amp;T as of March 31, 2017 and December 31, 2016 is presented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87"/>
              </w:rPr>
              <w:t>Issued and</w:t>
            </w:r>
          </w:p>
        </w:tc>
        <w:tc>
          <w:tcPr>
            <w:tcW w:w="28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Carrying</w:t>
            </w:r>
          </w:p>
        </w:tc>
      </w:tr>
      <w:tr>
        <w:trPr>
          <w:trHeight w:val="167"/>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Value</w:t>
            </w:r>
          </w:p>
        </w:tc>
      </w:tr>
      <w:tr>
        <w:trPr>
          <w:trHeight w:val="156"/>
        </w:trPr>
        <w:tc>
          <w:tcPr>
            <w:tcW w:w="7040" w:type="dxa"/>
            <w:vAlign w:val="bottom"/>
          </w:tcPr>
          <w:p>
            <w:pPr>
              <w:spacing w:after="0"/>
              <w:rPr>
                <w:sz w:val="13"/>
                <w:szCs w:val="13"/>
                <w:color w:val="auto"/>
              </w:rPr>
            </w:pPr>
          </w:p>
        </w:tc>
        <w:tc>
          <w:tcPr>
            <w:tcW w:w="2000" w:type="dxa"/>
            <w:vAlign w:val="bottom"/>
            <w:tcBorders>
              <w:top w:val="single" w:sz="8" w:color="auto"/>
            </w:tcBorders>
            <w:gridSpan w:val="3"/>
          </w:tcPr>
          <w:p>
            <w:pPr>
              <w:ind w:left="360"/>
              <w:spacing w:after="0" w:line="155"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3"/>
                <w:szCs w:val="13"/>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A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 $1,000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230,000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230,000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C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 $1,000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151,500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151,500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E (b)</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350,000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F (c)</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500,000</w:t>
            </w:r>
          </w:p>
        </w:tc>
        <w:tc>
          <w:tcPr>
            <w:tcW w:w="100" w:type="dxa"/>
            <w:vAlign w:val="bottom"/>
          </w:tcPr>
          <w:p>
            <w:pPr>
              <w:spacing w:after="0"/>
              <w:rPr>
                <w:sz w:val="20"/>
                <w:szCs w:val="20"/>
                <w:color w:val="auto"/>
              </w:rPr>
            </w:pPr>
          </w:p>
        </w:tc>
      </w:tr>
    </w:tbl>
    <w:p>
      <w:pPr>
        <w:spacing w:after="0" w:line="242" w:lineRule="exact"/>
        <w:rPr>
          <w:sz w:val="20"/>
          <w:szCs w:val="20"/>
          <w:color w:val="auto"/>
        </w:rPr>
      </w:pPr>
    </w:p>
    <w:p>
      <w:pPr>
        <w:ind w:left="520" w:hanging="512"/>
        <w:spacing w:after="0" w:line="258" w:lineRule="auto"/>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$73.84 per share issued in connection with the Series A preferred stock expire in 2018 and totaled 544,279 at March 31, 2017.</w:t>
      </w:r>
    </w:p>
    <w:p>
      <w:pPr>
        <w:spacing w:after="0" w:line="1" w:lineRule="exact"/>
        <w:rPr>
          <w:rFonts w:ascii="Arial" w:cs="Arial" w:eastAsia="Arial" w:hAnsi="Arial"/>
          <w:sz w:val="18"/>
          <w:szCs w:val="18"/>
          <w:i w:val="1"/>
          <w:iCs w:val="1"/>
          <w:color w:val="auto"/>
        </w:rPr>
      </w:pPr>
    </w:p>
    <w:p>
      <w:pPr>
        <w:jc w:val="both"/>
        <w:ind w:left="520" w:hanging="512"/>
        <w:spacing w:after="0" w:line="250" w:lineRule="auto"/>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6.45% through February 14, 2024 and thereafter will be paid quarterly at a rate of the three-month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 w:lineRule="exact"/>
        <w:rPr>
          <w:rFonts w:ascii="Arial" w:cs="Arial" w:eastAsia="Arial" w:hAnsi="Arial"/>
          <w:sz w:val="18"/>
          <w:szCs w:val="18"/>
          <w:i w:val="1"/>
          <w:iCs w:val="1"/>
          <w:color w:val="auto"/>
        </w:rPr>
      </w:pPr>
    </w:p>
    <w:p>
      <w:pPr>
        <w:jc w:val="both"/>
        <w:ind w:left="520" w:hanging="512"/>
        <w:spacing w:after="0" w:line="254" w:lineRule="auto"/>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91" w:lineRule="exact"/>
        <w:rPr>
          <w:sz w:val="20"/>
          <w:szCs w:val="20"/>
          <w:color w:val="auto"/>
        </w:rPr>
      </w:pPr>
    </w:p>
    <w:p>
      <w:pPr>
        <w:jc w:val="both"/>
        <w:ind w:right="20" w:firstLine="518"/>
        <w:spacing w:after="0" w:line="253" w:lineRule="auto"/>
        <w:rPr>
          <w:sz w:val="20"/>
          <w:szCs w:val="20"/>
          <w:color w:val="auto"/>
        </w:rPr>
      </w:pPr>
      <w:r>
        <w:rPr>
          <w:rFonts w:ascii="Arial" w:cs="Arial" w:eastAsia="Arial" w:hAnsi="Arial"/>
          <w:sz w:val="21"/>
          <w:szCs w:val="21"/>
          <w:color w:val="auto"/>
        </w:rPr>
        <w:t>In addition to the Series A warrants mentioned in (a) above, a warrant to purchase 95,410 shares of M&amp;T common stock at $518.81 per share was outstanding at March 31, 2017. The obligation under that warrant was assumed by M&amp;T in an acquisition and expires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7. Pension plans and other postretirement benefits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left="517"/>
              <w:spacing w:after="0"/>
              <w:rPr>
                <w:sz w:val="20"/>
                <w:szCs w:val="20"/>
                <w:color w:val="auto"/>
              </w:rPr>
            </w:pPr>
            <w:r>
              <w:rPr>
                <w:rFonts w:ascii="Arial" w:cs="Arial" w:eastAsia="Arial" w:hAnsi="Arial"/>
                <w:sz w:val="14"/>
                <w:szCs w:val="14"/>
                <w:color w:val="auto"/>
                <w:w w:val="96"/>
              </w:rPr>
              <w:t>Other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ind w:left="540"/>
              <w:spacing w:after="0" w:line="149" w:lineRule="exact"/>
              <w:rPr>
                <w:sz w:val="20"/>
                <w:szCs w:val="20"/>
                <w:color w:val="auto"/>
              </w:rPr>
            </w:pPr>
            <w:r>
              <w:rPr>
                <w:rFonts w:ascii="Arial" w:cs="Arial" w:eastAsia="Arial" w:hAnsi="Arial"/>
                <w:sz w:val="14"/>
                <w:szCs w:val="14"/>
                <w:color w:val="auto"/>
                <w:w w:val="98"/>
              </w:rPr>
              <w:t>Pension</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2"/>
              </w:rPr>
              <w:t>Postretirement</w:t>
            </w: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4"/>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gridSpan w:val="6"/>
          </w:tcPr>
          <w:p>
            <w:pPr>
              <w:jc w:val="center"/>
              <w:ind w:right="500"/>
              <w:spacing w:after="0" w:line="151" w:lineRule="exact"/>
              <w:rPr>
                <w:sz w:val="20"/>
                <w:szCs w:val="20"/>
                <w:color w:val="auto"/>
              </w:rPr>
            </w:pPr>
            <w:r>
              <w:rPr>
                <w:rFonts w:ascii="Arial" w:cs="Arial" w:eastAsia="Arial" w:hAnsi="Arial"/>
                <w:sz w:val="14"/>
                <w:szCs w:val="14"/>
                <w:color w:val="auto"/>
                <w:w w:val="93"/>
              </w:rPr>
              <w:t>Three Months Ended March 31</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r>
      <w:tr>
        <w:trPr>
          <w:trHeight w:val="176"/>
        </w:trPr>
        <w:tc>
          <w:tcPr>
            <w:tcW w:w="4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center"/>
              <w:ind w:right="600"/>
              <w:spacing w:after="0"/>
              <w:rPr>
                <w:sz w:val="20"/>
                <w:szCs w:val="20"/>
                <w:color w:val="auto"/>
              </w:rPr>
            </w:pPr>
            <w:r>
              <w:rPr>
                <w:rFonts w:ascii="Arial" w:cs="Arial" w:eastAsia="Arial" w:hAnsi="Arial"/>
                <w:sz w:val="14"/>
                <w:szCs w:val="14"/>
                <w:color w:val="auto"/>
                <w:w w:val="91"/>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Service cost</w:t>
            </w:r>
          </w:p>
        </w:tc>
        <w:tc>
          <w:tcPr>
            <w:tcW w:w="1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4,908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6,382</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4"/>
                <w:szCs w:val="24"/>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(27,200)</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(27,814)</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(825)</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8,300</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 xml:space="preserve">Expense incurred in connection with the Company's defined contribution pension and retirement savings plans totaled $19,419,000 and $17,690,000 for the three months ended March 31, 2017 and 2016, </w:t>
      </w:r>
      <w:r>
        <w:rPr>
          <w:rFonts w:ascii="Arial" w:cs="Arial" w:eastAsia="Arial" w:hAnsi="Arial"/>
          <w:sz w:val="18"/>
          <w:szCs w:val="18"/>
          <w:color w:val="auto"/>
        </w:rPr>
        <w:t>respectively.</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right"/>
              <w:ind w:right="420"/>
              <w:spacing w:after="0"/>
              <w:rPr>
                <w:sz w:val="20"/>
                <w:szCs w:val="20"/>
                <w:color w:val="auto"/>
              </w:rPr>
            </w:pPr>
            <w:r>
              <w:rPr>
                <w:rFonts w:ascii="Arial" w:cs="Arial" w:eastAsia="Arial" w:hAnsi="Arial"/>
                <w:sz w:val="14"/>
                <w:szCs w:val="14"/>
                <w:color w:val="auto"/>
                <w:w w:val="98"/>
              </w:rPr>
              <w:t>Three Months Ended 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3"/>
          </w:tcPr>
          <w:p>
            <w:pPr>
              <w:jc w:val="right"/>
              <w:ind w:right="212"/>
              <w:spacing w:after="0" w:line="155" w:lineRule="exact"/>
              <w:rPr>
                <w:sz w:val="20"/>
                <w:szCs w:val="20"/>
                <w:color w:val="auto"/>
              </w:rPr>
            </w:pPr>
            <w:r>
              <w:rPr>
                <w:rFonts w:ascii="Arial" w:cs="Arial" w:eastAsia="Arial" w:hAnsi="Arial"/>
                <w:sz w:val="14"/>
                <w:szCs w:val="14"/>
                <w:color w:val="auto"/>
                <w:w w:val="94"/>
              </w:rPr>
              <w:t>(In thousands, except per share)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available to common shareholders:</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348,927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Preferred stock dividends (a)</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(18,237)</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Net income available to common equity</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330,690</w:t>
            </w:r>
          </w:p>
        </w:tc>
        <w:tc>
          <w:tcPr>
            <w:tcW w:w="3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compensation awards</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(2,128)</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328,562</w:t>
            </w:r>
          </w:p>
        </w:tc>
        <w:tc>
          <w:tcPr>
            <w:tcW w:w="3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Common shares outstanding (including common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issuable) and unvested stock-based compensation awards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155,463</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(1,036)</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154,427</w:t>
            </w:r>
          </w:p>
        </w:tc>
        <w:tc>
          <w:tcPr>
            <w:tcW w:w="3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20" w:hanging="867"/>
        <w:spacing w:after="0"/>
        <w:tabs>
          <w:tab w:leader="none" w:pos="9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right"/>
              <w:ind w:right="420"/>
              <w:spacing w:after="0"/>
              <w:rPr>
                <w:sz w:val="20"/>
                <w:szCs w:val="20"/>
                <w:color w:val="auto"/>
              </w:rPr>
            </w:pPr>
            <w:r>
              <w:rPr>
                <w:rFonts w:ascii="Arial" w:cs="Arial" w:eastAsia="Arial" w:hAnsi="Arial"/>
                <w:sz w:val="14"/>
                <w:szCs w:val="14"/>
                <w:color w:val="auto"/>
                <w:w w:val="98"/>
              </w:rPr>
              <w:t>Three Months Ended 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3"/>
          </w:tcPr>
          <w:p>
            <w:pPr>
              <w:jc w:val="right"/>
              <w:ind w:right="212"/>
              <w:spacing w:after="0"/>
              <w:rPr>
                <w:sz w:val="20"/>
                <w:szCs w:val="20"/>
                <w:color w:val="auto"/>
              </w:rPr>
            </w:pPr>
            <w:r>
              <w:rPr>
                <w:rFonts w:ascii="Arial" w:cs="Arial" w:eastAsia="Arial" w:hAnsi="Arial"/>
                <w:sz w:val="14"/>
                <w:szCs w:val="14"/>
                <w:color w:val="auto"/>
                <w:w w:val="94"/>
              </w:rPr>
              <w:t>(In thousands, except per share)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 available to common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330,690</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278,210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compensation awards</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(2,123)</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328,567</w:t>
            </w:r>
          </w:p>
        </w:tc>
        <w:tc>
          <w:tcPr>
            <w:tcW w:w="3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Common and unvested stock-based compensation awards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155,463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(1,036)</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Plus: Incremental shares from assumed conversion of</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stock-based compensation awards and warrants to</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purchase common stock</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38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154,949</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20"/>
          <w:szCs w:val="20"/>
          <w:color w:val="auto"/>
        </w:rPr>
        <w:t>Stock-based compensation awards and warrants to purchase common stock of M&amp;T representing 391,764 and 2,840,575 common shares during the three-month periods ended March 31, 2017 and 2016, respectively, were not included in the computations of diluted earnings per common share because the effect on those periods would have been antidilutive.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Defined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28"/>
              <w:spacing w:after="0"/>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88"/>
              <w:spacing w:after="0" w:line="159" w:lineRule="exact"/>
              <w:rPr>
                <w:sz w:val="20"/>
                <w:szCs w:val="20"/>
                <w:color w:val="auto"/>
              </w:rPr>
            </w:pPr>
            <w:r>
              <w:rPr>
                <w:rFonts w:ascii="Arial" w:cs="Arial" w:eastAsia="Arial" w:hAnsi="Arial"/>
                <w:sz w:val="14"/>
                <w:szCs w:val="14"/>
                <w:color w:val="auto"/>
              </w:rPr>
              <w:t>Investment Securities</w:t>
            </w:r>
          </w:p>
        </w:tc>
        <w:tc>
          <w:tcPr>
            <w:tcW w:w="240" w:type="dxa"/>
            <w:vAlign w:val="bottom"/>
          </w:tcPr>
          <w:p>
            <w:pPr>
              <w:spacing w:after="0"/>
              <w:rPr>
                <w:sz w:val="13"/>
                <w:szCs w:val="13"/>
                <w:color w:val="auto"/>
              </w:rPr>
            </w:pPr>
          </w:p>
        </w:tc>
        <w:tc>
          <w:tcPr>
            <w:tcW w:w="76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1"/>
              </w:rPr>
              <w:t>Benefit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28"/>
              <w:spacing w:after="0" w:line="159" w:lineRule="exact"/>
              <w:rPr>
                <w:sz w:val="20"/>
                <w:szCs w:val="20"/>
                <w:color w:val="auto"/>
              </w:rPr>
            </w:pPr>
            <w:r>
              <w:rPr>
                <w:rFonts w:ascii="Arial" w:cs="Arial" w:eastAsia="Arial" w:hAnsi="Arial"/>
                <w:sz w:val="14"/>
                <w:szCs w:val="14"/>
                <w:color w:val="auto"/>
                <w:w w:val="91"/>
              </w:rPr>
              <w:t>Amount</w:t>
            </w:r>
          </w:p>
        </w:tc>
        <w:tc>
          <w:tcPr>
            <w:tcW w:w="340" w:type="dxa"/>
            <w:vAlign w:val="bottom"/>
          </w:tcPr>
          <w:p>
            <w:pPr>
              <w:spacing w:after="0"/>
              <w:rPr>
                <w:sz w:val="13"/>
                <w:szCs w:val="13"/>
                <w:color w:val="auto"/>
              </w:rPr>
            </w:pPr>
          </w:p>
        </w:tc>
        <w:tc>
          <w:tcPr>
            <w:tcW w:w="9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1"/>
              </w:rPr>
              <w:t>With OTTI (a)</w:t>
            </w:r>
          </w:p>
        </w:tc>
        <w:tc>
          <w:tcPr>
            <w:tcW w:w="9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All Other</w:t>
            </w:r>
          </w:p>
        </w:tc>
        <w:tc>
          <w:tcPr>
            <w:tcW w:w="760" w:type="dxa"/>
            <w:vAlign w:val="bottom"/>
            <w:gridSpan w:val="2"/>
          </w:tcPr>
          <w:p>
            <w:pPr>
              <w:jc w:val="center"/>
              <w:ind w:right="120"/>
              <w:spacing w:after="0" w:line="155" w:lineRule="exact"/>
              <w:rPr>
                <w:sz w:val="20"/>
                <w:szCs w:val="20"/>
                <w:color w:val="auto"/>
              </w:rPr>
            </w:pPr>
            <w:r>
              <w:rPr>
                <w:rFonts w:ascii="Arial" w:cs="Arial" w:eastAsia="Arial" w:hAnsi="Arial"/>
                <w:sz w:val="14"/>
                <w:szCs w:val="14"/>
                <w:color w:val="auto"/>
                <w:w w:val="79"/>
              </w:rPr>
              <w:t>Plans</w:t>
            </w:r>
          </w:p>
        </w:tc>
        <w:tc>
          <w:tcPr>
            <w:tcW w:w="12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840" w:type="dxa"/>
            <w:vAlign w:val="bottom"/>
            <w:gridSpan w:val="3"/>
          </w:tcPr>
          <w:p>
            <w:pPr>
              <w:jc w:val="center"/>
              <w:ind w:right="8"/>
              <w:spacing w:after="0" w:line="155" w:lineRule="exact"/>
              <w:rPr>
                <w:sz w:val="20"/>
                <w:szCs w:val="20"/>
                <w:color w:val="auto"/>
              </w:rPr>
            </w:pPr>
            <w:r>
              <w:rPr>
                <w:rFonts w:ascii="Arial" w:cs="Arial" w:eastAsia="Arial" w:hAnsi="Arial"/>
                <w:sz w:val="14"/>
                <w:szCs w:val="14"/>
                <w:color w:val="auto"/>
                <w:w w:val="87"/>
              </w:rPr>
              <w:t>Before Tax</w:t>
            </w:r>
          </w:p>
        </w:tc>
        <w:tc>
          <w:tcPr>
            <w:tcW w:w="340" w:type="dxa"/>
            <w:vAlign w:val="bottom"/>
          </w:tcPr>
          <w:p>
            <w:pPr>
              <w:spacing w:after="0"/>
              <w:rPr>
                <w:sz w:val="13"/>
                <w:szCs w:val="13"/>
                <w:color w:val="auto"/>
              </w:rPr>
            </w:pPr>
          </w:p>
        </w:tc>
        <w:tc>
          <w:tcPr>
            <w:tcW w:w="9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Tax</w:t>
            </w:r>
          </w:p>
        </w:tc>
        <w:tc>
          <w:tcPr>
            <w:tcW w:w="120" w:type="dxa"/>
            <w:vAlign w:val="bottom"/>
          </w:tcPr>
          <w:p>
            <w:pPr>
              <w:spacing w:after="0"/>
              <w:rPr>
                <w:sz w:val="13"/>
                <w:szCs w:val="13"/>
                <w:color w:val="auto"/>
              </w:rPr>
            </w:pPr>
          </w:p>
        </w:tc>
        <w:tc>
          <w:tcPr>
            <w:tcW w:w="700" w:type="dxa"/>
            <w:vAlign w:val="bottom"/>
            <w:gridSpan w:val="2"/>
          </w:tcPr>
          <w:p>
            <w:pPr>
              <w:jc w:val="right"/>
              <w:ind w:right="339"/>
              <w:spacing w:after="0" w:line="15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color w:val="auto"/>
                <w:w w:val="93"/>
              </w:rPr>
              <w:t>(In thousands)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640" w:type="dxa"/>
            <w:vAlign w:val="bottom"/>
            <w:gridSpan w:val="2"/>
          </w:tcPr>
          <w:p>
            <w:pPr>
              <w:spacing w:after="0"/>
              <w:rPr>
                <w:sz w:val="20"/>
                <w:szCs w:val="20"/>
                <w:color w:val="auto"/>
              </w:rPr>
            </w:pPr>
            <w:r>
              <w:rPr>
                <w:rFonts w:ascii="Arial" w:cs="Arial" w:eastAsia="Arial" w:hAnsi="Arial"/>
                <w:sz w:val="14"/>
                <w:szCs w:val="14"/>
                <w:color w:val="auto"/>
              </w:rPr>
              <w:t>Balance — January 1, 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46,725</w:t>
            </w:r>
          </w:p>
        </w:tc>
        <w:tc>
          <w:tcPr>
            <w:tcW w:w="2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(73,785)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(449,917)</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(8,268)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(485,245)</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190,609</w:t>
            </w:r>
          </w:p>
        </w:tc>
        <w:tc>
          <w:tcPr>
            <w:tcW w:w="240" w:type="dxa"/>
            <w:vAlign w:val="bottom"/>
          </w:tcPr>
          <w:p>
            <w:pPr>
              <w:spacing w:after="0"/>
              <w:rPr>
                <w:sz w:val="24"/>
                <w:szCs w:val="2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(294,636)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Unrealized holding gains (losses), net</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(8,628)</w:t>
            </w:r>
          </w:p>
        </w:tc>
        <w:tc>
          <w:tcPr>
            <w:tcW w:w="660" w:type="dxa"/>
            <w:vAlign w:val="bottom"/>
          </w:tcPr>
          <w:p>
            <w:pPr>
              <w:jc w:val="right"/>
              <w:spacing w:after="0"/>
              <w:rPr>
                <w:sz w:val="20"/>
                <w:szCs w:val="20"/>
                <w:color w:val="auto"/>
              </w:rPr>
            </w:pPr>
            <w:r>
              <w:rPr>
                <w:rFonts w:ascii="Arial" w:cs="Arial" w:eastAsia="Arial" w:hAnsi="Arial"/>
                <w:sz w:val="14"/>
                <w:szCs w:val="14"/>
                <w:color w:val="auto"/>
              </w:rPr>
              <w:t>5,613</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(3,015)</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(1,833)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20" w:type="dxa"/>
            <w:vAlign w:val="bottom"/>
          </w:tcPr>
          <w:p>
            <w:pPr>
              <w:spacing w:after="0" w:line="123" w:lineRule="exact"/>
              <w:rPr>
                <w:sz w:val="20"/>
                <w:szCs w:val="20"/>
                <w:color w:val="auto"/>
              </w:rPr>
            </w:pPr>
            <w:r>
              <w:rPr>
                <w:rFonts w:ascii="Arial" w:cs="Arial" w:eastAsia="Arial" w:hAnsi="Arial"/>
                <w:sz w:val="14"/>
                <w:szCs w:val="14"/>
                <w:color w:val="auto"/>
              </w:rPr>
              <w:t>Total other comprehensive income (loss) before</w:t>
            </w: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100"/>
              <w:spacing w:after="0"/>
              <w:rPr>
                <w:sz w:val="20"/>
                <w:szCs w:val="20"/>
                <w:color w:val="auto"/>
              </w:rPr>
            </w:pPr>
            <w:r>
              <w:rPr>
                <w:rFonts w:ascii="Arial" w:cs="Arial" w:eastAsia="Arial" w:hAnsi="Arial"/>
                <w:sz w:val="14"/>
                <w:szCs w:val="14"/>
                <w:color w:val="auto"/>
              </w:rPr>
              <w:t>reclassifications</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(8,628)</w:t>
            </w:r>
          </w:p>
        </w:tc>
        <w:tc>
          <w:tcPr>
            <w:tcW w:w="660" w:type="dxa"/>
            <w:vAlign w:val="bottom"/>
          </w:tcPr>
          <w:p>
            <w:pPr>
              <w:jc w:val="right"/>
              <w:spacing w:after="0"/>
              <w:rPr>
                <w:sz w:val="20"/>
                <w:szCs w:val="20"/>
                <w:color w:val="auto"/>
              </w:rPr>
            </w:pPr>
            <w:r>
              <w:rPr>
                <w:rFonts w:ascii="Arial" w:cs="Arial" w:eastAsia="Arial" w:hAnsi="Arial"/>
                <w:sz w:val="14"/>
                <w:szCs w:val="14"/>
                <w:color w:val="auto"/>
              </w:rPr>
              <w:t>5,613</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(2,283)</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2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340"/>
              <w:spacing w:after="0"/>
              <w:rPr>
                <w:sz w:val="20"/>
                <w:szCs w:val="20"/>
                <w:color w:val="auto"/>
              </w:rPr>
            </w:pPr>
            <w:r>
              <w:rPr>
                <w:rFonts w:ascii="Arial" w:cs="Arial" w:eastAsia="Arial" w:hAnsi="Arial"/>
                <w:sz w:val="14"/>
                <w:szCs w:val="14"/>
                <w:color w:val="auto"/>
              </w:rPr>
              <w:t>held-to-maturity (“HTM”) securities</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787</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(b)</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Accretion of net gain on terminated cash flow</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hedges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center"/>
              <w:ind w:left="208"/>
              <w:spacing w:after="0"/>
              <w:rPr>
                <w:sz w:val="20"/>
                <w:szCs w:val="20"/>
                <w:color w:val="auto"/>
              </w:rPr>
            </w:pPr>
            <w:r>
              <w:rPr>
                <w:rFonts w:ascii="Arial" w:cs="Arial" w:eastAsia="Arial" w:hAnsi="Arial"/>
                <w:sz w:val="14"/>
                <w:szCs w:val="14"/>
                <w:color w:val="auto"/>
              </w:rPr>
              <w:t>(39) (d)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Amortization of prior service credit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(225)</w:t>
            </w:r>
          </w:p>
        </w:tc>
        <w:tc>
          <w:tcPr>
            <w:tcW w:w="340" w:type="dxa"/>
            <w:vAlign w:val="bottom"/>
          </w:tcPr>
          <w:p>
            <w:pPr>
              <w:ind w:left="40"/>
              <w:spacing w:after="0"/>
              <w:rPr>
                <w:sz w:val="20"/>
                <w:szCs w:val="20"/>
                <w:color w:val="auto"/>
              </w:rPr>
            </w:pPr>
            <w:r>
              <w:rPr>
                <w:rFonts w:ascii="Arial" w:cs="Arial" w:eastAsia="Arial" w:hAnsi="Arial"/>
                <w:sz w:val="14"/>
                <w:szCs w:val="14"/>
                <w:color w:val="auto"/>
              </w:rPr>
              <w:t>(e)</w:t>
            </w:r>
          </w:p>
        </w:tc>
        <w:tc>
          <w:tcPr>
            <w:tcW w:w="660" w:type="dxa"/>
            <w:vAlign w:val="bottom"/>
          </w:tcPr>
          <w:p>
            <w:pPr>
              <w:jc w:val="right"/>
              <w:spacing w:after="0"/>
              <w:rPr>
                <w:sz w:val="20"/>
                <w:szCs w:val="20"/>
                <w:color w:val="auto"/>
              </w:rPr>
            </w:pPr>
            <w:r>
              <w:rPr>
                <w:rFonts w:ascii="Arial" w:cs="Arial" w:eastAsia="Arial" w:hAnsi="Arial"/>
                <w:sz w:val="14"/>
                <w:szCs w:val="14"/>
                <w:color w:val="auto"/>
              </w:rPr>
              <w:t>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actuarial losses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6,775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6,775</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4"/>
                <w:szCs w:val="14"/>
                <w:color w:val="auto"/>
              </w:rPr>
              <w:t>(e)</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(2,666)</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Total reclassifications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787</w:t>
            </w:r>
          </w:p>
        </w:tc>
        <w:tc>
          <w:tcPr>
            <w:tcW w:w="2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7,298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(2,872)</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gain (loss) during the period</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(8,628)</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6,400</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6,550</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5,015</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(1,946)</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3,069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Balance — March 31, 2017</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38,097</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(67,385)</w:t>
            </w:r>
          </w:p>
        </w:tc>
        <w:tc>
          <w:tcPr>
            <w:tcW w:w="2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(443,367)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(480,230)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188,663</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(291,567</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6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Balance — January 1, 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16,359</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62,849</w:t>
            </w:r>
          </w:p>
        </w:tc>
        <w:tc>
          <w:tcPr>
            <w:tcW w:w="2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(489,660)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(4,093)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(414,545)</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162,918</w:t>
            </w:r>
          </w:p>
        </w:tc>
        <w:tc>
          <w:tcPr>
            <w:tcW w:w="24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(251,627)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Unrealized holding gains (losses), net</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(370)</w:t>
            </w:r>
          </w:p>
        </w:tc>
        <w:tc>
          <w:tcPr>
            <w:tcW w:w="660" w:type="dxa"/>
            <w:vAlign w:val="bottom"/>
          </w:tcPr>
          <w:p>
            <w:pPr>
              <w:jc w:val="right"/>
              <w:spacing w:after="0"/>
              <w:rPr>
                <w:sz w:val="20"/>
                <w:szCs w:val="20"/>
                <w:color w:val="auto"/>
              </w:rPr>
            </w:pPr>
            <w:r>
              <w:rPr>
                <w:rFonts w:ascii="Arial" w:cs="Arial" w:eastAsia="Arial" w:hAnsi="Arial"/>
                <w:sz w:val="14"/>
                <w:szCs w:val="14"/>
                <w:color w:val="auto"/>
              </w:rPr>
              <w:t>159,660</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159,290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(62,680)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96,610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(83)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20" w:type="dxa"/>
            <w:vAlign w:val="bottom"/>
          </w:tcPr>
          <w:p>
            <w:pPr>
              <w:spacing w:after="0" w:line="123" w:lineRule="exact"/>
              <w:rPr>
                <w:sz w:val="20"/>
                <w:szCs w:val="20"/>
                <w:color w:val="auto"/>
              </w:rPr>
            </w:pPr>
            <w:r>
              <w:rPr>
                <w:rFonts w:ascii="Arial" w:cs="Arial" w:eastAsia="Arial" w:hAnsi="Arial"/>
                <w:sz w:val="14"/>
                <w:szCs w:val="14"/>
                <w:color w:val="auto"/>
              </w:rPr>
              <w:t>Total other comprehensive income (loss) before</w:t>
            </w: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100"/>
              <w:spacing w:after="0"/>
              <w:rPr>
                <w:sz w:val="20"/>
                <w:szCs w:val="20"/>
                <w:color w:val="auto"/>
              </w:rPr>
            </w:pPr>
            <w:r>
              <w:rPr>
                <w:rFonts w:ascii="Arial" w:cs="Arial" w:eastAsia="Arial" w:hAnsi="Arial"/>
                <w:sz w:val="14"/>
                <w:szCs w:val="14"/>
                <w:color w:val="auto"/>
              </w:rPr>
              <w:t>reclassifications</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(370)</w:t>
            </w:r>
          </w:p>
        </w:tc>
        <w:tc>
          <w:tcPr>
            <w:tcW w:w="660" w:type="dxa"/>
            <w:vAlign w:val="bottom"/>
          </w:tcPr>
          <w:p>
            <w:pPr>
              <w:jc w:val="right"/>
              <w:spacing w:after="0"/>
              <w:rPr>
                <w:sz w:val="20"/>
                <w:szCs w:val="20"/>
                <w:color w:val="auto"/>
              </w:rPr>
            </w:pPr>
            <w:r>
              <w:rPr>
                <w:rFonts w:ascii="Arial" w:cs="Arial" w:eastAsia="Arial" w:hAnsi="Arial"/>
                <w:sz w:val="14"/>
                <w:szCs w:val="14"/>
                <w:color w:val="auto"/>
              </w:rPr>
              <w:t>159,660</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159,207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(62,650)</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96,557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2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340"/>
              <w:spacing w:after="0"/>
              <w:rPr>
                <w:sz w:val="20"/>
                <w:szCs w:val="20"/>
                <w:color w:val="auto"/>
              </w:rPr>
            </w:pPr>
            <w:r>
              <w:rPr>
                <w:rFonts w:ascii="Arial" w:cs="Arial" w:eastAsia="Arial" w:hAnsi="Arial"/>
                <w:sz w:val="14"/>
                <w:szCs w:val="14"/>
                <w:color w:val="auto"/>
              </w:rPr>
              <w:t>HTM securities</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968</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968</w:t>
            </w:r>
          </w:p>
        </w:tc>
        <w:tc>
          <w:tcPr>
            <w:tcW w:w="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(b)</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Gains realized in net income</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88"/>
              <w:spacing w:after="0"/>
              <w:rPr>
                <w:sz w:val="20"/>
                <w:szCs w:val="20"/>
                <w:color w:val="auto"/>
              </w:rPr>
            </w:pPr>
            <w:r>
              <w:rPr>
                <w:rFonts w:ascii="Arial" w:cs="Arial" w:eastAsia="Arial" w:hAnsi="Arial"/>
                <w:sz w:val="14"/>
                <w:szCs w:val="14"/>
                <w:color w:val="auto"/>
              </w:rPr>
              <w:t>(4) (c)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tcPr>
          <w:p>
            <w:pPr>
              <w:ind w:left="240"/>
              <w:spacing w:after="0" w:line="143" w:lineRule="exact"/>
              <w:rPr>
                <w:sz w:val="20"/>
                <w:szCs w:val="20"/>
                <w:color w:val="auto"/>
              </w:rPr>
            </w:pPr>
            <w:r>
              <w:rPr>
                <w:rFonts w:ascii="Arial" w:cs="Arial" w:eastAsia="Arial" w:hAnsi="Arial"/>
                <w:sz w:val="14"/>
                <w:szCs w:val="14"/>
                <w:color w:val="auto"/>
              </w:rPr>
              <w:t>Accretion of net gain on terminated cash flow</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340"/>
              <w:spacing w:after="0"/>
              <w:rPr>
                <w:sz w:val="20"/>
                <w:szCs w:val="20"/>
                <w:color w:val="auto"/>
              </w:rPr>
            </w:pPr>
            <w:r>
              <w:rPr>
                <w:rFonts w:ascii="Arial" w:cs="Arial" w:eastAsia="Arial" w:hAnsi="Arial"/>
                <w:sz w:val="14"/>
                <w:szCs w:val="14"/>
                <w:color w:val="auto"/>
              </w:rPr>
              <w:t>hedges</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188"/>
              <w:spacing w:after="0"/>
              <w:rPr>
                <w:sz w:val="20"/>
                <w:szCs w:val="20"/>
                <w:color w:val="auto"/>
              </w:rPr>
            </w:pPr>
            <w:r>
              <w:rPr>
                <w:rFonts w:ascii="Arial" w:cs="Arial" w:eastAsia="Arial" w:hAnsi="Arial"/>
                <w:sz w:val="14"/>
                <w:szCs w:val="14"/>
                <w:color w:val="auto"/>
              </w:rPr>
              <w:t>(39) (d)</w:t>
            </w: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prior service credit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(1,175)</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88"/>
              <w:spacing w:after="0"/>
              <w:rPr>
                <w:sz w:val="20"/>
                <w:szCs w:val="20"/>
                <w:color w:val="auto"/>
              </w:rPr>
            </w:pPr>
            <w:r>
              <w:rPr>
                <w:rFonts w:ascii="Arial" w:cs="Arial" w:eastAsia="Arial" w:hAnsi="Arial"/>
                <w:sz w:val="14"/>
                <w:szCs w:val="14"/>
                <w:color w:val="auto"/>
              </w:rPr>
              <w:t>(1,175) (e)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Amortization of actuarial losses</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8,300</w:t>
            </w:r>
          </w:p>
        </w:tc>
        <w:tc>
          <w:tcPr>
            <w:tcW w:w="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(3,266)</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reclassifications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964</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7,125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8,050</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(3,169)</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4,881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Total gain (loss) during the period</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(370)</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160,624</w:t>
            </w:r>
          </w:p>
        </w:tc>
        <w:tc>
          <w:tcPr>
            <w:tcW w:w="2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7,125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167,257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(65,819)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101,438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March 31, 2016</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15,989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223,473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(482,535)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(247,288</w:t>
            </w:r>
          </w:p>
        </w:tc>
        <w:tc>
          <w:tcPr>
            <w:tcW w:w="80" w:type="dxa"/>
            <w:vAlign w:val="bottom"/>
            <w:tcBorders>
              <w:top w:val="single" w:sz="8" w:color="CFF0FC"/>
              <w:bottom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84"/>
              </w:rPr>
              <w:t>)</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97,099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(150,189</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22"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on bank investment securities</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 continued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6"/>
              </w:rPr>
              <w:t>Defined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69"/>
              <w:spacing w:after="0" w:line="159" w:lineRule="exact"/>
              <w:rPr>
                <w:sz w:val="20"/>
                <w:szCs w:val="20"/>
                <w:color w:val="auto"/>
              </w:rPr>
            </w:pPr>
            <w:r>
              <w:rPr>
                <w:rFonts w:ascii="Arial" w:cs="Arial" w:eastAsia="Arial" w:hAnsi="Arial"/>
                <w:sz w:val="14"/>
                <w:szCs w:val="14"/>
                <w:color w:val="auto"/>
              </w:rPr>
              <w:t>Investment Securities</w:t>
            </w:r>
          </w:p>
        </w:tc>
        <w:tc>
          <w:tcPr>
            <w:tcW w:w="300" w:type="dxa"/>
            <w:vAlign w:val="bottom"/>
          </w:tcPr>
          <w:p>
            <w:pPr>
              <w:spacing w:after="0"/>
              <w:rPr>
                <w:sz w:val="13"/>
                <w:szCs w:val="13"/>
                <w:color w:val="auto"/>
              </w:rPr>
            </w:pPr>
          </w:p>
        </w:tc>
        <w:tc>
          <w:tcPr>
            <w:tcW w:w="11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7"/>
              </w:rPr>
              <w:t>Benefit</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w w:val="93"/>
              </w:rPr>
              <w:t>With OTTI</w:t>
            </w: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All Other</w:t>
            </w:r>
          </w:p>
        </w:tc>
        <w:tc>
          <w:tcPr>
            <w:tcW w:w="118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85"/>
              </w:rPr>
              <w:t>Plans</w:t>
            </w:r>
          </w:p>
        </w:tc>
        <w:tc>
          <w:tcPr>
            <w:tcW w:w="118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3"/>
                <w:szCs w:val="13"/>
                <w:color w:val="auto"/>
              </w:rPr>
            </w:pPr>
          </w:p>
        </w:tc>
        <w:tc>
          <w:tcPr>
            <w:tcW w:w="8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87"/>
              </w:rPr>
              <w:t>(In thousands)</w:t>
            </w: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5740" w:type="dxa"/>
            <w:vAlign w:val="bottom"/>
          </w:tcPr>
          <w:p>
            <w:pPr>
              <w:spacing w:after="0"/>
              <w:rPr>
                <w:sz w:val="20"/>
                <w:szCs w:val="20"/>
                <w:color w:val="auto"/>
              </w:rPr>
            </w:pPr>
            <w:r>
              <w:rPr>
                <w:rFonts w:ascii="Arial" w:cs="Arial" w:eastAsia="Arial" w:hAnsi="Arial"/>
                <w:sz w:val="18"/>
                <w:szCs w:val="18"/>
                <w:color w:val="auto"/>
              </w:rPr>
              <w:t>Balance - December 31, 2016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28,338</w:t>
            </w:r>
          </w:p>
        </w:tc>
        <w:tc>
          <w:tcPr>
            <w:tcW w:w="3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(44,657)</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(272,874)</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(5,443)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(294,636)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(5,232)</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3,972</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Balance — March 31, 2017</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23,106</w:t>
            </w:r>
          </w:p>
        </w:tc>
        <w:tc>
          <w:tcPr>
            <w:tcW w:w="3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(40,781)</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(268,902)</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(4,990)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(291,567)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significant as of March 31, 2017.</w:t>
      </w:r>
    </w:p>
    <w:p>
      <w:pPr>
        <w:spacing w:after="0" w:line="19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net effect of interest rate swap agreements was to increase net interest income by $4 million and $10 million for the three-month periods ended March 31, 2017 and 2016, respectively.</w:t>
      </w:r>
    </w:p>
    <w:p>
      <w:pPr>
        <w:spacing w:after="0" w:line="17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ind w:left="660"/>
              <w:spacing w:after="0"/>
              <w:rPr>
                <w:sz w:val="20"/>
                <w:szCs w:val="20"/>
                <w:color w:val="auto"/>
              </w:rPr>
            </w:pPr>
            <w:r>
              <w:rPr>
                <w:rFonts w:ascii="Arial" w:cs="Arial" w:eastAsia="Arial" w:hAnsi="Arial"/>
                <w:sz w:val="14"/>
                <w:szCs w:val="14"/>
                <w:color w:val="auto"/>
                <w:w w:val="93"/>
              </w:rPr>
              <w:t>Weighted-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Notional</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Average</w:t>
            </w:r>
          </w:p>
        </w:tc>
        <w:tc>
          <w:tcPr>
            <w:tcW w:w="2300" w:type="dxa"/>
            <w:vAlign w:val="bottom"/>
            <w:gridSpan w:val="5"/>
          </w:tcPr>
          <w:p>
            <w:pPr>
              <w:jc w:val="right"/>
              <w:ind w:right="960"/>
              <w:spacing w:after="0"/>
              <w:rPr>
                <w:sz w:val="20"/>
                <w:szCs w:val="20"/>
                <w:color w:val="auto"/>
              </w:rPr>
            </w:pPr>
            <w:r>
              <w:rPr>
                <w:rFonts w:ascii="Arial" w:cs="Arial" w:eastAsia="Arial" w:hAnsi="Arial"/>
                <w:sz w:val="14"/>
                <w:szCs w:val="14"/>
                <w:color w:val="auto"/>
              </w:rPr>
              <w:t>Average Rate</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Estimated Fair</w:t>
            </w: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60"/>
              <w:spacing w:after="0" w:line="155" w:lineRule="exact"/>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4"/>
                <w:szCs w:val="14"/>
                <w:color w:val="auto"/>
              </w:rPr>
              <w:t>Maturity</w:t>
            </w:r>
          </w:p>
        </w:tc>
        <w:tc>
          <w:tcPr>
            <w:tcW w:w="1280" w:type="dxa"/>
            <w:vAlign w:val="bottom"/>
            <w:tcBorders>
              <w:top w:val="single" w:sz="8" w:color="auto"/>
            </w:tcBorders>
            <w:gridSpan w:val="3"/>
          </w:tcPr>
          <w:p>
            <w:pPr>
              <w:ind w:left="220"/>
              <w:spacing w:after="0" w:line="155" w:lineRule="exact"/>
              <w:rPr>
                <w:sz w:val="20"/>
                <w:szCs w:val="20"/>
                <w:color w:val="auto"/>
              </w:rPr>
            </w:pPr>
            <w:r>
              <w:rPr>
                <w:rFonts w:ascii="Arial" w:cs="Arial" w:eastAsia="Arial" w:hAnsi="Arial"/>
                <w:sz w:val="14"/>
                <w:szCs w:val="14"/>
                <w:color w:val="auto"/>
              </w:rPr>
              <w:t>Fixed</w:t>
            </w:r>
          </w:p>
        </w:tc>
        <w:tc>
          <w:tcPr>
            <w:tcW w:w="66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color w:val="auto"/>
                <w:w w:val="93"/>
              </w:rPr>
              <w:t>Variable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5"/>
              </w:rPr>
              <w:t>Value Gain</w:t>
            </w: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8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(In years)</w:t>
            </w:r>
          </w:p>
        </w:tc>
        <w:tc>
          <w:tcPr>
            <w:tcW w:w="2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41"/>
              <w:spacing w:after="0" w:line="155" w:lineRule="exact"/>
              <w:rPr>
                <w:sz w:val="20"/>
                <w:szCs w:val="20"/>
                <w:color w:val="auto"/>
              </w:rPr>
            </w:pPr>
            <w:r>
              <w:rPr>
                <w:rFonts w:ascii="Arial" w:cs="Arial" w:eastAsia="Arial" w:hAnsi="Arial"/>
                <w:sz w:val="14"/>
                <w:szCs w:val="14"/>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Fair value hedges: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(a)</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Fair value hedges: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Fixed rate long-term borrowings (a)</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867"/>
        <w:spacing w:after="0"/>
        <w:tabs>
          <w:tab w:leader="none" w:pos="9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6"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8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$22.3 billion and $21.6 billion at March 31, 2017 and December 31, 2016, respectively. The notional amounts of foreign currency and other option and futures contracts entered into for trading account purposes aggregated $496 million and $471 million at March 31, 2017 and December 31, 2016,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6"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ind w:left="380"/>
              <w:spacing w:after="0"/>
              <w:rPr>
                <w:sz w:val="20"/>
                <w:szCs w:val="20"/>
                <w:color w:val="auto"/>
              </w:rPr>
            </w:pPr>
            <w:r>
              <w:rPr>
                <w:rFonts w:ascii="Arial" w:cs="Arial" w:eastAsia="Arial" w:hAnsi="Arial"/>
                <w:sz w:val="14"/>
                <w:szCs w:val="14"/>
                <w:color w:val="auto"/>
              </w:rPr>
              <w:t>Asset Derivatives</w:t>
            </w:r>
          </w:p>
        </w:tc>
        <w:tc>
          <w:tcPr>
            <w:tcW w:w="120" w:type="dxa"/>
            <w:vAlign w:val="bottom"/>
          </w:tcPr>
          <w:p>
            <w:pPr>
              <w:spacing w:after="0"/>
              <w:rPr>
                <w:sz w:val="14"/>
                <w:szCs w:val="14"/>
                <w:color w:val="auto"/>
              </w:rPr>
            </w:pPr>
          </w:p>
        </w:tc>
        <w:tc>
          <w:tcPr>
            <w:tcW w:w="2040" w:type="dxa"/>
            <w:vAlign w:val="bottom"/>
            <w:gridSpan w:val="4"/>
          </w:tcPr>
          <w:p>
            <w:pPr>
              <w:ind w:left="300"/>
              <w:spacing w:after="0"/>
              <w:rPr>
                <w:sz w:val="20"/>
                <w:szCs w:val="20"/>
                <w:color w:val="auto"/>
              </w:rPr>
            </w:pPr>
            <w:r>
              <w:rPr>
                <w:rFonts w:ascii="Arial" w:cs="Arial" w:eastAsia="Arial" w:hAnsi="Arial"/>
                <w:sz w:val="14"/>
                <w:szCs w:val="14"/>
                <w:color w:val="auto"/>
              </w:rPr>
              <w:t>Liability Derivatives</w:t>
            </w:r>
          </w:p>
        </w:tc>
      </w:tr>
      <w:tr>
        <w:trPr>
          <w:trHeight w:val="150"/>
        </w:trPr>
        <w:tc>
          <w:tcPr>
            <w:tcW w:w="5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jc w:val="right"/>
              <w:ind w:right="634"/>
              <w:spacing w:after="0" w:line="151" w:lineRule="exact"/>
              <w:rPr>
                <w:sz w:val="20"/>
                <w:szCs w:val="20"/>
                <w:color w:val="auto"/>
              </w:rPr>
            </w:pPr>
            <w:r>
              <w:rPr>
                <w:rFonts w:ascii="Arial" w:cs="Arial" w:eastAsia="Arial" w:hAnsi="Arial"/>
                <w:sz w:val="14"/>
                <w:szCs w:val="14"/>
                <w:color w:val="auto"/>
              </w:rPr>
              <w:t>Fair Value</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jc w:val="right"/>
              <w:ind w:right="653"/>
              <w:spacing w:after="0" w:line="151" w:lineRule="exact"/>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3"/>
                <w:szCs w:val="13"/>
                <w:color w:val="auto"/>
              </w:rPr>
            </w:pPr>
          </w:p>
        </w:tc>
      </w:tr>
      <w:tr>
        <w:trPr>
          <w:trHeight w:val="149"/>
        </w:trPr>
        <w:tc>
          <w:tcPr>
            <w:tcW w:w="5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March 31,</w:t>
            </w: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March 31,</w:t>
            </w: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600"/>
              <w:spacing w:after="0" w:line="155" w:lineRule="exact"/>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6"/>
                <w:szCs w:val="16"/>
                <w:color w:val="auto"/>
              </w:rPr>
              <w:t>Fair value hedges: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rate swap agreements (a)</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Commitments to sell real estate loans (a)</w:t>
            </w: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 for sale (a)</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16,847</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109,996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134,919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167,737</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135,601</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140,922</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175,510</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6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144,199</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295,069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143,243</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w w:val="96"/>
              </w:rPr>
              <w:t>Amount of Gain (Loss) Recognized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5"/>
          </w:tcPr>
          <w:p>
            <w:pPr>
              <w:spacing w:after="0" w:line="137" w:lineRule="exact"/>
              <w:rPr>
                <w:sz w:val="20"/>
                <w:szCs w:val="20"/>
                <w:color w:val="auto"/>
              </w:rPr>
            </w:pPr>
            <w:r>
              <w:rPr>
                <w:rFonts w:ascii="Arial" w:cs="Arial" w:eastAsia="Arial" w:hAnsi="Arial"/>
                <w:sz w:val="14"/>
                <w:szCs w:val="14"/>
                <w:color w:val="auto"/>
              </w:rPr>
              <w:t>Three Months Ended March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4"/>
          </w:tcPr>
          <w:p>
            <w:pPr>
              <w:jc w:val="center"/>
              <w:ind w:right="48"/>
              <w:spacing w:after="0" w:line="137" w:lineRule="exact"/>
              <w:rPr>
                <w:sz w:val="20"/>
                <w:szCs w:val="20"/>
                <w:color w:val="auto"/>
              </w:rPr>
            </w:pPr>
            <w:r>
              <w:rPr>
                <w:rFonts w:ascii="Arial" w:cs="Arial" w:eastAsia="Arial" w:hAnsi="Arial"/>
                <w:sz w:val="14"/>
                <w:szCs w:val="14"/>
                <w:color w:val="auto"/>
                <w:w w:val="94"/>
              </w:rPr>
              <w:t>Three Months Ended 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808"/>
              <w:spacing w:after="0"/>
              <w:rPr>
                <w:sz w:val="20"/>
                <w:szCs w:val="20"/>
                <w:color w:val="auto"/>
              </w:rPr>
            </w:pPr>
            <w:r>
              <w:rPr>
                <w:rFonts w:ascii="Arial" w:cs="Arial" w:eastAsia="Arial" w:hAnsi="Arial"/>
                <w:sz w:val="14"/>
                <w:szCs w:val="14"/>
                <w:color w:val="auto"/>
                <w:w w:val="83"/>
              </w:rPr>
              <w:t>2017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828"/>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Derivative</w:t>
            </w:r>
          </w:p>
        </w:tc>
        <w:tc>
          <w:tcPr>
            <w:tcW w:w="2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Hedged Item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Derivative</w:t>
            </w:r>
          </w:p>
        </w:tc>
        <w:tc>
          <w:tcPr>
            <w:tcW w:w="2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Hedged Item</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6"/>
          </w:tcPr>
          <w:p>
            <w:pPr>
              <w:jc w:val="right"/>
              <w:ind w:right="620"/>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4,012</w:t>
            </w:r>
          </w:p>
        </w:tc>
        <w:tc>
          <w:tcPr>
            <w:tcW w:w="3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40" w:hanging="478"/>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540" w:hanging="478"/>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224"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$24 million and $28 million at March 31, 2017 and December 31, 2016, respectively. Changes in unrealized gains and losses are included in mortgage banking revenues and, in general, are realized in subsequent periods as the related loans are sold and commitments satisfied.</w:t>
      </w:r>
    </w:p>
    <w:p>
      <w:pPr>
        <w:spacing w:after="0" w:line="16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58"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The aggregate fair value of derivative financial instruments in a liability position, which are subject to enforceable master netting arrangements, was $26 million and $34 million at March 31, 2017 and December 31, 2016, respectively. After consideration of such netting arrangements, the net liability positions with counterparties aggregated $25 million and $30 million at March 31, 2017 and December 31, 2016, respectively. The Company was required to post collateral relating to those positions of $23 million and $27 million at March 31, 2017 and December 31, 2016,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2017 was less than $1 million, for which the Company was not required to post collateral in the normal course of business. If the credit risk-related contingent features had been triggered on March 31, 2017, the Company would not have been required to post any collateral to counterparties.</w:t>
      </w:r>
    </w:p>
    <w:p>
      <w:pPr>
        <w:spacing w:after="0" w:line="189"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The aggregate fair value of derivative financial instruments in an asset position, which are subject to enforceable master netting arrangements, was $14 million and $15 million at March 31, 2017 and December 31, 2016, respectively. After consideration of such netting arrangements, the net asset positions with counterparties aggregated $13 million and $11 million at March 31, 2017 and December 31, 2016, respectively. Counterparties posted collateral relating to those positions of $12 million and $9 million at March 31, 2017 and December 31, 2016, respectively. Trading account interest rate swap agreements entered into with customers are subject to the Company’s credit risk standards and often contain collateral provisions.</w:t>
      </w:r>
    </w:p>
    <w:p>
      <w:pPr>
        <w:spacing w:after="0" w:line="18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(“variation margin”) depending on the contracts being in a net asset or liability position. The amount of initial margin posted by the Company was $83 million and $111 million at March 31, 2017 and December 31, 2016, respectively. Effective January 2017, certain clearinghouse exchanges revised their rules to re-characterize required collateral postings for variation margin as legal settlements of those positions. As a result, the fair value asset and liability amounts of derivative contracts at March 31, 2017 have been reduced by contractual settlements of $112 million and $25 million, respectively. Variation margin on derivative contracts not affected by the rule changes continue to represent collateral posted or received by the Company. For those contracts, the net fair values of derivative financial instruments cleared through clearinghouses for which variation margin is required was a net asset position of $1 million and $63 million at March 31, 2017 and December 31, 2016, respectively. Collateral posted by the clearinghouses associated with that net asset position was $1 million and $81 million at March 31, 2017 and December 31, 2016, respectively</w:t>
      </w:r>
      <w:r>
        <w:rPr>
          <w:rFonts w:ascii="Arial" w:cs="Arial" w:eastAsia="Arial" w:hAnsi="Arial"/>
          <w:sz w:val="16"/>
          <w:szCs w:val="16"/>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Variable interest entities and asset securitizations</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March 31, 2017 and December 31, 2016, the Company included the junior subordinated debentures as “long-term borrowings” in its consolidated balance sheet and recognized $24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9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$1.0 billion at each of March 31, 2017 and December 31, 2016.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$316 million, including $114 million of unfunded commitments, at March 31, 2017 and $294 million, including $102 million of unfunded commitments, at December 31, 2016. Contingent commitments to provide additional capital contributions to these partnerships were not material at March 31, 2017.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$13 million and $11 million of its investments in qualified affordable housing projects to income tax expense during the three-month periods ended March 31, 2017 and 2016, respectively, and recognized $16 million and $14 million of tax credits and other tax benefits during those respective periods.</w:t>
      </w:r>
    </w:p>
    <w:p>
      <w:pPr>
        <w:spacing w:after="0" w:line="167" w:lineRule="exact"/>
        <w:rPr>
          <w:sz w:val="20"/>
          <w:szCs w:val="20"/>
          <w:color w:val="auto"/>
        </w:rPr>
      </w:pPr>
    </w:p>
    <w:p>
      <w:pPr>
        <w:jc w:val="both"/>
        <w:ind w:right="20" w:firstLine="518"/>
        <w:spacing w:after="0" w:line="348"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March 31, 2017.</w:t>
      </w:r>
    </w:p>
    <w:p>
      <w:pPr>
        <w:spacing w:after="0" w:line="17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4"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40" w:hanging="519"/>
        <w:spacing w:after="0" w:line="253" w:lineRule="auto"/>
        <w:tabs>
          <w:tab w:leader="none" w:pos="10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3" w:lineRule="exact"/>
        <w:rPr>
          <w:rFonts w:ascii="Arial" w:cs="Arial" w:eastAsia="Arial" w:hAnsi="Arial"/>
          <w:sz w:val="21"/>
          <w:szCs w:val="21"/>
          <w:color w:val="auto"/>
        </w:rPr>
      </w:pPr>
    </w:p>
    <w:p>
      <w:pPr>
        <w:jc w:val="both"/>
        <w:ind w:left="1040" w:hanging="519"/>
        <w:spacing w:after="0" w:line="253" w:lineRule="auto"/>
        <w:tabs>
          <w:tab w:leader="none" w:pos="10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2"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right="20" w:firstLine="518"/>
        <w:spacing w:after="0" w:line="264" w:lineRule="auto"/>
        <w:rPr>
          <w:sz w:val="20"/>
          <w:szCs w:val="20"/>
          <w:color w:val="auto"/>
        </w:rPr>
      </w:pPr>
      <w:r>
        <w:rPr>
          <w:rFonts w:ascii="Arial" w:cs="Arial" w:eastAsia="Arial" w:hAnsi="Arial"/>
          <w:sz w:val="21"/>
          <w:szCs w:val="21"/>
          <w:color w:val="auto"/>
        </w:rPr>
        <w:t>The following tables present assets and liabilities at March 31, 2017 and December 31, 2016 measured at estimated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Fair Value</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Measurements</w:t>
            </w: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Level 1 (a)</w:t>
            </w: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Level 2 (a)</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ind w:left="66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174,854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46,137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128,717</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1,898,250</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1,898,250</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10,504,314</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10,504,314</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119,767</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119,767</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105,504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63,698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41,806</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12,631,000</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63,698</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12,567,261</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372,023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372,023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12,724</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13,207,448</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109,835</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13,080,725</w:t>
            </w:r>
          </w:p>
        </w:tc>
        <w:tc>
          <w:tcPr>
            <w:tcW w:w="3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138,695</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138,695</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4,548</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143,243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142,598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323,867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46,135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277,732</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1,902,544</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1,902,544</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10,954,861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10,954,861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118,516</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118,516</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352,466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301,711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50,755</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13,332,072</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301,711</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13,030,317</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1,056,180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1,056,180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50,291</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14,770,470</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347,846</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14,414,520</w:t>
            </w:r>
          </w:p>
        </w:tc>
        <w:tc>
          <w:tcPr>
            <w:tcW w:w="3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174,376</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174,376</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2,481</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60" w:hanging="512"/>
        <w:spacing w:after="0" w:line="258" w:lineRule="auto"/>
        <w:tabs>
          <w:tab w:leader="none" w:pos="5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ended March 31, 2017 and the year ended December 31, 2016.</w:t>
      </w:r>
    </w:p>
    <w:p>
      <w:pPr>
        <w:spacing w:after="0" w:line="1" w:lineRule="exact"/>
        <w:rPr>
          <w:rFonts w:ascii="Arial" w:cs="Arial" w:eastAsia="Arial" w:hAnsi="Arial"/>
          <w:sz w:val="18"/>
          <w:szCs w:val="18"/>
          <w:i w:val="1"/>
          <w:iCs w:val="1"/>
          <w:color w:val="auto"/>
        </w:rPr>
      </w:pPr>
    </w:p>
    <w:p>
      <w:pPr>
        <w:ind w:left="520" w:hanging="512"/>
        <w:spacing w:after="0" w:line="261" w:lineRule="auto"/>
        <w:tabs>
          <w:tab w:leader="none" w:pos="5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March 31, 2017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color w:val="auto"/>
              </w:rPr>
              <w:t>Investment Securities</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Available for Sale</w:t>
            </w:r>
          </w:p>
        </w:tc>
        <w:tc>
          <w:tcPr>
            <w:tcW w:w="1280" w:type="dxa"/>
            <w:vAlign w:val="bottom"/>
            <w:vMerge w:val="restart"/>
          </w:tcPr>
          <w:p>
            <w:pPr>
              <w:jc w:val="right"/>
              <w:ind w:right="195"/>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7"/>
              <w:spacing w:after="0" w:line="137" w:lineRule="exact"/>
              <w:rPr>
                <w:sz w:val="20"/>
                <w:szCs w:val="20"/>
                <w:color w:val="auto"/>
              </w:rPr>
            </w:pPr>
            <w:r>
              <w:rPr>
                <w:rFonts w:ascii="Arial" w:cs="Arial" w:eastAsia="Arial" w:hAnsi="Arial"/>
                <w:sz w:val="14"/>
                <w:szCs w:val="14"/>
                <w:color w:val="auto"/>
                <w:w w:val="93"/>
              </w:rPr>
              <w:t>Privately Issued</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Mortgage-Backed</w:t>
            </w:r>
          </w:p>
        </w:tc>
        <w:tc>
          <w:tcPr>
            <w:tcW w:w="1280" w:type="dxa"/>
            <w:vAlign w:val="bottom"/>
          </w:tcPr>
          <w:p>
            <w:pPr>
              <w:jc w:val="right"/>
              <w:ind w:right="275"/>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91"/>
              </w:rPr>
              <w:t>Securities</w:t>
            </w: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3"/>
          </w:tcPr>
          <w:p>
            <w:pPr>
              <w:jc w:val="right"/>
              <w:ind w:right="915"/>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6000" w:type="dxa"/>
            <w:vAlign w:val="bottom"/>
          </w:tcPr>
          <w:p>
            <w:pPr>
              <w:spacing w:after="0"/>
              <w:rPr>
                <w:sz w:val="20"/>
                <w:szCs w:val="20"/>
                <w:color w:val="auto"/>
              </w:rPr>
            </w:pPr>
            <w:r>
              <w:rPr>
                <w:rFonts w:ascii="Arial" w:cs="Arial" w:eastAsia="Arial" w:hAnsi="Arial"/>
                <w:sz w:val="18"/>
                <w:szCs w:val="18"/>
                <w:color w:val="auto"/>
              </w:rPr>
              <w:t>Balance — January 1,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7,325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23,940</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Included in other comprehensive income</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(15,063) (d)</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March 31, 2017</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related to assets still held at March 31,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15,094</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March 31, 2016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gridSpan w:val="5"/>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37"/>
        </w:trPr>
        <w:tc>
          <w:tcPr>
            <w:tcW w:w="4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tcBorders>
              <w:top w:val="single" w:sz="8" w:color="auto"/>
            </w:tcBorders>
            <w:gridSpan w:val="3"/>
          </w:tcPr>
          <w:p>
            <w:pPr>
              <w:ind w:left="40"/>
              <w:spacing w:after="0" w:line="137" w:lineRule="exact"/>
              <w:rPr>
                <w:sz w:val="20"/>
                <w:szCs w:val="20"/>
                <w:color w:val="auto"/>
              </w:rPr>
            </w:pPr>
            <w:r>
              <w:rPr>
                <w:rFonts w:ascii="Arial" w:cs="Arial" w:eastAsia="Arial" w:hAnsi="Arial"/>
                <w:sz w:val="14"/>
                <w:szCs w:val="14"/>
                <w:color w:val="auto"/>
              </w:rPr>
              <w:t>Privately Issued</w:t>
            </w:r>
          </w:p>
        </w:tc>
        <w:tc>
          <w:tcPr>
            <w:tcW w:w="10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49"/>
        </w:trPr>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3"/>
              </w:rPr>
              <w:t>Mortgage-</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Collateralized</w:t>
            </w:r>
          </w:p>
        </w:tc>
        <w:tc>
          <w:tcPr>
            <w:tcW w:w="1000" w:type="dxa"/>
            <w:vAlign w:val="bottom"/>
          </w:tcPr>
          <w:p>
            <w:pPr>
              <w:jc w:val="right"/>
              <w:ind w:right="55"/>
              <w:spacing w:after="0" w:line="149" w:lineRule="exact"/>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2"/>
                <w:szCs w:val="12"/>
                <w:color w:val="auto"/>
              </w:rPr>
            </w:pPr>
          </w:p>
        </w:tc>
      </w:tr>
      <w:tr>
        <w:trPr>
          <w:trHeight w:val="149"/>
        </w:trPr>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Backed</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Debt</w:t>
            </w:r>
          </w:p>
        </w:tc>
        <w:tc>
          <w:tcPr>
            <w:tcW w:w="100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r>
      <w:tr>
        <w:trPr>
          <w:trHeight w:val="167"/>
        </w:trPr>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Securities</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Obligations</w:t>
            </w:r>
          </w:p>
        </w:tc>
        <w:tc>
          <w:tcPr>
            <w:tcW w:w="1000" w:type="dxa"/>
            <w:vAlign w:val="bottom"/>
          </w:tcPr>
          <w:p>
            <w:pPr>
              <w:jc w:val="right"/>
              <w:ind w:right="135"/>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r>
      <w:tr>
        <w:trPr>
          <w:trHeight w:val="176"/>
        </w:trPr>
        <w:tc>
          <w:tcPr>
            <w:tcW w:w="4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(In thousands)</w:t>
            </w:r>
          </w:p>
        </w:tc>
        <w:tc>
          <w:tcPr>
            <w:tcW w:w="4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439"/>
        </w:trPr>
        <w:tc>
          <w:tcPr>
            <w:tcW w:w="4300" w:type="dxa"/>
            <w:vAlign w:val="bottom"/>
          </w:tcPr>
          <w:p>
            <w:pPr>
              <w:spacing w:after="0"/>
              <w:rPr>
                <w:sz w:val="20"/>
                <w:szCs w:val="20"/>
                <w:color w:val="auto"/>
              </w:rPr>
            </w:pPr>
            <w:r>
              <w:rPr>
                <w:rFonts w:ascii="Arial" w:cs="Arial" w:eastAsia="Arial" w:hAnsi="Arial"/>
                <w:sz w:val="18"/>
                <w:szCs w:val="18"/>
                <w:color w:val="auto"/>
              </w:rPr>
              <w:t>Balance — January 1, 2016</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47,393</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9,879</w:t>
            </w:r>
          </w:p>
        </w:tc>
        <w:tc>
          <w:tcPr>
            <w:tcW w:w="320" w:type="dxa"/>
            <w:vAlign w:val="bottom"/>
          </w:tcPr>
          <w:p>
            <w:pPr>
              <w:spacing w:after="0"/>
              <w:rPr>
                <w:sz w:val="24"/>
                <w:szCs w:val="24"/>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23,898</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Included in other comprehensive income</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(2,148) (c)</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Settlements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Transfers in and/or out of Level 3 (a)</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(16,892) (d)</w:t>
            </w:r>
          </w:p>
        </w:tc>
      </w:tr>
      <w:tr>
        <w:trPr>
          <w:trHeight w:val="26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 March 31, 2016</w:t>
            </w:r>
          </w:p>
        </w:tc>
        <w:tc>
          <w:tcPr>
            <w:tcW w:w="7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45,040</w:t>
            </w:r>
          </w:p>
        </w:tc>
        <w:tc>
          <w:tcPr>
            <w:tcW w:w="42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16,885</w:t>
            </w:r>
          </w:p>
        </w:tc>
        <w:tc>
          <w:tcPr>
            <w:tcW w:w="320" w:type="dxa"/>
            <w:vAlign w:val="bottom"/>
            <w:tcBorders>
              <w:bottom w:val="single" w:sz="8" w:color="CFF0FC"/>
            </w:tcBorders>
          </w:tcPr>
          <w:p>
            <w:pPr>
              <w:spacing w:after="0"/>
              <w:rPr>
                <w:sz w:val="22"/>
                <w:szCs w:val="22"/>
                <w:color w:val="auto"/>
              </w:rPr>
            </w:pPr>
          </w:p>
        </w:tc>
      </w:tr>
      <w:tr>
        <w:trPr>
          <w:trHeight w:val="196"/>
        </w:trPr>
        <w:tc>
          <w:tcPr>
            <w:tcW w:w="43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0"/>
        </w:trPr>
        <w:tc>
          <w:tcPr>
            <w:tcW w:w="4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March 31, 2016</w:t>
            </w:r>
          </w:p>
        </w:tc>
        <w:tc>
          <w:tcPr>
            <w:tcW w:w="8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w:t>
            </w: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bl>
    <w:p>
      <w:pPr>
        <w:spacing w:after="0" w:line="53" w:lineRule="exact"/>
        <w:rPr>
          <w:sz w:val="20"/>
          <w:szCs w:val="20"/>
          <w:color w:val="auto"/>
        </w:rPr>
      </w:pPr>
    </w:p>
    <w:p>
      <w:pPr>
        <w:ind w:left="520" w:hanging="512"/>
        <w:spacing w:after="0" w:line="258"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520" w:hanging="512"/>
        <w:spacing w:after="0" w:line="250"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losses on investment securities in the consolidated statement of comprehensive income. The Company sold its collateralized debt obligations during the third and fourth quarters of 2016.</w:t>
      </w:r>
    </w:p>
    <w:p>
      <w:pPr>
        <w:ind w:left="520" w:hanging="512"/>
        <w:spacing w:after="0"/>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11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March 31, 2017.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$210 million at March 31, 2017 ($88 million and $122 million of which were classified as Level 2 and Level 3, respectively), $293 million at December 31, 2016 ($153 million and $140 million of which were classified as Level 2 and Level 3, respectively) and $226 million at March 31, 2016 ($127 million and $99 million of which were classified as Level 2 and Level 3, respectively). Changes in fair value recognized for partial charge-offs of loans and loan impairment reserves on loans held by the Company on March 31, 2017 and 2016 were decreases of $42 million and $27 million for the three-month periods ended March 31, 2017 and March 31, 2016, respectively.</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$32 million and $62 million at March 31, 2017 and 2016, respectively. Changes in fair value recognized for those foreclosed assets held by the Company were not material during the three-month periods ended March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110"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March 31, 2017 and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Valuation</w:t>
            </w:r>
          </w:p>
        </w:tc>
        <w:tc>
          <w:tcPr>
            <w:tcW w:w="1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Unobservable</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4"/>
                <w:szCs w:val="14"/>
                <w:color w:val="auto"/>
                <w:w w:val="90"/>
              </w:rPr>
              <w:t>Fair Value</w:t>
            </w:r>
          </w:p>
        </w:tc>
        <w:tc>
          <w:tcPr>
            <w:tcW w:w="34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Arial" w:cs="Arial" w:eastAsia="Arial" w:hAnsi="Arial"/>
                <w:sz w:val="14"/>
                <w:szCs w:val="14"/>
                <w:color w:val="auto"/>
              </w:rPr>
              <w:t>Technique</w:t>
            </w:r>
          </w:p>
        </w:tc>
        <w:tc>
          <w:tcPr>
            <w:tcW w:w="1500" w:type="dxa"/>
            <w:vAlign w:val="bottom"/>
            <w:gridSpan w:val="2"/>
          </w:tcPr>
          <w:p>
            <w:pPr>
              <w:spacing w:after="0"/>
              <w:rPr>
                <w:sz w:val="20"/>
                <w:szCs w:val="20"/>
                <w:color w:val="auto"/>
              </w:rPr>
            </w:pPr>
            <w:r>
              <w:rPr>
                <w:rFonts w:ascii="Arial" w:cs="Arial" w:eastAsia="Arial" w:hAnsi="Arial"/>
                <w:sz w:val="14"/>
                <w:szCs w:val="14"/>
                <w:color w:val="auto"/>
              </w:rPr>
              <w:t>Inputs/Assumptions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color w:val="auto"/>
                <w:w w:val="91"/>
              </w:rPr>
              <w:t>(In thousands)</w:t>
            </w:r>
          </w:p>
        </w:tc>
        <w:tc>
          <w:tcPr>
            <w:tcW w:w="3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Two independent</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w:t>
            </w: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pricing quotes</w:t>
            </w:r>
          </w:p>
        </w:tc>
        <w:tc>
          <w:tcPr>
            <w:tcW w:w="150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Discounted cash</w:t>
            </w:r>
          </w:p>
        </w:tc>
        <w:tc>
          <w:tcPr>
            <w:tcW w:w="150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16,202</w:t>
            </w: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flow</w:t>
            </w:r>
          </w:p>
        </w:tc>
        <w:tc>
          <w:tcPr>
            <w:tcW w:w="1500" w:type="dxa"/>
            <w:vAlign w:val="bottom"/>
            <w:gridSpan w:val="2"/>
          </w:tcPr>
          <w:p>
            <w:pPr>
              <w:spacing w:after="0"/>
              <w:rPr>
                <w:sz w:val="20"/>
                <w:szCs w:val="20"/>
                <w:color w:val="auto"/>
              </w:rPr>
            </w:pPr>
            <w:r>
              <w:rPr>
                <w:rFonts w:ascii="Arial" w:cs="Arial" w:eastAsia="Arial" w:hAnsi="Arial"/>
                <w:sz w:val="18"/>
                <w:szCs w:val="18"/>
                <w:color w:val="auto"/>
              </w:rPr>
              <w:t>expirations</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0%-80% (24%)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Recurring fair value measurements</w:t>
            </w: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Two independent</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pricing quotes</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Discounted cash</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7,325</w:t>
            </w: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flow</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expirations</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0%-77% (30%)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240" w:firstLine="8"/>
        <w:spacing w:after="0" w:line="410" w:lineRule="auto"/>
        <w:tabs>
          <w:tab w:leader="none" w:pos="31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4"/>
              </w:rPr>
              <w:t>March 31, 2017</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120"/>
              <w:spacing w:after="0" w:line="137" w:lineRule="exact"/>
              <w:rPr>
                <w:sz w:val="20"/>
                <w:szCs w:val="20"/>
                <w:color w:val="auto"/>
              </w:rPr>
            </w:pPr>
            <w:r>
              <w:rPr>
                <w:rFonts w:ascii="Arial" w:cs="Arial" w:eastAsia="Arial" w:hAnsi="Arial"/>
                <w:sz w:val="14"/>
                <w:szCs w:val="14"/>
                <w:color w:val="auto"/>
              </w:rPr>
              <w:t>Carrying</w:t>
            </w:r>
          </w:p>
        </w:tc>
        <w:tc>
          <w:tcPr>
            <w:tcW w:w="114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Estimated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Fair Value</w:t>
            </w:r>
          </w:p>
        </w:tc>
        <w:tc>
          <w:tcPr>
            <w:tcW w:w="16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240"/>
              <w:spacing w:after="0" w:line="155" w:lineRule="exact"/>
              <w:rPr>
                <w:sz w:val="20"/>
                <w:szCs w:val="20"/>
                <w:color w:val="auto"/>
              </w:rPr>
            </w:pPr>
            <w:r>
              <w:rPr>
                <w:rFonts w:ascii="Arial" w:cs="Arial" w:eastAsia="Arial" w:hAnsi="Arial"/>
                <w:sz w:val="14"/>
                <w:szCs w:val="14"/>
                <w:color w:val="auto"/>
                <w:w w:val="91"/>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1,286,962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1,286,962</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1,213,120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73,842</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6,945,149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6,945,149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6,945,149</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174,854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174,854</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46,137</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128,717</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15,968,415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15,958,181</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63,698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15,775,917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22,295,376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21,882,456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21,882,456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33,071,654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32,607,794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74,563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32,533,231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21,724,491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21,776,908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4,686,339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17,090,569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12,221,481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12,083,513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12,083,513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(1,001,430)</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28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88,311,572</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88,350,671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4,760,902</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83,589,769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318,152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318,152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318,152</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(34,279,591)</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(34,279,591)</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(34,279,591)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(53,542,149)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(53,542,149)</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(53,542,149)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(9,028,018)</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(9,106,654)</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(9,106,654)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(192,763)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(192,763)</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(192,763)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(185,102)</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(185,102)</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(185,102)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(8,087,619)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(8,104,055)</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(8,104,055)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(60,737)</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(60,737)</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(60,737)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(138,695)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(138,695)</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(138,695)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16,202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(129,968)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(129,968)</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(129,968)</w:t>
            </w:r>
          </w:p>
        </w:tc>
        <w:tc>
          <w:tcPr>
            <w:tcW w:w="20" w:type="dxa"/>
            <w:vAlign w:val="bottom"/>
          </w:tcPr>
          <w:p>
            <w:pPr>
              <w:spacing w:after="0"/>
              <w:rPr>
                <w:sz w:val="19"/>
                <w:szCs w:val="19"/>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32"/>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- 36 -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 2016</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560"/>
              <w:spacing w:after="0" w:line="137" w:lineRule="exact"/>
              <w:rPr>
                <w:sz w:val="20"/>
                <w:szCs w:val="20"/>
                <w:color w:val="auto"/>
              </w:rPr>
            </w:pPr>
            <w:r>
              <w:rPr>
                <w:rFonts w:ascii="Arial" w:cs="Arial" w:eastAsia="Arial" w:hAnsi="Arial"/>
                <w:sz w:val="14"/>
                <w:szCs w:val="14"/>
                <w:color w:val="auto"/>
              </w:rPr>
              <w:t>Carrying</w:t>
            </w:r>
          </w:p>
        </w:tc>
        <w:tc>
          <w:tcPr>
            <w:tcW w:w="1100" w:type="dxa"/>
            <w:vAlign w:val="bottom"/>
            <w:gridSpan w:val="2"/>
          </w:tcPr>
          <w:p>
            <w:pPr>
              <w:jc w:val="right"/>
              <w:ind w:right="320"/>
              <w:spacing w:after="0" w:line="137" w:lineRule="exact"/>
              <w:rPr>
                <w:sz w:val="20"/>
                <w:szCs w:val="20"/>
                <w:color w:val="auto"/>
              </w:rPr>
            </w:pPr>
            <w:r>
              <w:rPr>
                <w:rFonts w:ascii="Arial" w:cs="Arial" w:eastAsia="Arial" w:hAnsi="Arial"/>
                <w:sz w:val="14"/>
                <w:szCs w:val="14"/>
                <w:color w:val="auto"/>
              </w:rPr>
              <w:t>Estimated</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Fair Value</w:t>
            </w:r>
          </w:p>
        </w:tc>
        <w:tc>
          <w:tcPr>
            <w:tcW w:w="2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r>
      <w:tr>
        <w:trPr>
          <w:trHeight w:val="156"/>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color w:val="auto"/>
                <w:w w:val="91"/>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1,320,549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1,320,549</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1,249,654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70,895</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323,867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323,867</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46,135</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277,732</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16,250,468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16,244,412</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301,711</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15,821,176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121,525</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22,610,047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22,239,428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22,239,428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33,506,394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33,129,428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642,590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32,486,838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22,590,912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22,638,167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4,912,488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17,725,679</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12,146,063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12,061,590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12,061,590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(988,997)</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89,864,419</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90,068,613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5,555,078</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84,513,535</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(32,813,896)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(32,813,896)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(32,813,896)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(52,346,207)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(52,346,207)</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(52,346,207)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(10,131,846)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(10,222,585)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(10,222,585)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(201,927)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(201,927)</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(201,927)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(163,442)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(163,442)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(163,442)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(9,493,835)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(9,473,844)</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(9,473,844)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(75,172)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(75,172)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(75,172)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(174,376)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(174,376)</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(174,376)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(136,295)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(136,295)</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(136,295)</w:t>
            </w: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 rate risk</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management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3"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9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i w:val="1"/>
          <w:iCs w:val="1"/>
          <w:color w:val="auto"/>
        </w:rPr>
        <w:t>Cash and cash equivalents, interest-bearing deposits at banks, deposits at Cayman Islands office, short-term borrowings, accrued interest receivable and accrued interest payable</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900" w:firstLine="8"/>
        <w:spacing w:after="0" w:line="351" w:lineRule="auto"/>
        <w:tabs>
          <w:tab w:leader="none" w:pos="311"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Fair value measurements, continued </w:t>
      </w:r>
      <w:r>
        <w:rPr>
          <w:rFonts w:ascii="Arial" w:cs="Arial" w:eastAsia="Arial" w:hAnsi="Arial"/>
          <w:sz w:val="21"/>
          <w:szCs w:val="21"/>
          <w:b w:val="1"/>
          <w:bCs w:val="1"/>
          <w:i w:val="1"/>
          <w:iCs w:val="1"/>
          <w:color w:val="auto"/>
        </w:rPr>
        <w:t>Investment securities</w:t>
      </w:r>
    </w:p>
    <w:p>
      <w:pPr>
        <w:spacing w:after="0" w:line="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 and leases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Deposits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76" w:lineRule="exact"/>
        <w:rPr>
          <w:sz w:val="20"/>
          <w:szCs w:val="20"/>
          <w:color w:val="auto"/>
        </w:rPr>
      </w:pPr>
    </w:p>
    <w:p>
      <w:pPr>
        <w:jc w:val="both"/>
        <w:ind w:firstLine="476"/>
        <w:spacing w:after="0" w:line="253" w:lineRule="auto"/>
        <w:rPr>
          <w:sz w:val="20"/>
          <w:szCs w:val="20"/>
          <w:color w:val="auto"/>
        </w:rPr>
      </w:pPr>
      <w:r>
        <w:rPr>
          <w:rFonts w:ascii="Arial" w:cs="Arial" w:eastAsia="Arial" w:hAnsi="Arial"/>
          <w:sz w:val="21"/>
          <w:szCs w:val="21"/>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Long-term borrowings</w:t>
      </w:r>
    </w:p>
    <w:p>
      <w:pPr>
        <w:spacing w:after="0" w:line="110"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commitments and contingencies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24"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Commitments and contingencies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color w:val="auto"/>
              </w:rPr>
              <w:t>March 31,</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67"/>
        </w:trPr>
        <w:tc>
          <w:tcPr>
            <w:tcW w:w="6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2017</w:t>
            </w: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2"/>
          </w:tcPr>
          <w:p>
            <w:pPr>
              <w:jc w:val="right"/>
              <w:ind w:right="77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5,535,221</w:t>
            </w:r>
          </w:p>
        </w:tc>
        <w:tc>
          <w:tcPr>
            <w:tcW w:w="1200" w:type="dxa"/>
            <w:vAlign w:val="bottom"/>
          </w:tcPr>
          <w:p>
            <w:pPr>
              <w:jc w:val="right"/>
              <w:spacing w:after="0"/>
              <w:rPr>
                <w:sz w:val="20"/>
                <w:szCs w:val="20"/>
                <w:color w:val="auto"/>
              </w:rPr>
            </w:pPr>
            <w:r>
              <w:rPr>
                <w:rFonts w:ascii="Arial" w:cs="Arial" w:eastAsia="Arial" w:hAnsi="Arial"/>
                <w:sz w:val="18"/>
                <w:szCs w:val="18"/>
                <w:color w:val="auto"/>
              </w:rPr>
              <w:t>5,499,609</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298,039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70,100</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18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6,166,511</w:t>
            </w:r>
          </w:p>
        </w:tc>
        <w:tc>
          <w:tcPr>
            <w:tcW w:w="1200" w:type="dxa"/>
            <w:vAlign w:val="bottom"/>
          </w:tcPr>
          <w:p>
            <w:pPr>
              <w:jc w:val="right"/>
              <w:spacing w:after="0"/>
              <w:rPr>
                <w:sz w:val="20"/>
                <w:szCs w:val="20"/>
                <w:color w:val="auto"/>
              </w:rPr>
            </w:pPr>
            <w:r>
              <w:rPr>
                <w:rFonts w:ascii="Arial" w:cs="Arial" w:eastAsia="Arial" w:hAnsi="Arial"/>
                <w:sz w:val="18"/>
                <w:szCs w:val="18"/>
                <w:color w:val="auto"/>
              </w:rPr>
              <w:t>6,451,709</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473,837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478,950</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18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240,430</w:t>
            </w:r>
          </w:p>
        </w:tc>
        <w:tc>
          <w:tcPr>
            <w:tcW w:w="1200" w:type="dxa"/>
            <w:vAlign w:val="bottom"/>
          </w:tcPr>
          <w:p>
            <w:pPr>
              <w:jc w:val="right"/>
              <w:spacing w:after="0"/>
              <w:rPr>
                <w:sz w:val="20"/>
                <w:szCs w:val="20"/>
                <w:color w:val="auto"/>
              </w:rPr>
            </w:pPr>
            <w:r>
              <w:rPr>
                <w:rFonts w:ascii="Arial" w:cs="Arial" w:eastAsia="Arial" w:hAnsi="Arial"/>
                <w:sz w:val="18"/>
                <w:szCs w:val="18"/>
                <w:color w:val="auto"/>
              </w:rPr>
              <w:t>232,721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w w:val="99"/>
              </w:rPr>
              <w:t>12,134,803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12,298,473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8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2,937,504</w:t>
            </w:r>
          </w:p>
        </w:tc>
        <w:tc>
          <w:tcPr>
            <w:tcW w:w="1200" w:type="dxa"/>
            <w:vAlign w:val="bottom"/>
          </w:tcPr>
          <w:p>
            <w:pPr>
              <w:jc w:val="right"/>
              <w:spacing w:after="0"/>
              <w:rPr>
                <w:sz w:val="20"/>
                <w:szCs w:val="20"/>
                <w:color w:val="auto"/>
              </w:rPr>
            </w:pPr>
            <w:r>
              <w:rPr>
                <w:rFonts w:ascii="Arial" w:cs="Arial" w:eastAsia="Arial" w:hAnsi="Arial"/>
                <w:sz w:val="18"/>
                <w:szCs w:val="18"/>
                <w:color w:val="auto"/>
              </w:rPr>
              <w:t>2,987,091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46,560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8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3,477,006</w:t>
            </w:r>
          </w:p>
        </w:tc>
        <w:tc>
          <w:tcPr>
            <w:tcW w:w="1200" w:type="dxa"/>
            <w:vAlign w:val="bottom"/>
          </w:tcPr>
          <w:p>
            <w:pPr>
              <w:jc w:val="right"/>
              <w:spacing w:after="0"/>
              <w:rPr>
                <w:sz w:val="20"/>
                <w:szCs w:val="20"/>
                <w:color w:val="auto"/>
              </w:rPr>
            </w:pPr>
            <w:r>
              <w:rPr>
                <w:rFonts w:ascii="Arial" w:cs="Arial" w:eastAsia="Arial" w:hAnsi="Arial"/>
                <w:sz w:val="18"/>
                <w:szCs w:val="18"/>
                <w:color w:val="auto"/>
              </w:rPr>
              <w:t>3,043,580</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1,013,409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1,489,237</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$3.0 billion and $2.8 billion at March 31,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Commitments and contingencies, continued</w:t>
      </w:r>
    </w:p>
    <w:p>
      <w:pPr>
        <w:spacing w:after="0" w:line="2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Company also has commitments under long-term operating leases.</w:t>
      </w:r>
    </w:p>
    <w:p>
      <w:pPr>
        <w:spacing w:after="0" w:line="218"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2017 the Company believes that its obligation to loan purchasers was not material to the Company’s consolidated financial position.</w:t>
      </w:r>
    </w:p>
    <w:p>
      <w:pPr>
        <w:spacing w:after="0" w:line="19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9"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The financial information of the Company's segments was compiled utilizing the accounting policies described in note 22 of Notes to Financial Statements in the 2016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As disclosed in the 2016 Annual Report, during 2016 the Company revised its funds transfer pricing allocation related to borrowings and to the residential real estate loans obtained in the acquisition of Hudson City, retroactive to 2015. Accordingly, financial information for the three-month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Segment information, continued</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ended March 31, 2016 has been reclassified to conform to the current methodology. As a result, total revenues and net income increased in the Discretionary Portfolio segment and decreased in the “All Other” category by $14 million and $8 million, respectively, for the three months ended March 31, 2016 from that which was previously reported.</w:t>
      </w:r>
    </w:p>
    <w:p>
      <w:pPr>
        <w:spacing w:after="0" w:line="182"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As also described in note 22 in the 2016 Annual Report,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color w:val="auto"/>
                <w:w w:val="93"/>
              </w:rPr>
              <w:t>Three Months Ended March 31</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222"/>
              <w:spacing w:after="0" w:line="155"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3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center"/>
              <w:ind w:right="180"/>
              <w:spacing w:after="0" w:line="137" w:lineRule="exact"/>
              <w:rPr>
                <w:sz w:val="20"/>
                <w:szCs w:val="20"/>
                <w:color w:val="auto"/>
              </w:rPr>
            </w:pPr>
            <w:r>
              <w:rPr>
                <w:rFonts w:ascii="Arial" w:cs="Arial" w:eastAsia="Arial" w:hAnsi="Arial"/>
                <w:sz w:val="14"/>
                <w:szCs w:val="14"/>
                <w:color w:val="auto"/>
                <w:w w:val="91"/>
              </w:rPr>
              <w:t>Inter-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5"/>
              <w:spacing w:after="0" w:line="137"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r>
      <w:tr>
        <w:trPr>
          <w:trHeight w:val="149"/>
        </w:trPr>
        <w:tc>
          <w:tcPr>
            <w:tcW w:w="3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segment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Total</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r>
      <w:tr>
        <w:trPr>
          <w:trHeight w:val="167"/>
        </w:trPr>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Revenues(a)</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(Loss)</w:t>
            </w:r>
          </w:p>
        </w:tc>
        <w:tc>
          <w:tcPr>
            <w:tcW w:w="1080" w:type="dxa"/>
            <w:vAlign w:val="bottom"/>
            <w:gridSpan w:val="5"/>
          </w:tcPr>
          <w:p>
            <w:pPr>
              <w:jc w:val="right"/>
              <w:ind w:right="320"/>
              <w:spacing w:after="0"/>
              <w:rPr>
                <w:sz w:val="20"/>
                <w:szCs w:val="20"/>
                <w:color w:val="auto"/>
              </w:rPr>
            </w:pPr>
            <w:r>
              <w:rPr>
                <w:rFonts w:ascii="Arial" w:cs="Arial" w:eastAsia="Arial" w:hAnsi="Arial"/>
                <w:sz w:val="14"/>
                <w:szCs w:val="14"/>
                <w:color w:val="auto"/>
                <w:w w:val="92"/>
              </w:rPr>
              <w:t>Revenues(a)</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(Loss)</w:t>
            </w:r>
          </w:p>
        </w:tc>
      </w:tr>
      <w:tr>
        <w:trPr>
          <w:trHeight w:val="176"/>
        </w:trPr>
        <w:tc>
          <w:tcPr>
            <w:tcW w:w="3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7"/>
          </w:tcPr>
          <w:p>
            <w:pPr>
              <w:ind w:left="32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39"/>
        </w:trPr>
        <w:tc>
          <w:tcPr>
            <w:tcW w:w="3900" w:type="dxa"/>
            <w:vAlign w:val="bottom"/>
          </w:tcPr>
          <w:p>
            <w:pPr>
              <w:spacing w:after="0"/>
              <w:rPr>
                <w:sz w:val="20"/>
                <w:szCs w:val="20"/>
                <w:color w:val="auto"/>
              </w:rPr>
            </w:pPr>
            <w:r>
              <w:rPr>
                <w:rFonts w:ascii="Arial" w:cs="Arial" w:eastAsia="Arial" w:hAnsi="Arial"/>
                <w:sz w:val="18"/>
                <w:szCs w:val="18"/>
                <w:color w:val="auto"/>
              </w:rPr>
              <w:t>Business Banking</w:t>
            </w:r>
          </w:p>
        </w:tc>
        <w:tc>
          <w:tcPr>
            <w:tcW w:w="190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115,981</w:t>
            </w:r>
          </w:p>
        </w:tc>
        <w:tc>
          <w:tcPr>
            <w:tcW w:w="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22,407</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113,689</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24"/>
                <w:szCs w:val="24"/>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273,845</w:t>
            </w:r>
          </w:p>
        </w:tc>
        <w:tc>
          <w:tcPr>
            <w:tcW w:w="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112,750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253,617</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101,327</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195,125</w:t>
            </w:r>
          </w:p>
        </w:tc>
        <w:tc>
          <w:tcPr>
            <w:tcW w:w="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84,547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177,380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80,529</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78,946</w:t>
            </w:r>
          </w:p>
        </w:tc>
        <w:tc>
          <w:tcPr>
            <w:tcW w:w="4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(12,927)</w:t>
            </w: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33,945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101,036</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(14,323)</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48,410</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93,708</w:t>
            </w:r>
          </w:p>
        </w:tc>
        <w:tc>
          <w:tcPr>
            <w:tcW w:w="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18,211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14,844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96,935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19,660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361,237</w:t>
            </w:r>
          </w:p>
        </w:tc>
        <w:tc>
          <w:tcPr>
            <w:tcW w:w="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81,873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339,046</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63,288</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All Other</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242,263</w:t>
            </w:r>
          </w:p>
        </w:tc>
        <w:tc>
          <w:tcPr>
            <w:tcW w:w="4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(10,569)</w:t>
            </w:r>
          </w:p>
        </w:tc>
        <w:tc>
          <w:tcPr>
            <w:tcW w:w="2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211,194</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(10,785)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(37,551)</w:t>
            </w: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$ 1,361,105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348,927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1,292,897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3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center"/>
              <w:ind w:right="740"/>
              <w:spacing w:after="0"/>
              <w:rPr>
                <w:sz w:val="20"/>
                <w:szCs w:val="20"/>
                <w:color w:val="auto"/>
              </w:rPr>
            </w:pPr>
            <w:r>
              <w:rPr>
                <w:rFonts w:ascii="Arial" w:cs="Arial" w:eastAsia="Arial" w:hAnsi="Arial"/>
                <w:sz w:val="14"/>
                <w:szCs w:val="14"/>
                <w:color w:val="auto"/>
                <w:w w:val="89"/>
              </w:rPr>
              <w:t>Average total assets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3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left="25"/>
              <w:spacing w:after="0" w:line="137" w:lineRule="exact"/>
              <w:rPr>
                <w:sz w:val="20"/>
                <w:szCs w:val="20"/>
                <w:color w:val="auto"/>
              </w:rPr>
            </w:pPr>
            <w:r>
              <w:rPr>
                <w:rFonts w:ascii="Arial" w:cs="Arial" w:eastAsia="Arial" w:hAnsi="Arial"/>
                <w:sz w:val="14"/>
                <w:szCs w:val="14"/>
                <w:color w:val="auto"/>
                <w:w w:val="91"/>
              </w:rPr>
              <w:t>Year Ended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8"/>
          </w:tcPr>
          <w:p>
            <w:pPr>
              <w:ind w:left="20"/>
              <w:spacing w:after="0"/>
              <w:rPr>
                <w:sz w:val="20"/>
                <w:szCs w:val="20"/>
                <w:color w:val="auto"/>
              </w:rPr>
            </w:pPr>
            <w:r>
              <w:rPr>
                <w:rFonts w:ascii="Arial" w:cs="Arial" w:eastAsia="Arial" w:hAnsi="Arial"/>
                <w:sz w:val="14"/>
                <w:szCs w:val="14"/>
                <w:color w:val="auto"/>
                <w:w w:val="95"/>
              </w:rPr>
              <w:t>Three Months Ended 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4"/>
                <w:szCs w:val="14"/>
                <w:color w:val="auto"/>
                <w:w w:val="89"/>
              </w:rPr>
              <w:t>2016</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center"/>
              <w:ind w:left="2"/>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9"/>
        </w:trPr>
        <w:tc>
          <w:tcPr>
            <w:tcW w:w="3900" w:type="dxa"/>
            <w:vAlign w:val="bottom"/>
          </w:tcPr>
          <w:p>
            <w:pPr>
              <w:spacing w:after="0"/>
              <w:rPr>
                <w:sz w:val="20"/>
                <w:szCs w:val="20"/>
                <w:color w:val="auto"/>
              </w:rPr>
            </w:pPr>
            <w:r>
              <w:rPr>
                <w:rFonts w:ascii="Arial" w:cs="Arial" w:eastAsia="Arial" w:hAnsi="Arial"/>
                <w:sz w:val="18"/>
                <w:szCs w:val="18"/>
                <w:color w:val="auto"/>
              </w:rPr>
              <w:t>Business Banking</w:t>
            </w:r>
          </w:p>
        </w:tc>
        <w:tc>
          <w:tcPr>
            <w:tcW w:w="190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5,596</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5,424</w:t>
            </w:r>
          </w:p>
        </w:tc>
        <w:tc>
          <w:tcPr>
            <w:tcW w:w="2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5,456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26,723</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24,838</w:t>
            </w:r>
          </w:p>
        </w:tc>
        <w:tc>
          <w:tcPr>
            <w:tcW w:w="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25,592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22,977</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19,839</w:t>
            </w:r>
          </w:p>
        </w:tc>
        <w:tc>
          <w:tcPr>
            <w:tcW w:w="20" w:type="dxa"/>
            <w:vAlign w:val="bottom"/>
          </w:tcPr>
          <w:p>
            <w:pPr>
              <w:spacing w:after="0"/>
              <w:rPr>
                <w:sz w:val="19"/>
                <w:szCs w:val="19"/>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21,131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38,731</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42,509</w:t>
            </w:r>
          </w:p>
        </w:tc>
        <w:tc>
          <w:tcPr>
            <w:tcW w:w="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40,867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2,426</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9"/>
                <w:szCs w:val="19"/>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2,569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12,204</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11,568</w:t>
            </w:r>
          </w:p>
        </w:tc>
        <w:tc>
          <w:tcPr>
            <w:tcW w:w="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All Other</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14,321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16,427</w:t>
            </w:r>
          </w:p>
        </w:tc>
        <w:tc>
          <w:tcPr>
            <w:tcW w:w="20" w:type="dxa"/>
            <w:vAlign w:val="bottom"/>
          </w:tcPr>
          <w:p>
            <w:pPr>
              <w:spacing w:after="0"/>
              <w:rPr>
                <w:sz w:val="19"/>
                <w:szCs w:val="19"/>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16,885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122,978</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123,252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124,340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73" w:lineRule="auto"/>
        <w:tabs>
          <w:tab w:leader="none" w:pos="5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$7,999,000 and $6,332,000 for the three-month periods ended March 31, 2017 and 2016,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86" w:lineRule="exact"/>
        <w:rPr>
          <w:rFonts w:ascii="Arial" w:cs="Arial" w:eastAsia="Arial" w:hAnsi="Arial"/>
          <w:sz w:val="17"/>
          <w:szCs w:val="17"/>
          <w:i w:val="1"/>
          <w:iCs w:val="1"/>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Relationship with Bayview Lending Group LLC and Bayview Financial Holdings, L.P.</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M&amp;T holds a 20% minority interest in Bayview Lending Group LLC ("BLG"), a privately-held commercial mortgage company. M&amp;T recognizes income or loss from BLG using the equity method of accounting. The carrying value of that investment was $364 thousand at March 31, 2017.</w:t>
      </w:r>
    </w:p>
    <w:p>
      <w:pPr>
        <w:spacing w:after="0" w:line="18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$3.4 billion and $3.5 billion at March 31, 2017 and December 31, 2016, respectively. Revenues from those servicing rights were $4 million and $5 million for the quarters ended March 31, 2017 and 2016, respectively. The Company sub-services residential mortgage loans for Bayview Financial having outstanding principal balances of $40.8 billion and $30.4 billion at March 31, 2017 and December 31, 2016, respectively. Revenues earned for sub-servicing loans for Bayview Financial were $23 million for each of the three-month periods ended March 31, 2017 and 2016. In addition, the Company held $153 million and $158 million of mortgage-backed securities in its held-to-maturity portfolio at March 31, 2017 and December 31, 2016, respectively, that were securitized by Bayview Financial. In April 2017, the Company provided a loan to Bayview Financial for $100 million at terms consistent with those offered to non-affiliated customers.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w:t>
      </w:r>
    </w:p>
    <w:p>
      <w:pPr>
        <w:spacing w:after="0" w:line="25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Effective January 1, 2017, the Company adopted amended accounting guidance for share-based transactions. The most significant aspect of the amended guidance that affects the Company requires that all excess tax benefits and tax deficiencies be recognized in income tax expense in the income statement and that such amounts be recognized in the period in which the tax deduction arises or in the period in which an expiration of an award occurs. The adoption of this guidance resulted in an $18 million reduction of income tax expense for the quarter ended March 31, 2017 that under previous accounting guidance would have been recognized directly in shareholders’ equity.</w:t>
      </w:r>
    </w:p>
    <w:p>
      <w:pPr>
        <w:spacing w:after="0" w:line="17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Effective January 2017, the Company also adopted amended accounting guidance for the transition to the equity method of accounting. The amended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has been in effect during all previous periods that the investment had been held. Instead, the amended guidance requires the investor to adopt the equity method of accounting as of the date the investment first qualifies for such accounting. The adoption of this guidance did not have a material effect on the Company’s consolidated financial position or results of operations.</w:t>
      </w:r>
    </w:p>
    <w:p>
      <w:pPr>
        <w:spacing w:after="0" w:line="207"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In January 2017, the Company adopted two amendments to the accounting guidance for derivatives and hedging. The first amendment clarifies that a change in the counterparty to a derivative instrument that has been designated as the hedging instrument does not, in and of itself, require dedesignation of that hedging relationship provided that all other hedge accounting criteria continue to be met. The second amendment clarifies the requirements for assessing whether contingent call (put) options that can accelerate the payment of principal on debt instruments are clearly and closely related to their debt hosts. An entity performing the assessment is required to assess the embedded call (put) options solely in accordance with a four-step decision sequence and no longer has to assess whether the event that triggers the ability to exercise the option is related to interest rates or credit risks. The adoption of this guidance did not have a material effect on the Company’s consolidated financial position or results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In March 2017, the Financial Accounting Standards Board (“FASB”) issued amended guidance requiring the premium on callable debt securities held at a premium to be amortized to the earliest call date. The amendments do not require an accounting change for securities held at a discount; the discount continues to be amortized to maturity.</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The guidance is effective for annual periods and interim periods within those annual periods beginning after December 15, 2018, with early adoption permitted. If adopted in an interim period, any adjustments should be reflected as of the beginning of the fiscal year that includes that interim period. The amendments should be applied on a modified retrospective basis through a cumulative-effect adjustment directly to retained earnings as of the beginning of the period of adoption. The Company does not expect the guidance to have a material impact on its consolidated financial statements.</w:t>
      </w:r>
    </w:p>
    <w:p>
      <w:pPr>
        <w:spacing w:after="0" w:line="22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In March 2017, the FASB issued amended guidance requiring the service cost component of the net periodic pension cost and net periodic postretirement benefit cost to be reported in the same line item or items in the income statement as other compensation costs arising from services rendered by the pertinent employees during the period (except for the amount being capitalized, if appropriate). The amendments also require disclosure of the line item(s) used in the income statement to present the components other than the service cost component if the other components are not presented in a separate line item or items in the income statement. The guidance is effective for annual periods and interim periods within those annual periods beginning after December 15, 2017, using a retrospective transition method for the presentation of the service cost and other components of net periodic pension cost and net periodic postretirement benefit cost in the income statement. The capitalization of the service cost component of net periodic pension cost and net periodic postretirement benefit cost would be applied using a prospective transition method. The amendments allow for a practical expedient that permits the use of the amounts disclosed in the Company’s pension and other postretirement benefit plan note for the prior comparative periods as the estimation basis for applying the retrospective presentation requirements. The Company is evaluating the impact the guidance may have on its consolidated financial statements.</w:t>
      </w:r>
    </w:p>
    <w:p>
      <w:pPr>
        <w:spacing w:after="0" w:line="200"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In January 2017, the FASB issued amended guidance eliminating Step 2 from the goodwill impairment test. Under the amendments to the guidance, an entity should perform its goodwill impairment test by comparing the fair value of a reporting unit with its carrying amount. An entity should recognize an impairment charge for the amount by which the carrying amount exceeds the reporting unit’s fair value. The loss recognized, however, should not exceed the total amount of goodwill allocated to that reporting unit. Additionally, an entity should consider income tax effects from any tax deductible goodwill on the carrying amount of the reporting unit when measuring the goodwill impairment loss, if applicable. The guidance is effective for annual periods or any interim goodwill impairment tests beginning after December 15, 2019 using a prospective transition method. Early adoption is permitted. The Company does not expect the guidance will have a material impact on its consolidated financial statements, unless at some point in the future one of its reporting units were to fail step 1 of the goodwill impairment test.</w:t>
      </w:r>
    </w:p>
    <w:p>
      <w:pPr>
        <w:spacing w:after="0" w:line="206"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In January 2017, the FASB issued amended guidance clarifying the definition of a business for purposes of evaluating whether transactions would be accounted for as acquisitions (or disposals) of assets or businesses. The amendments provide a screen to determine when a set of assets and activities (collectively referred to as a “set”) is not a business. The screen requires that when substantially all of the fair value of the gross assets acquired (or disposed of) is concentrated in a single identifiable asset or group of similar assets, the set is not a business. If the screen is not met, the amendments (1) require that to be considered a business, a set must include, at a minimum, an input and a substantive process that together significantly contribute to the ability to create output, and (2) remove the evaluation of whether a market participant could replace missing elements. The guidance is effective for annual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periods and interim periods within those annual periods beginning after December 15, 2017 using a prospective transition method. The Company does not expect the guidance to have a material impact on its consolidated financial statements.</w:t>
      </w:r>
    </w:p>
    <w:p>
      <w:pPr>
        <w:spacing w:after="0" w:line="198"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In November 2016, the FASB issued amended guidance for the presentation of restricted cash in the statement of cash flows. The guidance requires that restricted cash and restricted cash equivalents be included with cash and cash equivalents when reconciling the beginning-of-period and end-of-period total amounts shown on the statement of cash flows. In addition, when cash, cash equivalents, and restricted cash or restricted cash equivalents are presented in more than one line item within the statement of financial position, the line items and amounts must be presented on the face of the statement of cash flows or disclosed in the notes to the financial statements. Information about the nature of restrictions on an entity’s cash and cash equivalents must also be disclosed. The guidance is effective for annual periods and interim periods within those annual periods beginning after December 15, 2017, using a retrospective transition method. The Company is evaluating the impact the guidance may have on the presentation of its consolidated statement of cash flows.</w:t>
      </w:r>
    </w:p>
    <w:p>
      <w:pPr>
        <w:spacing w:after="0" w:line="206"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In August 2016, the FASB issued amended guidance for how certain cash receipts and cash payments are presented and classified in the statement of cash flows. The guidance addresses the following eight specific cash flow issues: 1) cash payments for debt extinguishment costs should be classified as cash outflows for financing activities; 2) for zero-coupon debt instruments, the portion of the cash payment attributable to the accreted interest should be classified as a cash outflow for operating activities; 3) contingent consideration payments made after a business combination should be classified based on the timing of the payment; 4) cash proceeds received from the settlement of insurance claims should be classified on the basis of the related insurance coverage; 5) cash proceeds received from the settlement of corporate-owned and bank-owned life insurance policies should be classified as cash inflows from investing activities; 6) when the equity method is applied, an accounting policy election should be made to classify distributions received using either the cumulative earnings approach or the nature of the distribution approach; 7) cash receipts from payments on a transferor’s beneficial interests obtained in a securitization of financial assets should be classified as cash inflows from investing activities; and 8) the classification of cash receipts and payments that have aspects of more than one class of cash flows should be determined by applying specific guidance in GAAP. The guidance is effective for annual periods and interim periods within those annual periods beginning after December 15, 2017. The Company is evaluating the impact the guidance may have on the presentation within its consolidated statement of cash flows.</w:t>
      </w:r>
    </w:p>
    <w:p>
      <w:pPr>
        <w:spacing w:after="0" w:line="21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June 2016, the FASB issued amended guidance for the measurement of credit losses on certain financial assets. The amended guidance requires financial assets measured at amortized cost to be presented at the net amount expected to be collected. The allowance for credit losses will represent a valuation account that is deducted from the amortized cost basis of the financial assets to present their net carrying value at the amount expected to be collected. The income statement will reflect the measurement of credit losses for newly recognized financial assets as well as expected increases or decreases of expected credit losses that have taken place during the period. When determining the allowance, expected credit losses over the contractual term of the financial asset(s) (taking into account prepayments) will be estimated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through the income statement as an expense adjustment. In addition, the amended guidance requires credit losses relating to available-for-sale debt securities to be recorded through an allowance for credit losses. The calculation of credit losses for available-for-sale securities will be similar to how it is determined under existing guidance. The guidance is effective for annual periods and interim periods within those annual periods beginning after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December 15, 2019. The Company is assessing the new guidance to determine what modifications to existing credit estimation processes may be required. The Company expects that the new guidance will result in an increase in its allowance for credit losses as a result of considering credit losses over the expected life of its loan portfolios. Increases in the level of the allowance for credit losses will also reflect new requirements to include the nonaccretable principal difference on purchased credit impaired loans and estimated credit losses on investment securities classified as held-to-maturity, if any. The Company is still evaluating the extent of the increase to the allowance for credit losses and the impact to its financial statements.</w:t>
      </w:r>
    </w:p>
    <w:p>
      <w:pPr>
        <w:spacing w:after="0" w:line="20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February 2016, the FASB issued guidance related to the accounting for leases. The core principle of the guidance is that all leases create an asset and a liability for the lessee and, therefore, lease assets and lease liabilities should be recognized in the balance sheet. Lease assets will be recognized as a right-of-use asset and lease liabilities will be recognized as a liability to make lease payments. While the guidance requires all leases to be recognized in the balance sheet, there continues to be a differentiation between finance leases and operating leases for purposes of income statement recognition and cash flow statement presentation. For finance leases, interest on the lease liability and amortization of the right-of-use asset will be recognized separately in the statement of income. Repayments of principal on those lease liabilities will be classified within financing activities and payments of interest on the lease liability will be classified within operating activities in the statement of cash flows. For operating leases, a single lease cost is recognized in the statement of income and allocated over the lease term, generally on a straight-line basis. All cash payments are presented within operating activities in the statement of cash flows. The accounting applied by lessors is largely unchanged from existing GAAP, however, the guidance eliminates the accounting model for leveraged leases for leases that commence after the effective date of the guidance. The guidance is effective for annual periods beginning after December 15, 2018, including interim periods within those fiscal years. The Company occupies certain banking offices and uses certain equipment under noncancelable operating lease agreements, which currently are not reflected in its consolidated balance sheet. Upon adoption of the guidance, the Company expects to report increased assets and increased liabilities as a result of recognizing right-of-use assets and lease liabilities on its consolidated balance sheet. The Company was committed to $467 million of minimum lease payments under noncancelable operating lease agreements at December 31, 2016. The Company does not expect the new guidance will have a material impact to its consolidated statement of income.</w:t>
      </w:r>
    </w:p>
    <w:p>
      <w:pPr>
        <w:spacing w:after="0" w:line="194"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January 2016, the FASB issued amended guidance related to recognition and measurement of financial assets and liabilities. The amended guidance requires that equity investments (excluding those accounted for under the equity method of accounting or those that result in consolidation of the investee) be measured at fair value with changes in fair value recognized in net income. An entity can elect to measure equity investments that do not have readily determinable fair values at cost less impairment, plus or minus changes resulting from observable price changes in orderly transactions for the identical or similar investment of the same issuer. The impairment assessment of equity investments without readily determinable fair values is simplified by requiring a qualitative assessment to identify impairment. When a qualitative assessment indicates impairment exists, an entity is required to measure the investment at fair value. The guidance eliminates the requirement for public business entities to disclose the method and significant assumptions used to estimate the fair value that is required to be disclosed for financial instruments measured at amortized cost on the balance sheet. Further, the guidance requires public entities to use the exit price when measuring the fair value of financial instruments for disclosure purposes. The guidance also requires an entity to present separately in other comprehensive income, a change in the instrument-specific credit risk when the entity has elected to measure a liability at fair value in accordance with the fair value option. Separate presentation of financial assets and liabilities by measurement category and type of instrument on the balance sheet or accompanying notes to the financial statements is required. The guidance also clarifies that an entity should evaluate the need for a valuation allowance on a deferred tax asset related to available-for-sale securities in combination with the entity’s other deferred tax assets. This guidance is effective for annual periods and interim periods within those annual periods beginning after December 15, 2017. The Company is still evaluating the impact the guidance could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have on its consolidated financial statements. The Company does hold certain equity securities in its available-for-sale portfolio. Upon adoption of this guidance, fair value changes in such equity securities will be recognized in the consolidated statement of income as opposed to accumulated other comprehensive income where they are recognized under current accounting guidance.</w:t>
      </w:r>
    </w:p>
    <w:p>
      <w:pPr>
        <w:spacing w:after="0" w:line="19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The amended guidance is effective for annual reporting periods beginning after December 15, 2017,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“modified retrospective approach”). At present, the Company expects to adopt the revenue recognition guidance in the first quarter of 2018 using the modified retrospective approach. A significant amount of the Company’s revenues are derived from net interest income on financial assets and liabilities, which are excluded from the scope of the amended guidance. With respect to noninterest income, the Company has identified revenue streams within the scope of the guidance, and is performing an evaluation of the underlying revenue contracts. To date, the Company has not yet identified any material changes in the timing of revenue recognition when considering the amended accounting guidance, however, the Company’s implementation efforts are ongoing and such assessments may change prior to the January 1, 2018 implementation date.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M&amp;T Bank Corporation (“M&amp;T”) recorded net income in the first quarter of 2017 of $349 million or $2.12 of diluted earnings per common share, compared with $299 million or $1.73 of diluted earnings per common share in the initial quarter of 2016. During the final 2016 quarter, net income and diluted earnings per common share were $331 million and $1.98, respectively. Basic earnings per common share were $2.13 in the recent quarter, compared with $1.74 and $1.98 in the first and fourth quarters of 2016, respectively. The annualized rate of return on average total assets for M&amp;T and its consolidated subsidiaries (“the Company”) in the initial 2017 quarter was 1.15%, compared with .97% in the corresponding quarter of 2016 and 1.05% in the final 2016 quarter. The annualized rate of return on average common shareholders’ equity was 8.89% in the recent quarter, compared with 7.44% in the year-earlier quarter and 8.13% in the fourth quarter of 2016.</w:t>
      </w:r>
    </w:p>
    <w:p>
      <w:pPr>
        <w:spacing w:after="0" w:line="7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During the first quarter of 2017, M&amp;T adopted new accounting guidance for share-based transactions. That guidance requires that all excess tax benefits and tax deficiencies associated with share-based compensation be recognized in income tax expense in the income statement. Previously, tax effects resulting from changes in M&amp;T’s share price subsequent to the grant date were recorded through shareholders’ equity at the time of vesting or exercise. The adoption of the amended accounting guidance resulted in an $18 million reduction of income tax expense in the initial 2017 quarter, or $.12 of diluted earnings per common share.</w:t>
      </w:r>
    </w:p>
    <w:p>
      <w:pPr>
        <w:spacing w:after="0" w:line="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The Company’s results of operations during the initial 2016 quarter included $23 million ($14 million after-tax effect), or $.09 per diluted common share of merger-related expenses (as described below) associated with M&amp;T’s acquisition of Hudson City Bancorp, Inc. (“Hudson City”) on November 1, 2015, while during the fourth quarter of 2016, the Company made a $30 million tax-deductible cash contribution ($.12 per diluted common share) to The M&amp;T Charitable Foundation. As described herein under the heading “Other Expense” reflected in the first quarter of each year were seasonally higher stock-based compensation and employee benefits expenses.</w:t>
      </w:r>
    </w:p>
    <w:p>
      <w:pPr>
        <w:spacing w:after="0" w:line="5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In accordance with M&amp;T’s revised 2016 Capital Plan, during the first quarter of 2017, M&amp;T repurchased 3,233,196 shares of its common stock at a total cost of $532 million and increased the quarterly common stock dividend from $.70 to $.75 per share. Repurchases of common stock in the final 2016 quarter totaled 300,000 shares at a cost of $37 million, while in the initial 2016 quarter, M&amp;T repurchased 948,545 shares for $100 million in accordance with its 2015 Capital Plan.</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transactions and commencing operations in new markets and offices. As noted earlier, those expenses (herein referred to as merger-related expenses) totaled $14 million after-tax effect in the first quarter of 2016. There were no merger-related expenses during the first quarter of 2017 or the fourth quarter of 2016. Although “net operating income” as defined by M&amp;T is not a GAAP measure, M&amp;T’s management believes that this information helps investors understand the effect of acquisition activity in reported results.</w:t>
      </w:r>
    </w:p>
    <w:p>
      <w:pPr>
        <w:spacing w:after="0" w:line="20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Net operating income totaled $354 million in the recent quarter, compared with $320 million in the first quarter of 2016. Diluted net operating earnings per common share for the first quarter of 2017 were $2.15, compared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21"/>
          <w:szCs w:val="21"/>
          <w:color w:val="auto"/>
        </w:rPr>
        <w:t>$1.87 in the year-earlier quarter. Net operating income and diluted net operating earnings per common share were $336 million and $2.01, respectively, in the fourth quarter of 2016.</w:t>
      </w:r>
    </w:p>
    <w:p>
      <w:pPr>
        <w:spacing w:after="0" w:line="198"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Net operating income in the initial 2017 quarter expressed as an annualized rate of return on average tangible assets was 1.21%, compared with 1.09% and 1.10% in the first and fourth quarters of 2016, respectively. Net operating income represented an annualized return on average tangible common equity of 13.05% in the recent quarter, compared with 11.62% in the similar 2016 quarter and 11.93% in the final quarter of 2016.</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Taxable-equivalent net interest income was $922 million in the initial quarter of 2017, up 5% from $878 million in the year-earlier quarter. That growth resulted predominantly from a widening of the net interest margin, or taxable-equivalent net interest income expressed as an annualized percentage of average earning assets, to 3.34% in the recent quarter from 3.18% in the corresponding 2016 period. The improvement in taxable-equivalent net interest income was largely the result of the higher interest rate environment due to actions initiated by the Federal Reserve in mid-December 2016 and mid-March 2017 to raise its target Federal funds rate by .25% at each of those dates and higher average loan balances of $2.2 billion. Taxable-equivalent net interest income in the recent quarter increased 4% from $883 million in the final quarter of 2016, predominantly due to a 26 basis point (hundredths of one percent) widening of the net interest margin from 3.08% in the fourth quarter of 2016. That widening also reflected the impact of the increases in interest rates initiated by the Federal Reserve as noted above.</w:t>
      </w:r>
    </w:p>
    <w:p>
      <w:pPr>
        <w:spacing w:after="0" w:line="179"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Average loans and leases aggregated $89.8 billion in the recent quarter, 3% higher than $87.6 billion in the initial quarter of 2016. Commercial loans and leases averaged $22.3 billion in the first quarter of 2017, up $1.6 billion or 8% from $20.7 billion in the first quarter of 2016. Average commercial real estate loans were $33.2 billion in the recent quarter, an increase of $3.7 billion, or 13%, from $29.4 billion in the year-earlier quarter. Reflecting ongoing repayments of loans obtained in the acquisition of Hudson City, average residential real estate loans declined $3.7 billion or 14% to $22.2 billion in the first quarter of 2017 from $25.9 billion in the year-earlier quarter. Included in that portfolio were loans held for sale, which averaged $366 million in the recent quarter and $323 million in the similar 2016 quarter. Consumer loans averaged $12.2 billion in the recently completed quarter, an increase of $571 million or 5% from $11.6 billion in the first quarter of 2016, predominantly due to growth in average automobile and recreational vehicle loans, partially offset by lower outstanding balances of home equity lines of credit.</w:t>
      </w:r>
    </w:p>
    <w:p>
      <w:pPr>
        <w:spacing w:after="0" w:line="179" w:lineRule="exact"/>
        <w:rPr>
          <w:sz w:val="20"/>
          <w:szCs w:val="20"/>
          <w:color w:val="auto"/>
        </w:rPr>
      </w:pPr>
    </w:p>
    <w:p>
      <w:pPr>
        <w:jc w:val="both"/>
        <w:ind w:firstLine="518"/>
        <w:spacing w:after="0" w:line="244" w:lineRule="auto"/>
        <w:rPr>
          <w:sz w:val="20"/>
          <w:szCs w:val="20"/>
          <w:color w:val="auto"/>
        </w:rPr>
      </w:pPr>
      <w:r>
        <w:rPr>
          <w:rFonts w:ascii="Arial" w:cs="Arial" w:eastAsia="Arial" w:hAnsi="Arial"/>
          <w:sz w:val="21"/>
          <w:szCs w:val="21"/>
          <w:color w:val="auto"/>
        </w:rPr>
        <w:t>Average loan and lease balances in the initial quarter of 2017 decreased $180 million from $90.0 billion in the fourth quarter of 2016. Average commercial loan and lease balances rose $354 million, or 2%, in the recent quarter from $21.9 billion in the fourth quarter of 2016. Commercial real estate loan average balances in the initial 2017 quarter increased $353 million, or 1%, from $32.8 billion in the final three months of 2016. Reflected in average commercial real estate loan balances were loans held for sale, which averaged $169 million and $524 million in the first quarter of 2017 and the fourth quarter of 2016, respectively. Average residential real estate loans in the first three months of 2017 declined $917 million, or 4%, from $23.1 billion in the final 2016 quarter, reflecting the continued pay down of loans obtained in the acquisition of Hudson City. Average consumer loans increased $30 million in the recent quarter from $12.1 billion in 2016’s final quarter. The accompanying table summarizes quarterly changes in the major components of the loan and lease portfolio.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8" w:name="page49"/>
    <w:bookmarkEnd w:id="48"/>
    <w:p>
      <w:pPr>
        <w:spacing w:after="0"/>
        <w:rPr>
          <w:sz w:val="20"/>
          <w:szCs w:val="20"/>
          <w:color w:val="auto"/>
        </w:rPr>
      </w:pPr>
      <w:r>
        <w:rPr>
          <w:rFonts w:ascii="Arial" w:cs="Arial" w:eastAsia="Arial" w:hAnsi="Arial"/>
          <w:sz w:val="21"/>
          <w:szCs w:val="21"/>
          <w:color w:val="auto"/>
        </w:rPr>
        <w:t>AVERAGE LOANS AND LEASES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color w:val="auto"/>
                <w:w w:val="88"/>
              </w:rPr>
              <w:t>Percent Increase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color w:val="auto"/>
                <w:w w:val="92"/>
              </w:rPr>
              <w:t>(Decrease) from</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1st Qtr.</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1st Qtr.</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4th Qtr.</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2017</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33,175</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22,179</w:t>
            </w:r>
          </w:p>
        </w:tc>
        <w:tc>
          <w:tcPr>
            <w:tcW w:w="2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5,577</w:t>
            </w:r>
          </w:p>
        </w:tc>
        <w:tc>
          <w:tcPr>
            <w:tcW w:w="2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consumer</w:t>
            </w:r>
          </w:p>
        </w:tc>
        <w:tc>
          <w:tcPr>
            <w:tcW w:w="19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89,797</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investment securities portfolio averaged $16.0 billion in 2017’s first quarter, $651 million or 4% above $15.3 billion in the year-earlier quarter. Investment securities averaged $15.4 billion in the final quarter of 2016. During the first quarter of 2017, the Company purchased $536 million of Fannie Mae, Freddie Mac and Ginnie Mae mortgage-backed securities. Similar purchases of Fannie Mae and Ginnie Mae mortgage-backed securities in the initial quarter of 2016 totaled $305 million. During the fourth quarter of 2016, the Company purchased $1.2 billion of U.S. Treasury notes and $1.2 billion of Fannie Mae and Ginnie Mae mortgage-backed securities. 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requirements of the Liquidity Coverage Ratio (“LCR”) that became effective in January 2016. The LCR is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2016 under the heading “Liquidity.”</w:t>
      </w:r>
    </w:p>
    <w:p>
      <w:pPr>
        <w:spacing w:after="0" w:line="19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demand for loans, which generally yield more than investment securities, ongoing repayments, the levels of deposits, and management of liquidity (including the LCR) and balance sheet size and resulting capital ratios.</w:t>
      </w:r>
    </w:p>
    <w:p>
      <w:pPr>
        <w:spacing w:after="0" w:line="162"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 regularly reviews its investment securities for declines in value below amortized cost that might be characterized as “other than temporary.” There were no other-than-temporary impairment charges recognized in either of the first quarters of 2017 and 2016 or in the final 2016 quarter. Additional information about the investment securities portfolio is included in notes 3 and 12 of Notes to Financial Statements.</w:t>
      </w:r>
    </w:p>
    <w:p>
      <w:pPr>
        <w:spacing w:after="0" w:line="213"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Other earning assets include interest-bearing deposits at the Federal Reserve Bank of New York and other banks, trading account assets and federal funds sold. Those other earning assets in the aggregate averaged $6.2 billion in the recently completed quarter, compared with $8.3 billion and $8.9 billion in the first and final quarters of 2016, respectively. Interest-bearing deposits at banks averaged $6.2 billion, $8.2 billion and $8.8 billion during the three-month periods ended March 31, 2017, March 31, 2016 and December 31, 2016, respectively. The amounts of investment securities and other earning assets held by the Company are influenced by such factors as demand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21"/>
          <w:szCs w:val="21"/>
          <w:color w:val="auto"/>
        </w:rPr>
        <w:t>loans, which generally yield more than investment securities and other earning assets, ongoing repayments, the levels of deposits, and management of liquidity (including the LCR) and balance sheet size and resulting capital ratios.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As a result of the changes described herein, average earning assets were $112.0 billion in the first quarter of 2017, compared with $111.2 billion in the year-earlier quarter and $114.3 billion in the fourth quarter of 2016.</w:t>
      </w:r>
    </w:p>
    <w:p>
      <w:pPr>
        <w:spacing w:after="0" w:line="17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$94.0 billion in the most recent quarter, compared with $89.7 billion in the year-earlier quarter, and $94.4 billion in the final quarter of 2016. As compared with the fourth quarter of 2016, higher average balances of noninterest-bearing deposits in 2017’s first quarter, largely due to increased trust customer deposits, were offset by declines in average time deposits, predominantly related to maturities of relatively high-rate deposits obtained in the acquisition of Hudson City. The increase in average core deposits in the first quarter of 2017 from the year-earlier quarter reflected higher noninterest-bearing deposits, largely associated with trust customers. The following table provides an analysis of quarterly changes in the components of average core deposits.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tcPr>
          <w:p>
            <w:pPr>
              <w:jc w:val="center"/>
              <w:ind w:right="250"/>
              <w:spacing w:after="0"/>
              <w:rPr>
                <w:sz w:val="20"/>
                <w:szCs w:val="20"/>
                <w:color w:val="auto"/>
              </w:rPr>
            </w:pPr>
            <w:r>
              <w:rPr>
                <w:rFonts w:ascii="Arial" w:cs="Arial" w:eastAsia="Arial" w:hAnsi="Arial"/>
                <w:sz w:val="14"/>
                <w:szCs w:val="14"/>
                <w:color w:val="auto"/>
                <w:w w:val="90"/>
              </w:rPr>
              <w:t>Percent Increase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tcPr>
          <w:p>
            <w:pPr>
              <w:jc w:val="center"/>
              <w:ind w:right="270"/>
              <w:spacing w:after="0"/>
              <w:rPr>
                <w:sz w:val="20"/>
                <w:szCs w:val="20"/>
                <w:color w:val="auto"/>
              </w:rPr>
            </w:pPr>
            <w:r>
              <w:rPr>
                <w:rFonts w:ascii="Arial" w:cs="Arial" w:eastAsia="Arial" w:hAnsi="Arial"/>
                <w:sz w:val="14"/>
                <w:szCs w:val="14"/>
                <w:color w:val="auto"/>
                <w:w w:val="92"/>
              </w:rPr>
              <w:t>(Decrease)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color w:val="auto"/>
                <w:w w:val="95"/>
              </w:rPr>
              <w:t>1st Qtr.</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1st Qtr.</w:t>
            </w:r>
          </w:p>
        </w:tc>
        <w:tc>
          <w:tcPr>
            <w:tcW w:w="220" w:type="dxa"/>
            <w:vAlign w:val="bottom"/>
          </w:tcPr>
          <w:p>
            <w:pPr>
              <w:spacing w:after="0"/>
              <w:rPr>
                <w:sz w:val="14"/>
                <w:szCs w:val="14"/>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4"/>
                <w:szCs w:val="14"/>
                <w:color w:val="auto"/>
              </w:rPr>
              <w:t>4th Qtr.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89"/>
              </w:rPr>
              <w:t>2017</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8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52,124</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9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8,567</w:t>
            </w:r>
          </w:p>
        </w:tc>
        <w:tc>
          <w:tcPr>
            <w:tcW w:w="3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33,287</w:t>
            </w:r>
          </w:p>
        </w:tc>
        <w:tc>
          <w:tcPr>
            <w:tcW w:w="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93,978</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$935 million in the first quarter of 2017, compared with $1.2 billion in each of the first and fourth quarters of 2016. Cayman Islands office deposits averaged $192 million, $187 million and $206 million for the three-month periods ended March 31, 2017, March 31, 2016 and December 31, 2016, respectively. Brokered time deposits averaged $59 million in each of the quarters ended March 31, 2017, March 31, 2016 and December 31, 2016. The Company also had brokered savings and interest-bearing transaction accounts, which in the aggregate averaged $1.1 billion during each of the quarters ended March 31, 2017 and December 31, 2016, compared with $1.2 billion during the first quarter of 2016. The levels of brokered deposit accounts reflect the demand for such deposits, largely resulting from the desire of brokerage firms to earn reasonable yields while ensuring that customer deposits are fully insured. The level of Cayman Islands office deposits is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73"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less than one year. Average short-term borrowings totaled $184 million in the first quarter of 2017, compared with $2.1 billion in the year-earlier quarter and $200 million in the final quarter of 2016. The decrease in such borrowings since the first quarter of 2016 was predominantly due to the maturities of short-term borrowings from the Federal Home Loan Bank of New York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1"/>
          <w:szCs w:val="21"/>
          <w:color w:val="auto"/>
        </w:rPr>
        <w:t>assumed in the Hudson City acquisition. Included in short-term borrowings were unsecured federal funds borrowings, which generally mature on the next business day, that averaged $129 million and $137 million in the first quarters of 2017 and 2016, respectively, and $144 million in the final quarter of 2016.</w:t>
      </w:r>
    </w:p>
    <w:p>
      <w:pPr>
        <w:spacing w:after="0" w:line="18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Long-term borrowings averaged $8.4 billion in the initial 2017 quarter, compared with $10.5 billion in the year-earlier quarter and $9.9 billion in the fourth quarter of 2016. M&amp;T Bank, M&amp;T’s principal bank subsidiary, has a Bank Note Program whereby M&amp;T Bank may offer unsecured senior and subordinated notes, however, only unsecured senior notes have been issued under that program. Average balances of notes outstanding under that program were $4.5 billion, $5.4 billion, and $5.2 billion during the three-month periods ended March 31, 2017, March 31, 2016 and December 31, 2016, respectively. The proceeds of the issuances of borrowings under the Bank Note Program were predominantly utilized to purchase high-quality liquid assets that meet the requirements of the LCR. Outstanding balances of the senior unsecured notes totaled $4.4 billion at March 31, 2017 and $5.2 billion at December 31, 2016. Also included in average long-term borrowings were amounts borrowed from the Federal Home Loan Banks of New York, Atlanta and Pittsburgh of $1.2 billion in each of the initial quarters of 2017 and 2016 and the final quarter of 2016. Subordinated capital notes included in long-term borrowings averaged $1.5 billion in each of the three-month periods ended March 31, 2017, March 31, 2016, and December 31, 2016. Junior subordinated debentures associated with trust preferred securities that were included in average long-term borrowings were $517 million in the most recent quarter, compared with $514 million in the first quarter of 2016 and $516 million in the fourth quarter of 2016. Additional information regarding junior subordinated debentures is provided in note 5 of Notes to Financial Statements. Also included in long-term borrowings were agreements to repurchase securities, which averaged $683 million in the first quarter of 2017, $1.9 billion in the first quarter of 2016 and $1.5 billion in the fourth quarter of 2016. The lower average balances of repurchase agreements in the recent quarter as compared with the first and fourth quarters of 2016 reflect maturities in the first quarter of 2017 and fourth quarter of 2016. The repurchase agreements held at March 31, 2017 totaled $431 million and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March 31, 2017, interest rate swap agreements were used to hedge approximately $900 million of outstanding fixed rate long-term borrowings. Further information on interest rate swap agreements is provided in note 10 of Notes to Financial Statements.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3.15% in the first quarter of 2017, compared with 3.01% in the year-earlier quarter. The yield on earning assets during the recent quarter was 3.67%, up 13 basis points from 3.54% in the initial 2016 quarter, while the rate paid on interest-bearing liabilities decreased one basis point to .52% in the recent quarter from .53% in the year-earlier period. In the final quarter of 2016, the net interest spread was 2.88%, the yield on earning assets was 3.45% and the rate paid on interest-bearing liabilities was .57%. The widening of the net interest spread in the recent quarter as compared with the first and final quarters of 2016 was largely due to the effect of increases in short-term interest rates initiated by the Federal Reserve in mid-December 2016 and mid-March 2017 that contributed to higher yields on loans and leases. Also contributing to the improved net interest spread in the initial 2017 quarter were lower average balances of long-term borrowings and of relatively low-yielding deposits held at the Federal Reserve Bank of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1" w:name="page52"/>
    <w:bookmarkEnd w:id="51"/>
    <w:p>
      <w:pPr>
        <w:jc w:val="both"/>
        <w:ind w:firstLine="518"/>
        <w:spacing w:after="0" w:line="271"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$40.4 billion in the first quarter of 2017, compared with $35.1 billion and $39.0 billion in the first and fourth quarters of 2016, respectively. The increases in average net interest-free funds in the two most recent quarters as compared with the first quarter of 2016 reflect higher average balances of noninterest-bearing deposits. Those deposits averaged $33.3 billion, $28.9 billion and $31.7 billion in the quarters ended March 31, 2017, March 31, 2016 and December 31, 2016, respectively. The growth in average noninterest-bearing deposits since the first quarter of 2016 largely reflects higher deposits of trust customers. Shareholders’ equity averaged $16.3 billion in each of the three-month periods ended March 31, 2017 and March 31, 2016, compared with $16.7 billion in the three-month period ended December 31, 2016. Goodwill and core deposit and other intangible assets averaged $4.7 billion and the cash surrender value of bank owned life insurance averaged $1.7 billion during each of the quarters ended March 31, 2017, March 31, 2016 and December 31, 2016. Increases in the cash surrender value of bank owned life insurance and benefits received are not included in interest income, but rather are recorded in “other revenues from operations.” The contribution of net interest-free funds to net interest margin was .19% in the recent quarter, compared with .17% in the first quarter of 2016 and .20% in the fourth quarter of 2016.</w:t>
      </w:r>
    </w:p>
    <w:p>
      <w:pPr>
        <w:spacing w:after="0" w:line="169"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Reflecting the changes to the net interest spread and the contribution of interest-free funds as described herein, the Company’s net interest margin was 3.34% in the recent quarter, compared with 3.18% in the initial quarter of 2016 and 3.08% in the final quarter of 2016.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8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$900 million at each of March 31, 2017 and December 31, 2016, compared with $1.4 billion at March 31, 2016. Under the terms of those interest rate swap agreements, the Company received payments based on the outstanding notional amount at fixed rates and made payments at variable rates. Those interest rate swap agreements were designated as fair value hedges of certain fixed rate long-term borrowings. The $500 million decline in notional amount from March 31, 2016 reflects the expiration of a hedge transaction in December 2016 upon conversion of $500 million of fixed rate long-term borrowings to a floating rate. There were no interest rate swap agreements designated as cash flow hedges at those respective dates.</w:t>
      </w:r>
    </w:p>
    <w:p>
      <w:pPr>
        <w:spacing w:after="0" w:line="17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during each of the quarters ended March 31, 2017, March 31, 2016 and December 31, 2016 were not material to the Company’s consolidated results of operations. The estimated aggregate fair value of interest rate swap agreements designated as fair value hedges represented gains of approximately $8 million at March 31, 2017, $41 million at March 31, 2016 and $12 million at December 31, 2016. The fair values of such interest rate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March 31, 2017 with respect to the estimated fair value of interest rate swap agreements used for managing interest rate risk has been substantially mitigated through master netting arrangements with trading account interest rate contracts with the same counterparty, periodic settlements and counterparty postings of $11 million of collateral with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2" w:name="page53"/>
    <w:bookmarkEnd w:id="52"/>
    <w:p>
      <w:pPr>
        <w:jc w:val="both"/>
        <w:ind w:firstLine="518"/>
        <w:spacing w:after="0" w:line="262" w:lineRule="auto"/>
        <w:rPr>
          <w:sz w:val="20"/>
          <w:szCs w:val="20"/>
          <w:color w:val="auto"/>
        </w:rPr>
      </w:pPr>
      <w:r>
        <w:rPr>
          <w:rFonts w:ascii="Arial" w:cs="Arial" w:eastAsia="Arial" w:hAnsi="Arial"/>
          <w:sz w:val="20"/>
          <w:szCs w:val="20"/>
          <w:color w:val="auto"/>
        </w:rPr>
        <w:t>The weighted-average rates to be received and paid under interest rate swap agreements currently in effect were 3.75% and 2.24%, respectively, at March 31, 2017.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60" w:type="dxa"/>
            <w:vAlign w:val="bottom"/>
            <w:vMerge w:val="restart"/>
          </w:tcPr>
          <w:p>
            <w:pPr>
              <w:ind w:left="290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color w:val="auto"/>
                <w:w w:val="94"/>
              </w:rPr>
              <w:t>Three Months Ended March 31</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Amount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46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7"/>
          </w:tcPr>
          <w:p>
            <w:pPr>
              <w:jc w:val="right"/>
              <w:ind w:right="820"/>
              <w:spacing w:after="0"/>
              <w:rPr>
                <w:sz w:val="20"/>
                <w:szCs w:val="20"/>
                <w:color w:val="auto"/>
              </w:rPr>
            </w:pPr>
            <w:r>
              <w:rPr>
                <w:rFonts w:ascii="Arial" w:cs="Arial" w:eastAsia="Arial" w:hAnsi="Arial"/>
                <w:sz w:val="14"/>
                <w:szCs w:val="14"/>
                <w:color w:val="auto"/>
                <w:w w:val="98"/>
              </w:rPr>
              <w:t>(Dollars in thousands)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(3,648)</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(10,333)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10,333</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Average notional amount</w:t>
            </w:r>
          </w:p>
        </w:tc>
        <w:tc>
          <w:tcPr>
            <w:tcW w:w="1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15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52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1,400,000</w:t>
            </w:r>
          </w:p>
        </w:tc>
        <w:tc>
          <w:tcPr>
            <w:tcW w:w="40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Rate paid (b)</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13</w:t>
            </w: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45</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the Federal Reserve Board’s risk-based capital guidelines for inclusion in the Company’s regulatory capital. However, pursuant to the Dodd-Frank Act, the Company’s junior subordinated debentures associated with trust preferred securities have been phased-out of the definition of Tier 1 capital. Beginning January 1, 2016 those instruments are considered Tier 2 capital and are only includable in total regulatory capital.</w:t>
      </w:r>
    </w:p>
    <w:p>
      <w:pPr>
        <w:spacing w:after="0" w:line="171"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The Company has informal and sometimes reciprocal sources of funding available through various arrangements for unsecured short-term borrowings from a wide group of banks and other financial institutions. Short-term federal funds borrowings were $128 million, $157 million and $112 million at March 31, 2017, March 31, 2016 and December 31, 2016, respectively. In general, those borrowings were unsecured and matured on the next business day. In addition to satisfying customer demand, Cayman Islands office deposits may be used by the Company as an alternative to short-term borrowings. Cayman Islands office deposits totaled $193 million at March 31, 2017, $167 million at March 31, 2016 and $202 million at December 31, 2016. The Company has also benefited from the placement of brokered deposits. The Company had brokered savings and interest-bearing checking deposit accounts which aggregated approximately $1.2 billion at each of March 31, 2017 and December 31, 2016, compared with $1.1 billion at March 31, 2016. Brokered time deposits were not a significant source of funding as of those 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3" w:name="page54"/>
    <w:bookmarkEnd w:id="53"/>
    <w:p>
      <w:pPr>
        <w:jc w:val="both"/>
        <w:ind w:firstLine="518"/>
        <w:spacing w:after="0" w:line="244" w:lineRule="auto"/>
        <w:rPr>
          <w:sz w:val="20"/>
          <w:szCs w:val="20"/>
          <w:color w:val="auto"/>
        </w:rPr>
      </w:pPr>
      <w:r>
        <w:rPr>
          <w:rFonts w:ascii="Arial" w:cs="Arial" w:eastAsia="Arial" w:hAnsi="Arial"/>
          <w:sz w:val="21"/>
          <w:szCs w:val="21"/>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97"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aggregated $1 million at March 31, 2017, $37 million at March 31, 2016 and $30 million at December 31, 2016. The total amount of VRDBs outstanding backed by M&amp;T Bank letters of credit was $1.3 billion at each of March 31, 2017 and December 31, 2016, compared with $1.7 billion at March 31, 2016. M&amp;T Bank also serves as remarketing agent for most of those bonds.</w:t>
      </w:r>
    </w:p>
    <w:p>
      <w:pPr>
        <w:spacing w:after="0" w:line="18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2017 approximately $648 million was available for payment of dividends to M&amp;T from bank subsidiaries. Information regarding the long-term debt obligations of M&amp;T is included in note 5 of Notes to Financial Statements.</w:t>
      </w:r>
    </w:p>
    <w:p>
      <w:pPr>
        <w:spacing w:after="0" w:line="162"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has taken steps to maintain appropriate liquidity and is in compliance with the LCR rules.</w:t>
      </w:r>
    </w:p>
    <w:p>
      <w:pPr>
        <w:spacing w:after="0" w:line="148"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4" w:name="page55"/>
    <w:bookmarkEnd w:id="54"/>
    <w:p>
      <w:pPr>
        <w:jc w:val="both"/>
        <w:spacing w:after="0" w:line="279" w:lineRule="auto"/>
        <w:rPr>
          <w:sz w:val="20"/>
          <w:szCs w:val="20"/>
          <w:color w:val="auto"/>
        </w:rPr>
      </w:pPr>
      <w:r>
        <w:rPr>
          <w:rFonts w:ascii="Arial" w:cs="Arial" w:eastAsia="Arial" w:hAnsi="Arial"/>
          <w:sz w:val="19"/>
          <w:szCs w:val="19"/>
          <w:color w:val="auto"/>
        </w:rPr>
        <w:t>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2"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The accompanying table as of March 31, 2017 and December 31, 2016 displays the estimated impact on net interest income from non-trading financial instruments in the base scenario described above resulting from parallel changes in interest rates across repricing categories during the first modeling year.</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SENSITIVITY OF NET INTEREST INCOME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Calculated Increase (Decrease)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in Projected Net Interest Income</w:t>
            </w:r>
          </w:p>
        </w:tc>
        <w:tc>
          <w:tcPr>
            <w:tcW w:w="0" w:type="dxa"/>
            <w:vAlign w:val="bottom"/>
          </w:tcPr>
          <w:p>
            <w:pPr>
              <w:spacing w:after="0"/>
              <w:rPr>
                <w:sz w:val="1"/>
                <w:szCs w:val="1"/>
                <w:color w:val="auto"/>
              </w:rPr>
            </w:pPr>
          </w:p>
        </w:tc>
      </w:tr>
      <w:tr>
        <w:trPr>
          <w:trHeight w:val="208"/>
        </w:trPr>
        <w:tc>
          <w:tcPr>
            <w:tcW w:w="3800" w:type="dxa"/>
            <w:vAlign w:val="bottom"/>
            <w:gridSpan w:val="3"/>
          </w:tcPr>
          <w:p>
            <w:pPr>
              <w:spacing w:after="0"/>
              <w:rPr>
                <w:sz w:val="20"/>
                <w:szCs w:val="20"/>
                <w:color w:val="auto"/>
              </w:rPr>
            </w:pPr>
            <w:r>
              <w:rPr>
                <w:rFonts w:ascii="Arial" w:cs="Arial" w:eastAsia="Arial" w:hAnsi="Arial"/>
                <w:sz w:val="14"/>
                <w:szCs w:val="14"/>
                <w:color w:val="auto"/>
              </w:rPr>
              <w:t>Changes in interest rates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0"/>
              <w:spacing w:after="0"/>
              <w:rPr>
                <w:sz w:val="20"/>
                <w:szCs w:val="20"/>
                <w:color w:val="auto"/>
              </w:rPr>
            </w:pPr>
            <w:r>
              <w:rPr>
                <w:rFonts w:ascii="Arial" w:cs="Arial" w:eastAsia="Arial" w:hAnsi="Arial"/>
                <w:sz w:val="14"/>
                <w:szCs w:val="14"/>
                <w:color w:val="auto"/>
                <w:w w:val="92"/>
              </w:rPr>
              <w:t>March 31, 2017</w:t>
            </w: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gridSpan w:val="2"/>
          </w:tcPr>
          <w:p>
            <w:pPr>
              <w:jc w:val="center"/>
              <w:ind w:right="34"/>
              <w:spacing w:after="0"/>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2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204,102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200"/>
              <w:spacing w:after="0"/>
              <w:rPr>
                <w:sz w:val="20"/>
                <w:szCs w:val="20"/>
                <w:color w:val="auto"/>
              </w:rPr>
            </w:pPr>
            <w:r>
              <w:rPr>
                <w:rFonts w:ascii="Arial" w:cs="Arial" w:eastAsia="Arial" w:hAnsi="Arial"/>
                <w:sz w:val="18"/>
                <w:szCs w:val="18"/>
                <w:color w:val="auto"/>
              </w:rPr>
              <w:t>139,298</w:t>
            </w:r>
          </w:p>
        </w:tc>
        <w:tc>
          <w:tcPr>
            <w:tcW w:w="1460" w:type="dxa"/>
            <w:vAlign w:val="bottom"/>
          </w:tcPr>
          <w:p>
            <w:pPr>
              <w:jc w:val="right"/>
              <w:spacing w:after="0"/>
              <w:rPr>
                <w:sz w:val="20"/>
                <w:szCs w:val="20"/>
                <w:color w:val="auto"/>
              </w:rPr>
            </w:pPr>
            <w:r>
              <w:rPr>
                <w:rFonts w:ascii="Arial" w:cs="Arial" w:eastAsia="Arial" w:hAnsi="Arial"/>
                <w:sz w:val="18"/>
                <w:szCs w:val="18"/>
                <w:color w:val="auto"/>
              </w:rPr>
              <w:t>147,400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-50 basis points</w:t>
            </w: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20"/>
              <w:spacing w:after="0"/>
              <w:rPr>
                <w:sz w:val="20"/>
                <w:szCs w:val="20"/>
                <w:color w:val="auto"/>
              </w:rPr>
            </w:pPr>
            <w:r>
              <w:rPr>
                <w:rFonts w:ascii="Arial" w:cs="Arial" w:eastAsia="Arial" w:hAnsi="Arial"/>
                <w:sz w:val="18"/>
                <w:szCs w:val="18"/>
                <w:color w:val="auto"/>
              </w:rPr>
              <w:t>(93,725)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(98,945)</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 increases and a 50 basis point decrease, as compared with the base scenario. In the declining rate scenario, the rate changes may be limited to lesser amounts such that interest rates remain positive on all points of the yield curve. In 2016, the Company suspended the -100 basis point scenario due to the persistent low level of interest rates. This scenario will be reinstated if and when interest rates rise sufficiently to make the analysis more meaningful.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Given recent increases in short-term interest rates,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21"/>
          <w:szCs w:val="21"/>
          <w:color w:val="auto"/>
        </w:rPr>
        <w:t>management believes that exposure to potential volatility of net interest income has recently increased. As a result, in 2017 management is adding interest rate swap agreements designated as hedging instruments to mitigate the Company’s exposure to such potential volatility.</w:t>
      </w:r>
    </w:p>
    <w:p>
      <w:pPr>
        <w:spacing w:after="0" w:line="182"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8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7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notional amounts of interest rate contracts entered into for trading account purposes totaled $22.3 billion at March 31, 2017, $18.9 billion at March 31, 2016 and $21.6 billion at December 31, 2016. The notional amounts of foreign currency and other option and futures contracts entered into for trading account purposes were $496 million at March 31, 2017, compared with $2.8 billion at March 31, 2016 and $471 million at December 31, 2016.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aggregated $175 million and $139 million, respectively, at March 31, 2017. Effective January 2017, certain clearinghouse exchanges revised their rules to re-characterize required collateral postings for changes in fair value of exchange-traded derivatives as legal settlements of those positions. As a result, the fair value asset and liability amounts at March 31, 2017 have been reduced by contractual settlements of $112 million and $25 million, respectively. The fair values of trading account assets and liabilities were $468 million and $296 million, respectively, at March 31, 2016, and $324 million and $174 million, respectively, at December 31, 2016. Included in trading account assets were assets related to deferred compensation plans aggregating $22 million at each of March 31, 2017, March 31, 2016 and December 31, 2016. Changes in the fair values of such assets are recorded as “trading account and foreign exchange gains” in the consolidated statement of income. Included in “other liabilities” in the consolidated balance sheet at March 31, 2017 were $25 million of liabilities related to deferred compensation plans, compared with $26 million at each of March 31 and December 31, 2016.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$24 million at each of March 31, 2017 and December 31, 2016, compared with $48 million at March 31, 2016.</w:t>
      </w:r>
    </w:p>
    <w:p>
      <w:pPr>
        <w:spacing w:after="0" w:line="180"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56" w:name="page57"/>
    <w:bookmarkEnd w:id="56"/>
    <w:p>
      <w:pPr>
        <w:spacing w:after="0"/>
        <w:rPr>
          <w:sz w:val="20"/>
          <w:szCs w:val="20"/>
          <w:color w:val="auto"/>
        </w:rPr>
      </w:pPr>
      <w:r>
        <w:rPr>
          <w:rFonts w:ascii="Arial" w:cs="Arial" w:eastAsia="Arial" w:hAnsi="Arial"/>
          <w:sz w:val="21"/>
          <w:szCs w:val="21"/>
          <w:b w:val="1"/>
          <w:bCs w:val="1"/>
          <w:color w:val="auto"/>
        </w:rPr>
        <w:t>Provision for Credit Losses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initial quarter of 2017 was $55 million, compared with $49 million in the year-earlier quarter and $62 million in the fourth quarter of 2016. Net charge-offs of loans were $43 million in the recent quarter, compared with $42 million and $49 million in the first and fourth quarters of 2016, respectively. Net charge-offs as an annualized percentage of average loans and leases were .19% in the first quarters of 2017 and 2016, compared with .22% in the final 2016 quarter. A summary of net charge-offs by loan type is presented in the table that follows.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 Quarter</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First Quarter</w:t>
            </w:r>
          </w:p>
        </w:tc>
        <w:tc>
          <w:tcPr>
            <w:tcW w:w="1120" w:type="dxa"/>
            <w:vAlign w:val="bottom"/>
            <w:gridSpan w:val="2"/>
          </w:tcPr>
          <w:p>
            <w:pPr>
              <w:ind w:left="80"/>
              <w:spacing w:after="0"/>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11,896</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Real estate: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(1,141)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21,948</w:t>
            </w:r>
          </w:p>
        </w:tc>
        <w:tc>
          <w:tcPr>
            <w:tcW w:w="2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37,394</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42,567</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42,240</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Net charge-offs of commercial loans and leases in the first quarter of 2017 included a $6 million charge-off associated with a producer of powdered cellulose and fiber filler products used for food and industrial applications, and in the final 2016 quarter included a $12 million charge-off associated with a multi-regional manufacturer of refractory brick and other castable products. Included in net charge-offs of consumer loans and leases were net charge-offs during the quarters ended March 31, 2017, March 31, 2016 and December 31, 2016, respectively, of: automobile loans of $9 million, $11 million and $8 million; recreational vehicle loans of $5 million, $12 million and $5 million; and home equity loans and lines of credit secured by one-to-four family residential properties of $3 million, $5 million and $4 million. Beginning in the first quarter of 2016, the Company accelerated the charge off of consumer loans associated with customers who were either deceased or had filed for bankruptcy that, in accordance with GAAP, had previously been considered when determining level of the allowance for credit losses and were charged-off following the Company’s normal charge-off procedures to the extent the loans subsequently became delinquent. Charge-offs of such loans totaled $7 million in the recent quarter, $14 million in the first quarter of 2016 and $6 million in the final quarter of 2016 and included $5 million, $11 million and $4 million, respectively, of loan balances with a current payment status at the time of charge-off.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57" w:name="page58"/>
    <w:bookmarkEnd w:id="57"/>
    <w:p>
      <w:pPr>
        <w:jc w:val="both"/>
        <w:ind w:firstLine="518"/>
        <w:spacing w:after="0" w:line="270" w:lineRule="auto"/>
        <w:rPr>
          <w:sz w:val="20"/>
          <w:szCs w:val="20"/>
          <w:color w:val="auto"/>
        </w:rPr>
      </w:pPr>
      <w:r>
        <w:rPr>
          <w:rFonts w:ascii="Arial" w:cs="Arial" w:eastAsia="Arial" w:hAnsi="Arial"/>
          <w:sz w:val="19"/>
          <w:szCs w:val="19"/>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$1.6 billion, $2.3 billion and $1.8 billion at March 31, 2017, March 31, 2016 and December 31, 2016, respectively. The decrease in such loans since March 31, 2016 was largely attributable to payments received. The nonaccretable balance related to remaining principal losses associated with loans acquired at a discount as of March 31, 2017 and December 31, 2016 is presented in the accompanying table.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NONACCRETABLE BALANCE - PRINCIPAL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4"/>
                <w:szCs w:val="14"/>
                <w:color w:val="auto"/>
                <w:w w:val="93"/>
              </w:rPr>
              <w:t>Remaining balance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7" w:lineRule="exact"/>
              <w:rPr>
                <w:sz w:val="20"/>
                <w:szCs w:val="20"/>
                <w:color w:val="auto"/>
              </w:rPr>
            </w:pPr>
            <w:r>
              <w:rPr>
                <w:rFonts w:ascii="Arial" w:cs="Arial" w:eastAsia="Arial" w:hAnsi="Arial"/>
                <w:sz w:val="14"/>
                <w:szCs w:val="14"/>
                <w:color w:val="auto"/>
              </w:rPr>
              <w:t>March 31,</w:t>
            </w:r>
          </w:p>
        </w:tc>
        <w:tc>
          <w:tcPr>
            <w:tcW w:w="980" w:type="dxa"/>
            <w:vAlign w:val="bottom"/>
            <w:tcBorders>
              <w:top w:val="single" w:sz="8" w:color="auto"/>
            </w:tcBorders>
          </w:tcPr>
          <w:p>
            <w:pPr>
              <w:jc w:val="right"/>
              <w:ind w:right="15"/>
              <w:spacing w:after="0" w:line="137"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39,096</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47,691</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4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103,843</w:t>
            </w:r>
          </w:p>
        </w:tc>
        <w:tc>
          <w:tcPr>
            <w:tcW w:w="4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was $13.5 billion and $14.2 billion at March 31, 2017 and December 31, 2016,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260"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Nonaccrual loans aggregated $927 million or 1.04% of total loans and leases outstanding at March 31, 2017, compared with $877 million or 1.00% a year earlier and $920 million or 1.01% at December 31, 2016. The higher levels of nonaccrual loans at the two most recent quarter-ends as compared with March 31, 2016 reflect the expected migration of previously performing residential real estate loans obtained in the acquisition of Hudson City that became past due over 90 days after March 31, 2016. Nonaccrual Hudson City-related residential real estate loans totaled $207 million at March 31, 2017, $79 million at March 31, 2016 and $190 million at December 31, 2016.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8" w:name="page59"/>
    <w:bookmarkEnd w:id="58"/>
    <w:p>
      <w:pPr>
        <w:jc w:val="both"/>
        <w:ind w:firstLine="518"/>
        <w:spacing w:after="0" w:line="272" w:lineRule="auto"/>
        <w:rPr>
          <w:sz w:val="20"/>
          <w:szCs w:val="20"/>
          <w:color w:val="auto"/>
        </w:rPr>
      </w:pPr>
      <w:r>
        <w:rPr>
          <w:rFonts w:ascii="Arial" w:cs="Arial" w:eastAsia="Arial" w:hAnsi="Arial"/>
          <w:sz w:val="19"/>
          <w:szCs w:val="19"/>
          <w:color w:val="auto"/>
        </w:rPr>
        <w:t>Accruing loans past due 90 days or more (excluding loans acquired at a discount) were $280 million, or .31% of total loans and leases at March 31, 2017, compared with $336 million or .38% at March 31, 2016 and $301 million or .33% at December 31, 2016. Those amounts included loans guaranteed by government-related entities of $253 million, $279 million and $283 million at March 31, 2017, March 31, 2016 and December 31, 2016,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$197 million at March 31, 2017, $226 million at March 31, 2016 and $224 million at December 31, 2016. The remaining accruing loans past due 90 days or more not guaranteed by government-related entities were loans considered to be with creditworthy borrowers that were in the process of collection or renewal.</w:t>
      </w:r>
    </w:p>
    <w:p>
      <w:pPr>
        <w:spacing w:after="0" w:line="171"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$553 million at March 31, 2017, or .6% of total loans. Of that amount, $488 million was related to the Hudson City acquisition. Purchased impaired loans totaled $716 million and $578 million at March 31, 2016 and December 31, 2016, respectively.</w:t>
      </w:r>
    </w:p>
    <w:p>
      <w:pPr>
        <w:spacing w:after="0" w:line="192" w:lineRule="exact"/>
        <w:rPr>
          <w:sz w:val="20"/>
          <w:szCs w:val="20"/>
          <w:color w:val="auto"/>
        </w:rPr>
      </w:pPr>
    </w:p>
    <w:p>
      <w:pPr>
        <w:jc w:val="both"/>
        <w:ind w:firstLine="571"/>
        <w:spacing w:after="0" w:line="253" w:lineRule="auto"/>
        <w:rPr>
          <w:sz w:val="20"/>
          <w:szCs w:val="20"/>
          <w:color w:val="auto"/>
        </w:rPr>
      </w:pPr>
      <w:r>
        <w:rPr>
          <w:rFonts w:ascii="Arial" w:cs="Arial" w:eastAsia="Arial" w:hAnsi="Arial"/>
          <w:sz w:val="21"/>
          <w:szCs w:val="21"/>
          <w:color w:val="auto"/>
        </w:rPr>
        <w:t>Accruing loans acquired at a discount past due 90 days or more are loans that could not be specifically identified as impaired as of the acquisition date, but were recorded at estimated fair value as of such date. Such loans totaled $64 million at March 31, 2017, compared with $62 million at March 31, 2016 and $61 million at December 31, 2016.</w:t>
      </w:r>
    </w:p>
    <w:p>
      <w:pPr>
        <w:spacing w:after="0" w:line="182"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48"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$174 million, $155 million and $171 million at March 31, 2017, March 31, 2016 and December 31, 2016, respectively.</w:t>
      </w:r>
    </w:p>
    <w:p>
      <w:pPr>
        <w:spacing w:after="0" w:line="173"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Commercial loans and leases classified as nonaccrual totaled $261 million at each of March 31, 2017 and December 31, 2016, compared with $280 million at March 31, 2016. Commercial real estate loans in nonaccrual status aggregated $211 million at each of March 31, 2017 and December 31, 2016, compared with $224 million at March 31, 2016. Nonaccrual commercial real estate loans included construction-related loans of $28 million, $53 million and $35 million at March 31, 2017, March 31, 2016 and December 31, 2016, respectively. Those nonaccrual construction loans included loans to residential builders and developers of $14 million, $32 million and $17 million at March 31, 2017, March 31, 2016 and December 31, 2016, respectively. Information about the location of nonaccrual and charged-off loans to residential real estate builders and developers as of and for the three-month period ended March 31, 2017 is presented in the accompanying table.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RESIDENTIAL BUILDER AND DEVELOPER LOANS, NET OF UNEARNED DISCOUNT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710"/>
              <w:spacing w:after="0"/>
              <w:rPr>
                <w:sz w:val="20"/>
                <w:szCs w:val="20"/>
                <w:color w:val="auto"/>
              </w:rPr>
            </w:pPr>
            <w:r>
              <w:rPr>
                <w:rFonts w:ascii="Arial" w:cs="Arial" w:eastAsia="Arial" w:hAnsi="Arial"/>
                <w:sz w:val="14"/>
                <w:szCs w:val="14"/>
                <w:color w:val="auto"/>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color w:val="auto"/>
                <w:w w:val="94"/>
              </w:rPr>
              <w:t>March 31, 2017</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670"/>
              <w:spacing w:after="0"/>
              <w:rPr>
                <w:sz w:val="20"/>
                <w:szCs w:val="20"/>
                <w:color w:val="auto"/>
              </w:rPr>
            </w:pPr>
            <w:r>
              <w:rPr>
                <w:rFonts w:ascii="Arial" w:cs="Arial" w:eastAsia="Arial" w:hAnsi="Arial"/>
                <w:sz w:val="14"/>
                <w:szCs w:val="14"/>
                <w:color w:val="auto"/>
              </w:rPr>
              <w:t>March 31,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4"/>
          </w:tcPr>
          <w:p>
            <w:pPr>
              <w:jc w:val="right"/>
              <w:ind w:right="464"/>
              <w:spacing w:after="0" w:line="155" w:lineRule="exact"/>
              <w:rPr>
                <w:sz w:val="20"/>
                <w:szCs w:val="20"/>
                <w:color w:val="auto"/>
              </w:rPr>
            </w:pPr>
            <w:r>
              <w:rPr>
                <w:rFonts w:ascii="Arial" w:cs="Arial" w:eastAsia="Arial" w:hAnsi="Arial"/>
                <w:sz w:val="14"/>
                <w:szCs w:val="14"/>
                <w:color w:val="auto"/>
              </w:rPr>
              <w:t>Nonaccrual</w:t>
            </w:r>
          </w:p>
        </w:tc>
        <w:tc>
          <w:tcPr>
            <w:tcW w:w="540" w:type="dxa"/>
            <w:vAlign w:val="bottom"/>
          </w:tcPr>
          <w:p>
            <w:pPr>
              <w:spacing w:after="0"/>
              <w:rPr>
                <w:sz w:val="13"/>
                <w:szCs w:val="13"/>
                <w:color w:val="auto"/>
              </w:rPr>
            </w:pPr>
          </w:p>
        </w:tc>
        <w:tc>
          <w:tcPr>
            <w:tcW w:w="1740" w:type="dxa"/>
            <w:vAlign w:val="bottom"/>
            <w:tcBorders>
              <w:top w:val="single" w:sz="8" w:color="auto"/>
              <w:bottom w:val="single" w:sz="8" w:color="auto"/>
            </w:tcBorders>
            <w:gridSpan w:val="4"/>
          </w:tcPr>
          <w:p>
            <w:pPr>
              <w:ind w:left="20"/>
              <w:spacing w:after="0" w:line="155" w:lineRule="exact"/>
              <w:rPr>
                <w:sz w:val="20"/>
                <w:szCs w:val="20"/>
                <w:color w:val="auto"/>
              </w:rPr>
            </w:pPr>
            <w:r>
              <w:rPr>
                <w:rFonts w:ascii="Arial" w:cs="Arial" w:eastAsia="Arial" w:hAnsi="Arial"/>
                <w:sz w:val="14"/>
                <w:szCs w:val="14"/>
                <w:color w:val="auto"/>
                <w:w w:val="93"/>
              </w:rPr>
              <w:t>Net Charge-offs (Recoveries)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w w:val="95"/>
              </w:rPr>
              <w:t>Annualized</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Percent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w w:val="99"/>
              </w:rPr>
              <w:t>Balances(b)</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Balances</w:t>
            </w:r>
          </w:p>
        </w:tc>
        <w:tc>
          <w:tcPr>
            <w:tcW w:w="2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Balances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86"/>
              </w:rPr>
              <w:t>Balances</w:t>
            </w:r>
          </w:p>
        </w:tc>
        <w:tc>
          <w:tcPr>
            <w:tcW w:w="1060" w:type="dxa"/>
            <w:vAlign w:val="bottom"/>
            <w:gridSpan w:val="2"/>
          </w:tcPr>
          <w:p>
            <w:pPr>
              <w:jc w:val="center"/>
              <w:ind w:right="250"/>
              <w:spacing w:after="0"/>
              <w:rPr>
                <w:sz w:val="20"/>
                <w:szCs w:val="20"/>
                <w:color w:val="auto"/>
              </w:rPr>
            </w:pPr>
            <w:r>
              <w:rPr>
                <w:rFonts w:ascii="Arial" w:cs="Arial" w:eastAsia="Arial" w:hAnsi="Arial"/>
                <w:sz w:val="14"/>
                <w:szCs w:val="14"/>
                <w:color w:val="auto"/>
                <w:w w:val="90"/>
              </w:rPr>
              <w:t>Balances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New York</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509,409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Pennsylvania</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160,333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10,843</w:t>
            </w:r>
          </w:p>
        </w:tc>
        <w:tc>
          <w:tcPr>
            <w:tcW w:w="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Mid-Atlantic(a)</w:t>
            </w:r>
          </w:p>
        </w:tc>
        <w:tc>
          <w:tcPr>
            <w:tcW w:w="2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498,604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w:t>
            </w: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603,505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1,771,851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540" w:type="dxa"/>
            <w:vAlign w:val="bottom"/>
            <w:tcBorders>
              <w:top w:val="single" w:sz="8" w:color="CFF0FC"/>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49" w:lineRule="exact"/>
        <w:rPr>
          <w:rFonts w:ascii="Arial" w:cs="Arial" w:eastAsia="Arial" w:hAnsi="Arial"/>
          <w:sz w:val="18"/>
          <w:szCs w:val="18"/>
          <w:i w:val="1"/>
          <w:iCs w:val="1"/>
          <w:color w:val="auto"/>
        </w:rPr>
      </w:pPr>
    </w:p>
    <w:p>
      <w:pPr>
        <w:ind w:left="520" w:hanging="512"/>
        <w:spacing w:after="0"/>
        <w:tabs>
          <w:tab w:leader="none" w:pos="5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$14 million of loans not secured by real estate, of which approximately $2 million are in nonaccrual status.</w:t>
      </w:r>
    </w:p>
    <w:p>
      <w:pPr>
        <w:spacing w:after="0" w:line="226"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Nonaccrual residential real estate loans totaled $350 million at March 31, 2017, compared with $263 million at March 31, 2016 and $336 million at December 31, 2016. The increase in residential real estate loans classified as nonaccrual at the two most recent quarter-ends as compared with March 31, 2016 reflects the expected migration of previously performing loans obtained in the acquisition of Hudson City that became more than 90 days delinquent. Such nonaccrual residential real estate loans aggregated $207 million at March 31, 2017, $79 million at March 31, 2016 and $190 million at December 31, 2016. Those loans could not be identified as purchased impaired loans at the acquisition date because the borrowers were making loan payments at the time and the loans were not recorded at a discount. Included in residential real estate loans classified as nonaccrual were limited documentation first mortgage loans of $113 million, $76 million and $107 million at March 31, 2017, March 31, 2016 and December 31, 2016, respectively. Limited documentation first mortgage loans represent loans secured by residential real estate that at origination typically included some form of limited borrower documentation requirements as compared with more traditional loans. Such loans in the Company’s portfolio prior to the Hudson City transaction were originated by the Company before 2008. Hudson City discontinued its limited documentation loan program in January 2014. Residential real estate loans past due 90 days or more and accruing interest (excluding loans acquired at a discount) aggregated $251 million at March 31, 2017, compared with $279 million at March 31, 2016 and $281 million at December 31, 2016. A substantial portion of such amounts related to guaranteed loans repurchased from government-related entities. Information about the location of nonaccrual and charged-off residential real estate loans as of and for the quarter ended March 31, 2017 is presented in the accompanying table.</w:t>
      </w:r>
    </w:p>
    <w:p>
      <w:pPr>
        <w:spacing w:after="0" w:line="173"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Nonaccrual consumer loans were $104 million at March 31, 2017, compared with $110 million at March 31, 2016 and $112 million at December 31, 2016. Included in nonaccrual consumer loans at March 31, 2017, March 31, 2016 and December 31, 2016 were: automobile loans of $16 million, $15 million, and $19 million, respectively; recreational vehicle loans of $5 million, $10 million and $7 million, respectively; and outstanding balances of home equity loans and lines of credit of $80 million, $79 million and $82 million, respectively. Information about the location of nonaccrual and charged-off home equity loans and lines of credit as of and for the quarter ended March 31, 2017 is presented in the accompanying table.</w:t>
      </w:r>
    </w:p>
    <w:p>
      <w:pPr>
        <w:spacing w:after="0" w:line="18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Information about past due and nonaccrual loans as of March 31, 2017 and December 31, 2016 is also included in note 4 of Notes to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60" w:name="page61"/>
    <w:bookmarkEnd w:id="60"/>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4"/>
                <w:szCs w:val="14"/>
                <w:color w:val="auto"/>
                <w:w w:val="84"/>
              </w:rPr>
              <w:t>Quarter Ended</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ind w:left="240"/>
              <w:spacing w:after="0" w:line="159" w:lineRule="exact"/>
              <w:rPr>
                <w:sz w:val="20"/>
                <w:szCs w:val="20"/>
                <w:color w:val="auto"/>
              </w:rPr>
            </w:pPr>
            <w:r>
              <w:rPr>
                <w:rFonts w:ascii="Arial" w:cs="Arial" w:eastAsia="Arial" w:hAnsi="Arial"/>
                <w:sz w:val="14"/>
                <w:szCs w:val="14"/>
                <w:color w:val="auto"/>
              </w:rPr>
              <w:t>March 31, 2017</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8"/>
              <w:spacing w:after="0" w:line="159" w:lineRule="exact"/>
              <w:rPr>
                <w:sz w:val="20"/>
                <w:szCs w:val="20"/>
                <w:color w:val="auto"/>
              </w:rPr>
            </w:pPr>
            <w:r>
              <w:rPr>
                <w:rFonts w:ascii="Arial" w:cs="Arial" w:eastAsia="Arial" w:hAnsi="Arial"/>
                <w:sz w:val="14"/>
                <w:szCs w:val="14"/>
                <w:color w:val="auto"/>
                <w:w w:val="88"/>
              </w:rPr>
              <w:t>March 31, 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560"/>
              <w:spacing w:after="0" w:line="155" w:lineRule="exact"/>
              <w:rPr>
                <w:sz w:val="20"/>
                <w:szCs w:val="20"/>
                <w:color w:val="auto"/>
              </w:rPr>
            </w:pPr>
            <w:r>
              <w:rPr>
                <w:rFonts w:ascii="Arial" w:cs="Arial" w:eastAsia="Arial" w:hAnsi="Arial"/>
                <w:sz w:val="14"/>
                <w:szCs w:val="14"/>
                <w:color w:val="auto"/>
                <w:w w:val="98"/>
              </w:rPr>
              <w:t>Nonaccrual</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86"/>
              </w:rPr>
              <w:t>Net Charge-offs (Recoveries)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9"/>
              </w:rPr>
              <w:t>Annualized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Percent of</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4"/>
              </w:rPr>
              <w:t>Percent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w w:val="95"/>
              </w:rPr>
              <w:t>Outstanding</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68"/>
              <w:spacing w:after="0" w:line="159" w:lineRule="exact"/>
              <w:rPr>
                <w:sz w:val="20"/>
                <w:szCs w:val="20"/>
                <w:color w:val="auto"/>
              </w:rPr>
            </w:pPr>
            <w:r>
              <w:rPr>
                <w:rFonts w:ascii="Arial" w:cs="Arial" w:eastAsia="Arial" w:hAnsi="Arial"/>
                <w:sz w:val="14"/>
                <w:szCs w:val="14"/>
                <w:color w:val="auto"/>
              </w:rPr>
              <w:t>Balances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Balances</w:t>
            </w:r>
          </w:p>
        </w:tc>
        <w:tc>
          <w:tcPr>
            <w:tcW w:w="92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3"/>
              </w:rPr>
              <w:t>Balances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83"/>
              </w:rPr>
              <w:t>Balances</w:t>
            </w:r>
          </w:p>
        </w:tc>
        <w:tc>
          <w:tcPr>
            <w:tcW w:w="9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6"/>
              </w:rPr>
              <w:t>Balances</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ind w:left="560"/>
              <w:spacing w:after="0" w:line="155"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6,032,744</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72,668</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1,647</w:t>
            </w:r>
          </w:p>
        </w:tc>
        <w:tc>
          <w:tcPr>
            <w:tcW w:w="3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1,553,283</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17,762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(43)</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1,206,961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17,118</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4,907,675</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48,178</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1,043,272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12,034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(42)</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3,534,328</w:t>
            </w:r>
          </w:p>
        </w:tc>
        <w:tc>
          <w:tcPr>
            <w:tcW w:w="3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69,062</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1,316</w:t>
            </w:r>
          </w:p>
        </w:tc>
        <w:tc>
          <w:tcPr>
            <w:tcW w:w="3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18,278,263</w:t>
            </w:r>
          </w:p>
        </w:tc>
        <w:tc>
          <w:tcPr>
            <w:tcW w:w="3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236,822</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3,535</w:t>
            </w:r>
          </w:p>
        </w:tc>
        <w:tc>
          <w:tcPr>
            <w:tcW w:w="320" w:type="dxa"/>
            <w:vAlign w:val="bottom"/>
          </w:tcPr>
          <w:p>
            <w:pPr>
              <w:spacing w:after="0"/>
              <w:rPr>
                <w:sz w:val="17"/>
                <w:szCs w:val="17"/>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4,327</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1,937</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1,821</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4,115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6,440</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20,468</w:t>
            </w:r>
          </w:p>
        </w:tc>
        <w:tc>
          <w:tcPr>
            <w:tcW w:w="340" w:type="dxa"/>
            <w:vAlign w:val="bottom"/>
            <w:vMerge w:val="continue"/>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863</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4.22%</w:t>
            </w:r>
          </w:p>
        </w:tc>
        <w:tc>
          <w:tcPr>
            <w:tcW w:w="100" w:type="dxa"/>
            <w:vAlign w:val="bottom"/>
            <w:vMerge w:val="continue"/>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7"/>
                <w:szCs w:val="17"/>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1,458,812</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41,119</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2.82%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780</w:t>
            </w:r>
          </w:p>
        </w:tc>
        <w:tc>
          <w:tcPr>
            <w:tcW w:w="3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73,449</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7,987</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41,949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3,441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1,327,869</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29,777</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(15)</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35,894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3,187</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487,787</w:t>
            </w:r>
          </w:p>
        </w:tc>
        <w:tc>
          <w:tcPr>
            <w:tcW w:w="3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27,049</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w:t>
            </w:r>
          </w:p>
        </w:tc>
        <w:tc>
          <w:tcPr>
            <w:tcW w:w="3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3,425,760</w:t>
            </w:r>
          </w:p>
        </w:tc>
        <w:tc>
          <w:tcPr>
            <w:tcW w:w="3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112,560</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1,214</w:t>
            </w:r>
          </w:p>
        </w:tc>
        <w:tc>
          <w:tcPr>
            <w:tcW w:w="320" w:type="dxa"/>
            <w:vAlign w:val="bottom"/>
          </w:tcPr>
          <w:p>
            <w:pPr>
              <w:spacing w:after="0"/>
              <w:rPr>
                <w:sz w:val="17"/>
                <w:szCs w:val="17"/>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1,267,271</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15,125</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1,316</w:t>
            </w:r>
          </w:p>
        </w:tc>
        <w:tc>
          <w:tcPr>
            <w:tcW w:w="3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811,212</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8,824</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667,613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6,632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44,534</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204,081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21,287</w:t>
            </w:r>
          </w:p>
        </w:tc>
        <w:tc>
          <w:tcPr>
            <w:tcW w:w="3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3,015,998</w:t>
            </w:r>
          </w:p>
        </w:tc>
        <w:tc>
          <w:tcPr>
            <w:tcW w:w="3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34,130</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2,089</w:t>
            </w:r>
          </w:p>
        </w:tc>
        <w:tc>
          <w:tcPr>
            <w:tcW w:w="320" w:type="dxa"/>
            <w:vAlign w:val="bottom"/>
          </w:tcPr>
          <w:p>
            <w:pPr>
              <w:spacing w:after="0"/>
              <w:rPr>
                <w:sz w:val="17"/>
                <w:szCs w:val="17"/>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891,927</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23,339</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2.62%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352</w:t>
            </w:r>
          </w:p>
        </w:tc>
        <w:tc>
          <w:tcPr>
            <w:tcW w:w="3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355,507</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774,931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8,955</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128,078</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307,238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41,883</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(20)</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2,499,564</w:t>
            </w:r>
          </w:p>
        </w:tc>
        <w:tc>
          <w:tcPr>
            <w:tcW w:w="340" w:type="dxa"/>
            <w:vAlign w:val="bottom"/>
            <w:vMerge w:val="continue"/>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45,316</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1.81%</w:t>
            </w:r>
          </w:p>
        </w:tc>
        <w:tc>
          <w:tcPr>
            <w:tcW w:w="100" w:type="dxa"/>
            <w:vAlign w:val="bottom"/>
            <w:vMerge w:val="continue"/>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533</w:t>
            </w:r>
          </w:p>
        </w:tc>
        <w:tc>
          <w:tcPr>
            <w:tcW w:w="320" w:type="dxa"/>
            <w:vAlign w:val="bottom"/>
          </w:tcPr>
          <w:p>
            <w:pPr>
              <w:spacing w:after="0"/>
              <w:rPr>
                <w:sz w:val="17"/>
                <w:szCs w:val="17"/>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821</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(36)</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(37.71)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4,601</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(12)</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8,167</w:t>
            </w:r>
          </w:p>
        </w:tc>
        <w:tc>
          <w:tcPr>
            <w:tcW w:w="340" w:type="dxa"/>
            <w:vAlign w:val="bottom"/>
            <w:vMerge w:val="continue"/>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516</w:t>
            </w:r>
          </w:p>
        </w:tc>
        <w:tc>
          <w:tcPr>
            <w:tcW w:w="320" w:type="dxa"/>
            <w:vAlign w:val="bottom"/>
          </w:tcPr>
          <w:p>
            <w:pPr>
              <w:spacing w:after="0"/>
              <w:rPr>
                <w:sz w:val="13"/>
                <w:szCs w:val="13"/>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6.32%</w:t>
            </w:r>
          </w:p>
        </w:tc>
        <w:tc>
          <w:tcPr>
            <w:tcW w:w="10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(49)</w:t>
            </w:r>
          </w:p>
        </w:tc>
        <w:tc>
          <w:tcPr>
            <w:tcW w:w="320" w:type="dxa"/>
            <w:vAlign w:val="bottom"/>
            <w:vMerge w:val="continue"/>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tabs>
          <w:tab w:leader="none" w:pos="42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Includes Delaware, Virginia, West Virginia and the District of Columbia.</w:t>
      </w:r>
    </w:p>
    <w:p>
      <w:pPr>
        <w:spacing w:after="0" w:line="27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Real estate and other foreclosed assets totaled $119 million at March 31, 2017, compared with $188 million at March 31, 2016 and $139 million at December 31, 2016. The decline in real estate and other foreclosed assets since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1" w:name="page62"/>
    <w:bookmarkEnd w:id="61"/>
    <w:p>
      <w:pPr>
        <w:jc w:val="both"/>
        <w:spacing w:after="0" w:line="249" w:lineRule="auto"/>
        <w:rPr>
          <w:sz w:val="20"/>
          <w:szCs w:val="20"/>
          <w:color w:val="auto"/>
        </w:rPr>
      </w:pPr>
      <w:r>
        <w:rPr>
          <w:rFonts w:ascii="Arial" w:cs="Arial" w:eastAsia="Arial" w:hAnsi="Arial"/>
          <w:sz w:val="21"/>
          <w:szCs w:val="21"/>
          <w:color w:val="auto"/>
        </w:rPr>
        <w:t>March 31, 2016 was attributable to lower levels of residential real estate properties associated with the Hudson City acquisition. Gains or losses resulting from sales of real estate and other foreclosed assets were not material in the three-month periods ended March 31, 2017, March 31, 2016 or December 31, 2016. At March 31, 2017, the Company’s holding of residential real estate-related properties comprised approximately 94% of foreclosed assets.</w:t>
      </w:r>
    </w:p>
    <w:p>
      <w:pPr>
        <w:spacing w:after="0" w:line="18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A comparative summary of nonperforming assets and certain past due loan data and credit quality ratios is presented in the accompanying table.</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RENOGIATED AND IMPAIRED LOAN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gridSpan w:val="4"/>
          </w:tcPr>
          <w:p>
            <w:pPr>
              <w:ind w:left="600"/>
              <w:spacing w:after="0"/>
              <w:rPr>
                <w:sz w:val="20"/>
                <w:szCs w:val="20"/>
                <w:color w:val="auto"/>
              </w:rPr>
            </w:pPr>
            <w:r>
              <w:rPr>
                <w:rFonts w:ascii="Arial" w:cs="Arial" w:eastAsia="Arial" w:hAnsi="Arial"/>
                <w:sz w:val="14"/>
                <w:szCs w:val="14"/>
                <w:color w:val="auto"/>
              </w:rPr>
              <w:t>2016 Quarters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First Quarter</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Fourth</w:t>
            </w:r>
          </w:p>
        </w:tc>
        <w:tc>
          <w:tcPr>
            <w:tcW w:w="3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color w:val="auto"/>
              </w:rPr>
              <w:t>Third</w:t>
            </w: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Second</w:t>
            </w:r>
          </w:p>
        </w:tc>
        <w:tc>
          <w:tcPr>
            <w:tcW w:w="1020" w:type="dxa"/>
            <w:vAlign w:val="bottom"/>
            <w:gridSpan w:val="2"/>
          </w:tcPr>
          <w:p>
            <w:pPr>
              <w:ind w:left="280"/>
              <w:spacing w:after="0"/>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3"/>
              </w:rPr>
              <w:t>(Dollars in thousands)</w:t>
            </w:r>
          </w:p>
        </w:tc>
        <w:tc>
          <w:tcPr>
            <w:tcW w:w="8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926,675</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920,015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837,362</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848,855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876,691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119,155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159,881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172,473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188,004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nonperforming assets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1,045,830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1,059,221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997,243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1,021,328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1,064,695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280,019</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300,659</w:t>
            </w:r>
          </w:p>
        </w:tc>
        <w:tc>
          <w:tcPr>
            <w:tcW w:w="3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317,282</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298,449</w:t>
            </w:r>
          </w:p>
        </w:tc>
        <w:tc>
          <w:tcPr>
            <w:tcW w:w="3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336,170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7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Nonaccrual loans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39,610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47,130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52,486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Accruing loans past due 90 days or more</w:t>
            </w: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252,552</w:t>
            </w:r>
          </w:p>
        </w:tc>
        <w:tc>
          <w:tcPr>
            <w:tcW w:w="3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282,659</w:t>
            </w:r>
          </w:p>
        </w:tc>
        <w:tc>
          <w:tcPr>
            <w:tcW w:w="3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282,077</w:t>
            </w:r>
          </w:p>
        </w:tc>
        <w:tc>
          <w:tcPr>
            <w:tcW w:w="3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269,962</w:t>
            </w:r>
          </w:p>
        </w:tc>
        <w:tc>
          <w:tcPr>
            <w:tcW w:w="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279,340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191,343</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190,374</w:t>
            </w:r>
          </w:p>
        </w:tc>
        <w:tc>
          <w:tcPr>
            <w:tcW w:w="3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217,559</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211,159</w:t>
            </w:r>
          </w:p>
        </w:tc>
        <w:tc>
          <w:tcPr>
            <w:tcW w:w="3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Acquired accruing loans past due 90 days or more(b)</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63,732</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61,144</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65,182</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68,591</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customer balance</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890,431</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927,446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981,105</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1,040,678</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1,124,776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Carrying amount</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552,935</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578,032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616,991</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662,059</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715,874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5"/>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net loans and leases and real estate</w:t>
            </w: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 foreclosed assets</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1.16%</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1.15%</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w:t>
            </w:r>
          </w:p>
        </w:tc>
      </w:tr>
      <w:tr>
        <w:trPr>
          <w:trHeight w:val="215"/>
        </w:trPr>
        <w:tc>
          <w:tcPr>
            <w:tcW w:w="5540" w:type="dxa"/>
            <w:vAlign w:val="bottom"/>
          </w:tcPr>
          <w:p>
            <w:pPr>
              <w:spacing w:after="0"/>
              <w:rPr>
                <w:sz w:val="20"/>
                <w:szCs w:val="20"/>
                <w:color w:val="auto"/>
              </w:rPr>
            </w:pPr>
            <w:r>
              <w:rPr>
                <w:rFonts w:ascii="Arial" w:cs="Arial" w:eastAsia="Arial" w:hAnsi="Arial"/>
                <w:sz w:val="18"/>
                <w:szCs w:val="18"/>
                <w:color w:val="auto"/>
              </w:rPr>
              <w:t>Accruing loans past due 90 days or more (a) to total loans and</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leases, net of unearned discount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5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23" w:lineRule="exact"/>
        <w:rPr>
          <w:rFonts w:ascii="Arial" w:cs="Arial" w:eastAsia="Arial" w:hAnsi="Arial"/>
          <w:sz w:val="18"/>
          <w:szCs w:val="18"/>
          <w:i w:val="1"/>
          <w:iCs w:val="1"/>
          <w:color w:val="auto"/>
        </w:rPr>
      </w:pPr>
    </w:p>
    <w:p>
      <w:pPr>
        <w:ind w:left="520" w:hanging="512"/>
        <w:spacing w:after="0" w:line="250" w:lineRule="auto"/>
        <w:tabs>
          <w:tab w:leader="none" w:pos="5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23"/>
        <w:spacing w:after="0"/>
        <w:tabs>
          <w:tab w:leader="none" w:pos="460" w:val="left"/>
        </w:tabs>
        <w:numPr>
          <w:ilvl w:val="1"/>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1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including loans obtained in the acquisition of Hudson City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21"/>
          <w:szCs w:val="21"/>
          <w:color w:val="auto"/>
        </w:rPr>
        <w:t>were not classified as purchased impaired;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8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Management cautiously and conservatively evaluated the allowance for credit losses as of March 31, 2017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spacing w:after="0" w:line="4" w:lineRule="exact"/>
        <w:rPr>
          <w:sz w:val="20"/>
          <w:szCs w:val="20"/>
          <w:color w:val="auto"/>
        </w:rPr>
      </w:pPr>
    </w:p>
    <w:p>
      <w:pPr>
        <w:jc w:val="both"/>
        <w:ind w:firstLine="8"/>
        <w:spacing w:after="0" w:line="257" w:lineRule="auto"/>
        <w:tabs>
          <w:tab w:leader="none" w:pos="33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amount of loan growth experienced by the Company. While there has been general improvement in economic conditions, concerns continue to exist about the strength and sustainability of such improvements; the volatile nature of global markets, including the impact international economic conditions could have on the U.S. economy; Federal Reserve positioning of monetary policy; and continued stagnant population growth in the upstate New York and central Pennsylvania regions (approximately 55% of the Company’s loans and leases are to customers in New York State and Pennsylvania).</w:t>
      </w:r>
    </w:p>
    <w:p>
      <w:pPr>
        <w:spacing w:after="0" w:line="18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utilizes a loan grading system which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$2.5 billion at March 31, 2017, compared with $2.3 billion at March 31, 2016 and $2.4 billion at December 31, 2016. Approximately 99% of loan balances added to the criticized category during the recent quarter were less than 90 days past due and 91% had a current payment status. Given payment performance, amount of supporting collateral, and, in certain instances, the existence of loan guarantees, the Company still expects to collect the full outstanding principal balance on most of those loans.</w:t>
      </w:r>
    </w:p>
    <w:p>
      <w:pPr>
        <w:spacing w:after="0" w:line="166"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8"/>
          <w:szCs w:val="18"/>
          <w:color w:val="auto"/>
        </w:rPr>
        <w:t>Loan officers in different geographic locations with the support of the Company’s credit department personnel are responsible to continuously review and reassign loan grades to pass and criticized loans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3" w:name="page64"/>
    <w:bookmarkEnd w:id="63"/>
    <w:p>
      <w:pPr>
        <w:jc w:val="both"/>
        <w:spacing w:after="0" w:line="285" w:lineRule="auto"/>
        <w:rPr>
          <w:sz w:val="20"/>
          <w:szCs w:val="20"/>
          <w:color w:val="auto"/>
        </w:rPr>
      </w:pPr>
      <w:r>
        <w:rPr>
          <w:rFonts w:ascii="Arial" w:cs="Arial" w:eastAsia="Arial" w:hAnsi="Arial"/>
          <w:sz w:val="18"/>
          <w:szCs w:val="18"/>
          <w:color w:val="auto"/>
        </w:rPr>
        <w:t>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March 31, 2017, approximately 55% of the Company’s home equity portfolio consisted of first lien loans and lines of credit. Of the remaining junior lien loans in the portfolio, approximately 70% (or approximately 32%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March 31, 2017, the balance of junior lien loans and lines that were in nonaccrual status solely as a result of first lien loan performance was $13 million, compared with $23 million at March 31, 2016 and $12 million at December 31, 2016.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March 31, 2017, approximately 83% of all outstanding balances of home equity lines of credit related to lines that were still in the draw period, the weighted-average remaining draw periods were approximately five years, and approximately 21% were making contractually allowed payments that do not include any repayment of principal.</w:t>
      </w:r>
    </w:p>
    <w:p>
      <w:pPr>
        <w:spacing w:after="0" w:line="200" w:lineRule="exact"/>
        <w:rPr>
          <w:sz w:val="20"/>
          <w:szCs w:val="20"/>
          <w:color w:val="auto"/>
        </w:rPr>
      </w:pPr>
    </w:p>
    <w:p>
      <w:pPr>
        <w:spacing w:after="0" w:line="205"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Except for consumer loans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4" w:name="page65"/>
    <w:bookmarkEnd w:id="64"/>
    <w:p>
      <w:pPr>
        <w:jc w:val="both"/>
        <w:spacing w:after="0" w:line="270" w:lineRule="auto"/>
        <w:rPr>
          <w:sz w:val="20"/>
          <w:szCs w:val="20"/>
          <w:color w:val="auto"/>
        </w:rPr>
      </w:pPr>
      <w:r>
        <w:rPr>
          <w:rFonts w:ascii="Arial" w:cs="Arial" w:eastAsia="Arial" w:hAnsi="Arial"/>
          <w:sz w:val="19"/>
          <w:szCs w:val="19"/>
          <w:color w:val="auto"/>
        </w:rPr>
        <w:t>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7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Management believes that the allowance for credit losses at March 31, 2017 appropriately reflected credit losses inherent in the portfolio as of that date. The allowance for credit losses was $1.0 billion, or 1.12% of total loans and leases at March 31, 2017, compared with $963 million or 1.10% at March 31, 2016 and $989 million or 1.09% at December 31, 2016. The ratio of the allowance to total loans and leases at each respective date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 for credit losses be recognized for incurred losses inherent in the portfolio.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108% at March 31, 2017, compared with 110% at March 31, 2016 and 107% at December 31, 2016.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Other income totaled $447 million in the initial quarter of 2017, compared with $421 million in the first quarter of 2016 and $465 million in the fourth quarter of 2016. The rise in other income during the recent quarter as compared with the year-earlier quarter resulted largely from higher trust income and credit-related fees. As compared with the fourth quarter of 2016, the recent quarter decline in other income reflected lower mortgage banking revenues.</w:t>
      </w:r>
    </w:p>
    <w:p>
      <w:pPr>
        <w:spacing w:after="0" w:line="186"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Mortgage banking revenues were $85 million in the recent quarter, compared with $82 million in the year-earlier quarter and $99 million in the final 2016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Residential mortgage banking revenues, consisting of realized gains from sales of residential real estate loans and loan servicing rights, unrealized gains and losses on residential real estate loans held for sale and related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5" w:name="page66"/>
    <w:bookmarkEnd w:id="65"/>
    <w:p>
      <w:pPr>
        <w:jc w:val="both"/>
        <w:spacing w:after="0" w:line="304" w:lineRule="auto"/>
        <w:rPr>
          <w:sz w:val="20"/>
          <w:szCs w:val="20"/>
          <w:color w:val="auto"/>
        </w:rPr>
      </w:pPr>
      <w:r>
        <w:rPr>
          <w:rFonts w:ascii="Arial" w:cs="Arial" w:eastAsia="Arial" w:hAnsi="Arial"/>
          <w:sz w:val="18"/>
          <w:szCs w:val="18"/>
          <w:color w:val="auto"/>
        </w:rPr>
        <w:t>commitments, residential real estate loan servicing fees, and other residential real estate loan-related fees and income, were $58 million in the first quarter of 2017, compared with $60 million in the year-earlier quarter and $63 million in the fourth quarter of 2016. The lower residential mortgage banking revenues in the recent quarter as compared with the final quarter of 2016 were largely the result of decreased gains from origination activities, due to lower volumes of loans originated for sale and narrower margins on those originations.</w:t>
      </w:r>
    </w:p>
    <w:p>
      <w:pPr>
        <w:spacing w:after="0" w:line="140"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New commitments to originate residential real estate loans to be sold were approximately $727 million in 2017’s first quarter, compared with $659 million in the year-earlier quarter and $760 million in the final quarter of 2016.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$14 million in each of the first quarters of 2017 and 2016, compared with gains of $17 million in the fourth quarter of 2016.</w:t>
      </w:r>
    </w:p>
    <w:p>
      <w:pPr>
        <w:spacing w:after="0" w:line="176"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Loans held for sale that were secured by residential real estate aggregated $297 million and $269 million at March 31, 2017 and 2016, respectively, and $414 million at December 31, 2016. Commitments to sell residential real estate loans and commitments to originate residential real estate loans for sale at pre-determined rates totaled $641 million and $474 million, respectively, at March 31, 2017, compared with $646 million and $521 million, respectively, at March 31, 2016, and $777 million and $479 million, respectively, at December 31, 2016. Net recognized unrealized gains on residential real estate loans held for sale, commitments to sell loans, and commitments to originate loans for sale were $13 million and $17 million at March 31, 2017 and March 31, 2016, respectively, and $15 million at December 31, 2016. Changes in such net unrealized gains are recorded in mortgage banking revenues and resulted in net decreases in revenues of $2 million and $8 million in the two most recent quarters, compared with a net increase in revenues of $1 million in the first quarter of 2016.</w:t>
      </w:r>
    </w:p>
    <w:p>
      <w:pPr>
        <w:spacing w:after="0" w:line="20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Revenues from servicing residential real estate loans for others were $44 million in the first quarter of 2017, compared with $45 million and $46 million during the quarters ended March 31, 2016 and December 31, 2016, respectively. Residential real estate loans serviced for others totaled $63.7 billion at March 31, 2017, $60.0 billion at March 31, 2016, and $53.2 billion at December 31, 2016. Reflected in residential real estate loans serviced for others were loans sub-serviced for others of $40.8 billion, $36.3 billion and $30.4 billion at March 31, 2017, March 31, 2016 and December 31, 2016, respectively. Revenues earned for sub-servicing loans totaled $23 million in each of the quarters ended March 31, 2017 and March 31, 2016, compared with $25 million in the final quarter of 2016. During March 2017, the Company acquired additional sub-servicing of residential real estate loans having outstanding principal balances of approximately $12.4 billion. The additional sub-servicing portfolio did not have a significant impact on residential mortgage banking revenues in the first quarter of 2017. The contractual servicing rights associated with loans sub-serviced by the Company were predominantly held by affiliates of Bayview Lending Group LLC (“BLG”). Information about the Company’s relationship with BLG and its affiliates is included in note 15 of Notes to Financial Statements.</w:t>
      </w:r>
    </w:p>
    <w:p>
      <w:pPr>
        <w:spacing w:after="0" w:line="166"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Capitalized servicing rights consist largely of servicing associated with loans sold by the Company. Capitalized residential mortgage loan servicing assets aggregated $118 million at each of March 31, 2017 and March 31, 2016 and $117 million at December 31, 2016.</w:t>
      </w:r>
    </w:p>
    <w:p>
      <w:pPr>
        <w:spacing w:after="0" w:line="18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Commercial mortgage banking revenues aggregated $27 million in the first three months of 2017, compared with $22 million in the similar 2016 period and $36 million in the fourth quarter of 2016. Included in such amounts were revenues from loan origination and sales activities of $15 million in the first quarter of 2017, $12 million in the year-earlier quarter and $24 million in the final quarter of 2016. Commercial real estate loans originated for sale to other investors were approximately $308 million in the recent quarter, compared with $355 million and $1.3 billion in the first and fourth quarters of 2016, respectively. Loan servicing revenues totaled $12 million in the two most recent quarters, compared with $10 million in the first quarter of 2016. Capitalized commercial mortgage servicing assets were $106 million and $84 million at March 31, 2017 and March 31, 2016, respectively, and $104 million at December 31, 2016. Commercial real estate loans serviced for other investors totaled $15.1 billion at March 31, 2017, $10.9 billion a year earlier and $11.8 billion at December 31, 2016 and included $3.0 billion, $2.6 billion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6" w:name="page67"/>
    <w:bookmarkEnd w:id="66"/>
    <w:p>
      <w:pPr>
        <w:jc w:val="both"/>
        <w:spacing w:after="0" w:line="273" w:lineRule="auto"/>
        <w:rPr>
          <w:sz w:val="20"/>
          <w:szCs w:val="20"/>
          <w:color w:val="auto"/>
        </w:rPr>
      </w:pPr>
      <w:r>
        <w:rPr>
          <w:rFonts w:ascii="Arial" w:cs="Arial" w:eastAsia="Arial" w:hAnsi="Arial"/>
          <w:sz w:val="19"/>
          <w:szCs w:val="19"/>
          <w:color w:val="auto"/>
        </w:rPr>
        <w:t>$2.8 billion, respectively, of loan balances for which investors had recourse to the Company if such balances are ultimately uncollectible. In January 2017, the Company purchased commercial mortgage servicing rights and other assets which increased commercial real estate loans serviced for others by approximately $2.7 billion. The purchase price and assets acquired were not material to the Company’s consolidated financial position. Revenues associated with the acquired servicing rights and other assets were not significant in the first quarter of 2017. Commitments to sell commercial real estate loans and commitments to originate commercial real estate loans for sale were $373 million and $298 million, respectively, at March 31, 2017, $312 million and $184 million, respectively, at March 31, 2016 and $713 million and $70 million, respectively, at December 31, 2016. Commercial real estate loans held for sale at March 31, 2017, March 31, 2016 and December 31, 2016 were $75 million, $128 million and $643 million, respectively. The higher balance at December 31, 2016 reflected loans originated late in 2016 that were not delivered to investors until 2017.</w:t>
      </w:r>
    </w:p>
    <w:p>
      <w:pPr>
        <w:spacing w:after="0" w:line="167" w:lineRule="exact"/>
        <w:rPr>
          <w:sz w:val="20"/>
          <w:szCs w:val="20"/>
          <w:color w:val="auto"/>
        </w:rPr>
      </w:pPr>
    </w:p>
    <w:p>
      <w:pPr>
        <w:jc w:val="both"/>
        <w:ind w:firstLine="518"/>
        <w:spacing w:after="0" w:line="244" w:lineRule="auto"/>
        <w:rPr>
          <w:sz w:val="20"/>
          <w:szCs w:val="20"/>
          <w:color w:val="auto"/>
        </w:rPr>
      </w:pPr>
      <w:r>
        <w:rPr>
          <w:rFonts w:ascii="Arial" w:cs="Arial" w:eastAsia="Arial" w:hAnsi="Arial"/>
          <w:sz w:val="21"/>
          <w:szCs w:val="21"/>
          <w:color w:val="auto"/>
        </w:rPr>
        <w:t>Service charges on deposit accounts were $104 million in the recent quarter, compared with $102 million in the year-earlier quarter and $105 million in the fourth quarter of 2016. Brokerage services income, which includes revenues from the sale of mutual funds and annuities and securities brokerage fees, aggregated $17 million in the first quarter of 2017, compared with $16 million in the first quarter of 2016 and $15 million in the fourth quarter of 2016. Trading account and foreign exchange activity resulted in gains of $10 million during the most recent quarter, compared with gains of $7 million in the first quarter of 2016 and $8 million in the final quarter of 2016.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97"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8"/>
          <w:szCs w:val="18"/>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$120 million in the recent quarter, compared with $111 million in the year-earlier quarter and $122 million in the fourth quarter of 2016. Revenues associated with the ICS business were approximately $60 million, $52 million and $61 million during the quarters ended March 31, 2017, March 31, 2016 and December 31, 2016, respectively. The higher revenues in the two most recent quarters as compared with the first quarter of 2016 reflect increased fees earned from money-market funds and stronger sales activities. Revenues attributable to WAS totaled approximately $54 million, $51 million and $53 million for the three-month periods ended March 31, 2017, March 31, 2016 and December 31, 2016, respectively. Total trust assets, which include assets under management and assets under administration, aggregated $219.0 billion at March 31, 2017, compared with $200.0 billion at March 31, 2016 and $210.6 billion at December 31, 2016. Trust assets under management were $73.6 billion, $66.2 billion and $70.7 billion at March 31, 2017, March 31, 2016 and December 31, 2016, respectively. Additional trust income from investment management activities was $6 million in the recent quarter, compared with $8 million in each of the first and fourth quarters of 2016. That income largely relates to fees earned from retail customer investment accounts and from an affiliated investment manager. Assets managed by that affiliated manager were $6.9 billion at March 31, 2017, $6.7 billion at March 31, 2016 and $7.3 billion at December 31, 2016. The Company’s trust income from that affiliate was not material during any of the quarters then-ended. The Company’s proprietary mutual funds had assets of $10.7 billion, $11.4 billion and $10.9 billion at March 31, 2017, March 31, 2016 and December 31, 2016, respectively.</w:t>
      </w:r>
    </w:p>
    <w:p>
      <w:pPr>
        <w:spacing w:after="0" w:line="200" w:lineRule="exact"/>
        <w:rPr>
          <w:sz w:val="20"/>
          <w:szCs w:val="20"/>
          <w:color w:val="auto"/>
        </w:rPr>
      </w:pPr>
    </w:p>
    <w:p>
      <w:pPr>
        <w:spacing w:after="0" w:line="208"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Other revenues from operations were $111 million in the first quarter of 2017, compared with $102 million in the year-earlier quarter and $116 million in the fourth quarter of 2016. As compared with the initial 2016 quarter, the recent quarter’s revenues reflect higher letter of credit and other credit-related fees, including loan syndication fees. Included in other revenues from operations were the following significant components. Letter of credit and other credit-related fees aggregated $34 million in the recent quarter, compared with $28 million in the initial quarter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7" w:name="page68"/>
    <w:bookmarkEnd w:id="67"/>
    <w:p>
      <w:pPr>
        <w:jc w:val="both"/>
        <w:spacing w:after="0" w:line="244" w:lineRule="auto"/>
        <w:rPr>
          <w:sz w:val="20"/>
          <w:szCs w:val="20"/>
          <w:color w:val="auto"/>
        </w:rPr>
      </w:pPr>
      <w:r>
        <w:rPr>
          <w:rFonts w:ascii="Arial" w:cs="Arial" w:eastAsia="Arial" w:hAnsi="Arial"/>
          <w:sz w:val="21"/>
          <w:szCs w:val="21"/>
          <w:color w:val="auto"/>
        </w:rPr>
        <w:t>of 2016 and $31 million in the final quarter of 2016. Tax-exempt income from bank owned life insurance, which includes increases in the cash surrender value of life insurance policies and benefits received, totaled $15 million in the first quarter of 2017, compared with $16 million in the first quarter of 2016 and $13 million in the final 2016 quarter. Revenues from merchant discount and credit card fees were $27 million in the recent quarter, compared with $26 million and $30 million in the first and fourth quarters of 2016, respectively. Insurance-related sales commissions and other revenues totaled $12 million in each of the first quarters of 2017 and 2016, compared with $11 million in the fourth quarter of 2016. M&amp;T’s share of the operating losses of Bayview Lending Group LLC (“BLG”) recognized using the equity method of accounting was $2 million in each of the two most recent quarters, compared with $4 million in the first quarter of 2016. Information about the Company’s relationship with BLG and its affiliates is included in note 15 of Notes to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Expense</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Other expense aggregated $788 million in the first quarter of 2017, compared with $776 million in the year-earlier quarter and $769 million in the fourth quarter of 2016. Included in those amounts are expenses considered to be “nonoperating” in nature consisting of amortization of core deposit and other intangible assets of $8 million in 2017’s initial quarter, compared with $12 million in the first quarter of 2016 and $9 million in the final 2016 quarter, and merger-related expenses of $23 million in the first quarter of 2016. There were no merger-related expenses during the first quarter of 2017 or the fourth quarter of 2016. Exclusive of those nonoperating expenses, noninterest operating expenses were $779 million in the first quarter of 2017, compared with $741 million in the corresponding 2016 quarter and $760 million in the fourth quarter of 2016. The most significant factors for the increased level of operating expenses in the recent quarter as compared with the year-earlier quarter were higher salaries and employee benefits expenses. The recent quarter’s rise in noninterest operating expenses as compared with the fourth quarter of 2016 reflected seasonally higher stock-based compensation and employee benefits expenses offset, in part, by the effect of a $30 million contribution to The M&amp;T Charitable Foundation in the final 2016 quarter. Table 2 provides a reconciliation of other expense to noninterest operating expense.</w:t>
      </w:r>
    </w:p>
    <w:p>
      <w:pPr>
        <w:spacing w:after="0" w:line="19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Salaries and employee benefits expense aggregated $450 million in 2017’s first quarter, compared with $432 million in the year-earlier quarter and $393 million in the fourth quarter of 2016. Merger-related salaries and employee benefits expenses were $5 million in the first quarter of 2016. The increased salaries and employee benefits expense in the recent quarter as compared with the first quarter of 2016 largely reflects the impact of annual merit increases for employees and higher incentive-based compensation. The higher level of expenses in the recent quarter as compared with the final quarter of 2016 was attributable to seasonally higher stock-based compensation, medical plan costs, payroll-related taxes, unemployment insurance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2017 and 2016 included $20 million and $16 million, respectively, that would have been recognized over the normal vesting period if not for the accelerated expense recognition provisions of GAAP. That acceleration had no effect on the value of stock-based compensation awarded to employees. Salaries and employee benefits expense included stock-based compensation of $33 million and $29 million in the three-month periods ended March 31, 2017 and March 31, 2016, respectively, and $9 million in the three-month period ended December 31, 2016. The number of full-time equivalent employees was 16,409 at March 31, 2017, compared with 16,718 and 16,593 at March 31, 2016 and December 31, 2016, respectively.</w:t>
      </w:r>
    </w:p>
    <w:p>
      <w:pPr>
        <w:spacing w:after="0" w:line="176"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Excluding the nonoperating expense items described earlier from each quarter, nonpersonnel operating expenses were $330 million and $314 million in the quarters ended March 31, 2017 and March 31, 2016, respectively, and $367 million in the final quarter of 2016. The increase in nonpersonnel operating expenses in the recent quarter as compared with the year-earlier quarter reflected increased Federal Deposit Insurance Corporation (“FDIC”) assessments and higher outside data processing and software costs. Higher nonpersonnel operating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21"/>
          <w:szCs w:val="21"/>
          <w:color w:val="auto"/>
        </w:rPr>
        <w:t>expenses in the fourth quarter of 2016 as compared with the recent quarter were predominately due to the $30 million cash contribution made in the final 2016 quarter to The M&amp;T Charitable Foundation.</w:t>
      </w:r>
    </w:p>
    <w:p>
      <w:pPr>
        <w:spacing w:after="0" w:line="171" w:lineRule="exact"/>
        <w:rPr>
          <w:sz w:val="20"/>
          <w:szCs w:val="20"/>
          <w:color w:val="auto"/>
        </w:rPr>
      </w:pPr>
    </w:p>
    <w:p>
      <w:pPr>
        <w:jc w:val="both"/>
        <w:ind w:right="20" w:firstLine="518"/>
        <w:spacing w:after="0" w:line="253"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56.9% during the recent quarter, compared with 57.0% and 56.4% in the first and fourth quarters of 2016, respectively. The calculation of the efficiency ratio is presented in Table 2.</w:t>
      </w:r>
    </w:p>
    <w:p>
      <w:pPr>
        <w:spacing w:after="0" w:line="2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provision for income taxes for each of the first quarters of 2017 and 2016 was $169 million, compared with $180 million in the fourth quarter of 2016. As noted earlier, M&amp;T adopted new accounting guidance for share-based transactions during the first quarter of 2017. That guidance requires that all excess tax benefits and tax deficiencies associated with share-based compensation be recognized as a component of income tax expense in the income statement. Previously, tax effects resulting from changes to M&amp;T’s share price subsequent to the grant date were recorded through shareholders’ equity at the time of vesting or exercise. The adoption of the amended accounting guidance resulted in an $18 million reduction of income tax expense in the initial 2017 quarter. The effective tax rates were 32.7%, 36.2% and 35.2% for the quarters ended March 31, 2017, March 31, 2016 and December 31, 2016, respectively. Excluding the impact of the adoption of the amended accounting guidance, the effective tax rate would have been 36.2% in the first quarter of 2017.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66"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Company’s effective tax rate in future periods will also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Shareholders’ equity was $16.2 billion at March 31, 2017, representing 13.16% of total assets, compared with $16.4 billion or 13.12% a year earlier and $16.5 billion or 13.35% at December 31, 2016.</w:t>
      </w:r>
    </w:p>
    <w:p>
      <w:pPr>
        <w:spacing w:after="0" w:line="6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Included in shareholders’ equity was preferred stock with financial statement carrying values of $1.2 billion at each of March 31, 2017, March 31, 2016 and December 31, 2016. Further information concerning M&amp;T’s preferred stock can be found in note 6 of Notes to Financial Statements.</w:t>
      </w:r>
    </w:p>
    <w:p>
      <w:pPr>
        <w:spacing w:after="0" w:line="182"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Reflecting the impact of repurchases of M&amp;T’s common stock, common shareholders’ equity was $15.0 billion, or $97.40 per share, at March 31, 2017, compared with $15.1 billion, or $95.00 per share, a year earlier and $15.3 billion, or $97.64 per share, at December 31, 2016. Tangible equity per common share, which excludes goodwill and core deposit and other intangible assets and applicable deferred tax balances, was $67.16 at the end of the recent quarter, compared with $65.65 at March 31, 2016 and $67.85 at December 31, 2016. The Company’s ratio of tangible common equity to tangible assets was 8.71% at each of March 31, 2017 and March 31, 2016, compared with 8.92% at December 31, 2016. Reconciliations of total common shareholders’ equity and tangible common equity and total assets and tangible assets as of each of those respective dates are presented in table 2.</w:t>
      </w:r>
    </w:p>
    <w:p>
      <w:pPr>
        <w:spacing w:after="0" w:line="165"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$18 million, or $.11 per common share, at March 31, 2017, compared with net unrealized gains of $145 million, or $.91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21"/>
          <w:szCs w:val="21"/>
          <w:color w:val="auto"/>
        </w:rPr>
        <w:t>per common share, at March 31, 2016 and net unrealized losses of $16 million, or $.10 per common share, at December 31, 2016. Changes in unrealized gains and losses on investment securities are predominantly reflective of the impact of changes in interest rates on the values of such securities. Information about unrealized gains and losses as of March, 31, 2017 and December 31, 2016 is included in note 3 of Notes to Financial Statements.</w:t>
      </w:r>
    </w:p>
    <w:p>
      <w:pPr>
        <w:spacing w:after="0" w:line="186"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Reflected in net unrealized losses at March 31, 2017 were pre-tax effect unrealized gains of $125 million on available-for-sale investment securities with an amortized cost of $5.0 billion and pre-tax effect unrealized losses of $135 million on securities with an amortized cost of $7.6 billion. The pre-tax effect unrealized losses reflect $15 million of losses on trust preferred securities issued by financial institutions having an amortized cost of $110 million and an estimated fair value of $95 million (generally considered Level 2 valuations). Further information concerning the Company’s valuations of available-for-sale investment securities is provided in note 12 of Notes to Financial Statements.</w:t>
      </w:r>
    </w:p>
    <w:p>
      <w:pPr>
        <w:spacing w:after="0" w:line="19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As of March, 31, 2017, based on a review of each of the securities in the investment securities portfolio, the Company concluded that the declines in the values of any securities containing an unrealized loss were temporary and that any other-than-temporary impairment charges were not appropriate. As of March 31, 2017,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March 31, 2017 and December 31, 2016, the Company had in its held-to-maturity portfolio privately issued mortgage-backed securities with an amortized cost basis of $153 million and $158 million, respectively, and a fair value of $119 million and $121 million, respectively. At March 31, 2017, 85% of the mortgage-backed securities were in the most senior tranche of the securitization structure with 24% being independently rated as investment grade. The mortgage-backed securities are generally collateralized by residential and small-balance commercial real estate loans originated between 2004 and 2008 and had a weighted-average credit enhancement of 16% at March 31, 2017,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28% and 71% respectively. Given the securitization structure, the bonds held by the Company may defer interest payments in certain circumstances, but after considering the repayment structure and estimated future collateral cash flows of each individual senior and subordinate tranche bond, the Company has concluded that as of March 31, 2017, those privately issued mortgage-backed securities were not other-than-temporarily impaired. Nevertheless, it is possible that adverse changes in the estimated future performance of mortgage loan collateral underlying such securities could impact the Company’s conclusions.</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21"/>
          <w:szCs w:val="21"/>
          <w:color w:val="auto"/>
        </w:rPr>
        <w:t>Adjustments to reflect the funded status of defined benefit pension and other postretirement plans, net of applicable tax effect, reduced accumulated other comprehensive income by $269 million, or $1.75 per common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21"/>
          <w:szCs w:val="21"/>
          <w:color w:val="auto"/>
        </w:rPr>
        <w:t>share, at March 31, 2017, $293 million, or $1.84 per common share, at March 31, 2016 and $273 million, or $1.75 per common share, at December 31, 2016.</w:t>
      </w:r>
    </w:p>
    <w:p>
      <w:pPr>
        <w:spacing w:after="0" w:line="130" w:lineRule="exact"/>
        <w:rPr>
          <w:sz w:val="20"/>
          <w:szCs w:val="20"/>
          <w:color w:val="auto"/>
        </w:rPr>
      </w:pPr>
    </w:p>
    <w:p>
      <w:pPr>
        <w:jc w:val="both"/>
        <w:ind w:firstLine="471"/>
        <w:spacing w:after="0" w:line="283" w:lineRule="auto"/>
        <w:rPr>
          <w:sz w:val="20"/>
          <w:szCs w:val="20"/>
          <w:color w:val="auto"/>
        </w:rPr>
      </w:pPr>
      <w:r>
        <w:rPr>
          <w:rFonts w:ascii="Arial" w:cs="Arial" w:eastAsia="Arial" w:hAnsi="Arial"/>
          <w:sz w:val="19"/>
          <w:szCs w:val="19"/>
          <w:color w:val="auto"/>
        </w:rPr>
        <w:t>Consistent with its revised 2016 Capital Plan filed with the Federal Reserve, M&amp;T repurchased 3,233,196 common shares for $532 million during the first quarter of 2017. M&amp;T may repurchase up to $231 million of its common shares during the second quarter of 2017. During the fourth quarter of 2016, M&amp;T repurchased 300,000 shares of its common stock for $37 million. Pursuant to the 2015 Capital Plan, M&amp;T repurchased 948,545 shares of its common stock for $100 million in the initial 2016 quarter.</w:t>
      </w:r>
    </w:p>
    <w:p>
      <w:pPr>
        <w:spacing w:after="0" w:line="117" w:lineRule="exact"/>
        <w:rPr>
          <w:sz w:val="20"/>
          <w:szCs w:val="20"/>
          <w:color w:val="auto"/>
        </w:rPr>
      </w:pPr>
    </w:p>
    <w:p>
      <w:pPr>
        <w:jc w:val="both"/>
        <w:ind w:firstLine="476"/>
        <w:spacing w:after="0" w:line="258" w:lineRule="auto"/>
        <w:rPr>
          <w:sz w:val="20"/>
          <w:szCs w:val="20"/>
          <w:color w:val="auto"/>
        </w:rPr>
      </w:pPr>
      <w:r>
        <w:rPr>
          <w:rFonts w:ascii="Arial" w:cs="Arial" w:eastAsia="Arial" w:hAnsi="Arial"/>
          <w:sz w:val="20"/>
          <w:szCs w:val="20"/>
          <w:color w:val="auto"/>
        </w:rPr>
        <w:t>Also in accordance with the revised 2016 Capital Plan, during the first quarter of 2017 M&amp;T’s Board of Directors authorized an increase in the quarterly common stock dividend to $.75 per common share from the previous rate of $.70 per common share. As a result, cash dividends declared on M&amp;T’s common stock totaled $116 million in the initial quarter of 2017, compared with $112 million and $110 million in the three-month periods ended March 31, 2016 and December 31, 2016, respectively. Cash dividends declared on preferred stock aggregated $18 million in the first quarter of 2017, compared with $20 million in each of the first and fourth quarters of 2016. The decline in preferred stock dividends in the recent quarter from the 2016 periods resulted from the lower dividend rate for the $500 million of Series F preferred stock issued in October 2016 as compared with the like amount of Series D preferred stock that had been redeemed in December 2016.</w:t>
      </w:r>
    </w:p>
    <w:p>
      <w:pPr>
        <w:spacing w:after="0" w:line="143" w:lineRule="exact"/>
        <w:rPr>
          <w:sz w:val="20"/>
          <w:szCs w:val="20"/>
          <w:color w:val="auto"/>
        </w:rPr>
      </w:pPr>
    </w:p>
    <w:p>
      <w:pPr>
        <w:jc w:val="both"/>
        <w:ind w:right="20" w:firstLine="476"/>
        <w:spacing w:after="0" w:line="264"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103"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136" w:lineRule="exact"/>
        <w:rPr>
          <w:rFonts w:ascii="Arial" w:cs="Arial" w:eastAsia="Arial" w:hAnsi="Arial"/>
          <w:sz w:val="21"/>
          <w:szCs w:val="21"/>
          <w:color w:val="auto"/>
        </w:rPr>
      </w:pPr>
    </w:p>
    <w:p>
      <w:pPr>
        <w:ind w:left="760" w:hanging="374"/>
        <w:spacing w:after="0" w:line="264" w:lineRule="auto"/>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130" w:lineRule="exact"/>
        <w:rPr>
          <w:rFonts w:ascii="Arial" w:cs="Arial" w:eastAsia="Arial" w:hAnsi="Arial"/>
          <w:sz w:val="21"/>
          <w:szCs w:val="21"/>
          <w:color w:val="auto"/>
        </w:rPr>
      </w:pPr>
    </w:p>
    <w:p>
      <w:pPr>
        <w:ind w:left="760" w:right="20" w:hanging="374"/>
        <w:spacing w:after="0" w:line="264" w:lineRule="auto"/>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130" w:lineRule="exact"/>
        <w:rPr>
          <w:rFonts w:ascii="Arial" w:cs="Arial" w:eastAsia="Arial" w:hAnsi="Arial"/>
          <w:sz w:val="21"/>
          <w:szCs w:val="21"/>
          <w:color w:val="auto"/>
        </w:rPr>
      </w:pPr>
    </w:p>
    <w:p>
      <w:pPr>
        <w:ind w:left="760" w:hanging="374"/>
        <w:spacing w:after="0" w:line="264" w:lineRule="auto"/>
        <w:tabs>
          <w:tab w:leader="none" w:pos="760" w:val="left"/>
        </w:tabs>
        <w:numPr>
          <w:ilvl w:val="0"/>
          <w:numId w:val="23"/>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13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In addition, capital regulations provide for the phase-in of a “capital conservation buffer” composed entirely of CET1 on top of these minimum risk-weighted asset ratios. When fully phased-in on January 1, 2019 the capital conservation buffer will be 2.5%. For 2017, the phase-in transition portion of that buffer is 1.25%.</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March 31, 2017 are presented in the accompanying table.</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March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color w:val="auto"/>
              </w:rPr>
              <w:t>M&amp;T</w:t>
            </w:r>
          </w:p>
        </w:tc>
        <w:tc>
          <w:tcPr>
            <w:tcW w:w="1200" w:type="dxa"/>
            <w:vAlign w:val="bottom"/>
          </w:tcPr>
          <w:p>
            <w:pPr>
              <w:ind w:left="260"/>
              <w:spacing w:after="0"/>
              <w:rPr>
                <w:sz w:val="20"/>
                <w:szCs w:val="20"/>
                <w:color w:val="auto"/>
              </w:rPr>
            </w:pPr>
            <w:r>
              <w:rPr>
                <w:rFonts w:ascii="Arial" w:cs="Arial" w:eastAsia="Arial" w:hAnsi="Arial"/>
                <w:sz w:val="14"/>
                <w:szCs w:val="14"/>
                <w:color w:val="auto"/>
              </w:rPr>
              <w:t>Wilmington</w:t>
            </w:r>
          </w:p>
        </w:tc>
      </w:tr>
      <w:tr>
        <w:trPr>
          <w:trHeight w:val="167"/>
        </w:trPr>
        <w:tc>
          <w:tcPr>
            <w:tcW w:w="532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(Consolidated)</w:t>
            </w:r>
          </w:p>
        </w:tc>
        <w:tc>
          <w:tcPr>
            <w:tcW w:w="1300" w:type="dxa"/>
            <w:vAlign w:val="bottom"/>
            <w:gridSpan w:val="2"/>
          </w:tcPr>
          <w:p>
            <w:pPr>
              <w:ind w:left="360"/>
              <w:spacing w:after="0"/>
              <w:rPr>
                <w:sz w:val="20"/>
                <w:szCs w:val="20"/>
                <w:color w:val="auto"/>
              </w:rPr>
            </w:pPr>
            <w:r>
              <w:rPr>
                <w:rFonts w:ascii="Arial" w:cs="Arial" w:eastAsia="Arial" w:hAnsi="Arial"/>
                <w:sz w:val="14"/>
                <w:szCs w:val="14"/>
                <w:color w:val="auto"/>
              </w:rPr>
              <w:t>Bank</w:t>
            </w:r>
          </w:p>
        </w:tc>
        <w:tc>
          <w:tcPr>
            <w:tcW w:w="1200" w:type="dxa"/>
            <w:vAlign w:val="bottom"/>
          </w:tcPr>
          <w:p>
            <w:pPr>
              <w:ind w:left="280"/>
              <w:spacing w:after="0"/>
              <w:rPr>
                <w:sz w:val="20"/>
                <w:szCs w:val="20"/>
                <w:color w:val="auto"/>
              </w:rPr>
            </w:pPr>
            <w:r>
              <w:rPr>
                <w:rFonts w:ascii="Arial" w:cs="Arial" w:eastAsia="Arial" w:hAnsi="Arial"/>
                <w:sz w:val="14"/>
                <w:szCs w:val="14"/>
                <w:color w:val="auto"/>
              </w:rPr>
              <w:t>Trust, N.A.</w:t>
            </w:r>
          </w:p>
        </w:tc>
      </w:tr>
      <w:tr>
        <w:trPr>
          <w:trHeight w:val="453"/>
        </w:trPr>
        <w:tc>
          <w:tcPr>
            <w:tcW w:w="5320" w:type="dxa"/>
            <w:vAlign w:val="bottom"/>
          </w:tcPr>
          <w:p>
            <w:pPr>
              <w:spacing w:after="0"/>
              <w:rPr>
                <w:sz w:val="20"/>
                <w:szCs w:val="20"/>
                <w:color w:val="auto"/>
              </w:rPr>
            </w:pPr>
            <w:r>
              <w:rPr>
                <w:rFonts w:ascii="Arial" w:cs="Arial" w:eastAsia="Arial" w:hAnsi="Arial"/>
                <w:sz w:val="18"/>
                <w:szCs w:val="18"/>
                <w:color w:val="auto"/>
              </w:rPr>
              <w:t>Common equity Tier 1</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10.67%</w:t>
            </w:r>
          </w:p>
        </w:tc>
        <w:tc>
          <w:tcPr>
            <w:tcW w:w="18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10.29%</w:t>
            </w:r>
          </w:p>
        </w:tc>
        <w:tc>
          <w:tcPr>
            <w:tcW w:w="18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43.27%</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11.91%</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10.29%</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43.27%</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capital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14.11%</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12.01%</w:t>
            </w: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43.66%</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9.98%</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8.63%</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9.61%</w:t>
            </w:r>
          </w:p>
        </w:tc>
      </w:tr>
    </w:tbl>
    <w:p>
      <w:pPr>
        <w:spacing w:after="0" w:line="203" w:lineRule="exact"/>
        <w:rPr>
          <w:sz w:val="20"/>
          <w:szCs w:val="20"/>
          <w:color w:val="auto"/>
        </w:rPr>
      </w:pPr>
    </w:p>
    <w:p>
      <w:pPr>
        <w:jc w:val="both"/>
        <w:ind w:firstLine="476"/>
        <w:spacing w:after="0" w:line="253" w:lineRule="auto"/>
        <w:rPr>
          <w:sz w:val="20"/>
          <w:szCs w:val="20"/>
          <w:color w:val="auto"/>
        </w:rPr>
      </w:pPr>
      <w:r>
        <w:rPr>
          <w:rFonts w:ascii="Arial" w:cs="Arial" w:eastAsia="Arial" w:hAnsi="Arial"/>
          <w:sz w:val="21"/>
          <w:szCs w:val="21"/>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9"/>
          <w:szCs w:val="19"/>
          <w:color w:val="auto"/>
        </w:rPr>
        <w:t>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2016.</w:t>
      </w:r>
    </w:p>
    <w:p>
      <w:pPr>
        <w:spacing w:after="0" w:line="270" w:lineRule="exact"/>
        <w:rPr>
          <w:sz w:val="20"/>
          <w:szCs w:val="20"/>
          <w:color w:val="auto"/>
        </w:rPr>
      </w:pPr>
    </w:p>
    <w:p>
      <w:pPr>
        <w:jc w:val="both"/>
        <w:ind w:firstLine="471"/>
        <w:spacing w:after="0" w:line="260" w:lineRule="auto"/>
        <w:rPr>
          <w:sz w:val="20"/>
          <w:szCs w:val="20"/>
          <w:color w:val="auto"/>
        </w:rPr>
      </w:pPr>
      <w:r>
        <w:rPr>
          <w:rFonts w:ascii="Arial" w:cs="Arial" w:eastAsia="Arial" w:hAnsi="Arial"/>
          <w:sz w:val="20"/>
          <w:szCs w:val="20"/>
          <w:color w:val="auto"/>
        </w:rPr>
        <w:t>On June 17, 2013, M&amp;T and M&amp;T Bank entered into a written agreement with the Federal Reserve Bank of New York. Under the terms of the agreement, M&amp;T and M&amp;T Bank were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M&amp;T and M&amp;T Bank have since made substantial progress in implementing a BSA/AML program with significantly expanded scale and scope. M&amp;T and M&amp;T Bank are continuing to work towards the resolution of all outstanding issues in the written agreement.</w:t>
      </w: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 As disclosed in M&amp;T’s Form 10-K for the year ended December 31, 2016, in the fourth quarter of 2016, the Company revised its funds transfer pricing allocation related to borrowings and to the residential real estate loans obtained in the acquisition of Hudson City, retroactive to 2015. Accordingly, financial information for the Discretionary Portfolio segment and the “All Other” category for the three-month period ended March 31, 2016 has been reclassified to conform to the current allocation methodology.</w:t>
      </w:r>
    </w:p>
    <w:p>
      <w:pPr>
        <w:spacing w:after="0" w:line="192" w:lineRule="exact"/>
        <w:rPr>
          <w:sz w:val="20"/>
          <w:szCs w:val="20"/>
          <w:color w:val="auto"/>
        </w:rPr>
      </w:pPr>
    </w:p>
    <w:p>
      <w:pPr>
        <w:jc w:val="both"/>
        <w:ind w:firstLine="471"/>
        <w:spacing w:after="0" w:line="247" w:lineRule="auto"/>
        <w:rPr>
          <w:sz w:val="20"/>
          <w:szCs w:val="20"/>
          <w:color w:val="auto"/>
        </w:rPr>
      </w:pPr>
      <w:r>
        <w:rPr>
          <w:rFonts w:ascii="Arial" w:cs="Arial" w:eastAsia="Arial" w:hAnsi="Arial"/>
          <w:sz w:val="21"/>
          <w:szCs w:val="21"/>
          <w:color w:val="auto"/>
        </w:rPr>
        <w:t>The Business Banking segment contributed net income of $22 million during the quarter ended March 31, 2017, compared with $25 million in the year-earlier quarter and $24 million in the fourth quarter of 2016. As compared with the year-earlier quarter, a recent quarter rise in the provision for credit losses of $5 million was partially offset by a $2 million increase in net interest income. The modest decline in net income in the initial 2017 quarter as compared with the immediately preceding quarter was largely due to a $2 million decrease in net interest income.</w:t>
      </w:r>
    </w:p>
    <w:p>
      <w:pPr>
        <w:spacing w:after="0" w:line="189" w:lineRule="exact"/>
        <w:rPr>
          <w:sz w:val="20"/>
          <w:szCs w:val="20"/>
          <w:color w:val="auto"/>
        </w:rPr>
      </w:pPr>
    </w:p>
    <w:p>
      <w:pPr>
        <w:jc w:val="both"/>
        <w:ind w:firstLine="476"/>
        <w:spacing w:after="0" w:line="273" w:lineRule="auto"/>
        <w:rPr>
          <w:sz w:val="20"/>
          <w:szCs w:val="20"/>
          <w:color w:val="auto"/>
        </w:rPr>
      </w:pPr>
      <w:r>
        <w:rPr>
          <w:rFonts w:ascii="Arial" w:cs="Arial" w:eastAsia="Arial" w:hAnsi="Arial"/>
          <w:sz w:val="19"/>
          <w:szCs w:val="19"/>
          <w:color w:val="auto"/>
        </w:rPr>
        <w:t>Net income of the Commercial Banking segment was $113 million in the recent quarter, compared with $101 million in the first quarter of 2016 and $102 million in the final 2016 quarter. The recent quarter’s 11% improvement as compared with the first quarter of 2016 reflected an increase in net interest income of $8 million, largely resulting from a 16 basis point widening of the net interest margin on deposits, higher letter of credit and other credit-related fees of $6 million, predominantly due to loan syndication fees, a decline in the provision for credit losses of $5 million and increased gains from the sale of previously leased equipment of $3 million. Those favorable factors were offset, in part, by higher costs for FDIC assessments of $3 million. The higher net income in the first quarter of 2017 as compared with 2016’s fourth quarter was largely due to a decrease in the provision for credit losses of $16 million and increased letter of credit and other credit-related fees of $5 million, largely due to loan syndication fees. Those favorable factors were offset, in part, by a $4 million decline in gains from the sale of previously leased equipment.</w:t>
      </w:r>
    </w:p>
    <w:p>
      <w:pPr>
        <w:spacing w:after="0" w:line="167" w:lineRule="exact"/>
        <w:rPr>
          <w:sz w:val="20"/>
          <w:szCs w:val="20"/>
          <w:color w:val="auto"/>
        </w:rPr>
      </w:pPr>
    </w:p>
    <w:p>
      <w:pPr>
        <w:jc w:val="both"/>
        <w:ind w:firstLine="471"/>
        <w:spacing w:after="0" w:line="277" w:lineRule="auto"/>
        <w:rPr>
          <w:sz w:val="20"/>
          <w:szCs w:val="20"/>
          <w:color w:val="auto"/>
        </w:rPr>
      </w:pPr>
      <w:r>
        <w:rPr>
          <w:rFonts w:ascii="Arial" w:cs="Arial" w:eastAsia="Arial" w:hAnsi="Arial"/>
          <w:sz w:val="19"/>
          <w:szCs w:val="19"/>
          <w:color w:val="auto"/>
        </w:rPr>
        <w:t>The Commercial Real Estate segment recorded net income of $85 million in the first quarter of 2017, compared with $81 million in the year-earlier period and $96 million in the fourth quarter of 2016. The recent quarter’s improvement in net income as compared with the first quarter of 2016 reflected a $13 million increase in net interest income and higher mortgage banking revenues of $5 million. The higher net interest income was largely attributable to an increase in average outstanding loan balances of $3.1 billion offset, in part, by a narrowing of the net interest margin on loans of 14 basis points. Those favorable factors were partially offset by a $4 million rise in the provision for credit losses, increased FDIC assessments of $4 million and higher personnel-related expenses of $2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20"/>
          <w:szCs w:val="20"/>
          <w:color w:val="auto"/>
        </w:rPr>
        <w:t>The decline in net income in the initial 2017 quarter as compared with the final 2016 quarter was largely due to: decreased mortgage banking revenues of $9 million, reflecting lower origination volumes; a $5 million rise in the provision for credit losses; a $3 million decline in net interest income, reflecting two less days in the recent quarter; and lower credit-related fees of $2 million.</w:t>
      </w:r>
    </w:p>
    <w:p>
      <w:pPr>
        <w:spacing w:after="0" w:line="166" w:lineRule="exact"/>
        <w:rPr>
          <w:sz w:val="20"/>
          <w:szCs w:val="20"/>
          <w:color w:val="auto"/>
        </w:rPr>
      </w:pPr>
    </w:p>
    <w:p>
      <w:pPr>
        <w:jc w:val="both"/>
        <w:ind w:firstLine="471"/>
        <w:spacing w:after="0" w:line="258" w:lineRule="auto"/>
        <w:rPr>
          <w:sz w:val="20"/>
          <w:szCs w:val="20"/>
          <w:color w:val="auto"/>
        </w:rPr>
      </w:pPr>
      <w:r>
        <w:rPr>
          <w:rFonts w:ascii="Arial" w:cs="Arial" w:eastAsia="Arial" w:hAnsi="Arial"/>
          <w:sz w:val="20"/>
          <w:szCs w:val="20"/>
          <w:color w:val="auto"/>
        </w:rPr>
        <w:t>Net income earned by the Discretionary Portfolio segment totaled $34 million during the three-month period ended March 31, 2017, compared with $48 million in the year-earlier period and $29 million in the fourth quarter of 2016. The recent quarter’s decline in net income as compared with the first quarter of 2016 was predominantly due to a $21 million decrease in net interest income, a $3 million increase in the provision for credit losses and a $2 million decline in bank owned life insurance revenues. The decline in net interest income reflected lower average loan balances of $3.8 billion and a narrowing of the net interest margin on loans of 12 basis points, each predominantly due to pay downs of loans obtained in the acquisition of Hudson City, partially offset by a 9 basis point widening of the net interest margin on investment securities. The recent quarter’s favorable performance as compared with the immediately preceding quarter reflected an increase in net interest income and declines in residential real estate-related servicing costs and the provision for credit losses.</w:t>
      </w:r>
    </w:p>
    <w:p>
      <w:pPr>
        <w:spacing w:after="0" w:line="179" w:lineRule="exact"/>
        <w:rPr>
          <w:sz w:val="20"/>
          <w:szCs w:val="20"/>
          <w:color w:val="auto"/>
        </w:rPr>
      </w:pPr>
    </w:p>
    <w:p>
      <w:pPr>
        <w:jc w:val="both"/>
        <w:ind w:firstLine="471"/>
        <w:spacing w:after="0" w:line="279" w:lineRule="auto"/>
        <w:rPr>
          <w:sz w:val="20"/>
          <w:szCs w:val="20"/>
          <w:color w:val="auto"/>
        </w:rPr>
      </w:pPr>
      <w:r>
        <w:rPr>
          <w:rFonts w:ascii="Arial" w:cs="Arial" w:eastAsia="Arial" w:hAnsi="Arial"/>
          <w:sz w:val="19"/>
          <w:szCs w:val="19"/>
          <w:color w:val="auto"/>
        </w:rPr>
        <w:t>Net income from the Residential Mortgage Banking segment was $15 million in the recent quarter, compared with $17 million in the first quarter of 2016 and $20 million in 2016’s fourth quarter. The decline in net income in the recent quarter as compared with the year-earlier period reflected lower servicing revenues. As compared with the final quarter of 2016, the decreased net income in the recent quarter reflected lower revenues associated with mortgage origination and sales activities (including intersegment revenues) of $4 million, and a $3 million decline in net interest income, due largely to lower average deposit balances of $776 million.</w:t>
      </w:r>
    </w:p>
    <w:p>
      <w:pPr>
        <w:spacing w:after="0" w:line="162"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20"/>
          <w:szCs w:val="20"/>
          <w:color w:val="auto"/>
        </w:rPr>
        <w:t>Net income earned by the Retail Banking segment totaled $82 million in the first quarter of 2017, compared with $63 million in the year-earlier quarter and $70 million in the final 2016 quarter. The 29% improvement in net income in the recent quarter as compared with the year-earlier period reflected a $16 million decrease in the provision for credit losses due, in part, to higher levels of partial charge-offs recognized in the first quarter of 2016 associated with loans for which the Company identified that the customer was either bankrupt or deceased, and a $21 million increase in net interest income. The improvement in net interest income reflected a widening of the net interest margin on deposits of 28 basis points offset, in part, by a $2.4 billion decrease in average outstanding deposit balances. Those favorable factors were partially offset by higher allocated operating expenses associated with data processing, risk management and other support services provided to this segment. The recent quarter’s improved net income as compared with the fourth quarter of 2016 was due to: a decrease in advertising and marketing expenses of $7 million; a $5 million rise in net interest income, reflecting a widening of the net interest margin on deposits of 11 basis points, partially offset by the impact of two less days in the 2017 quarter; a $3 million decline in the provision for credit losses; and reduced allocated operating expenses associated with data processing, risk management and other support services. Those favorable factors were offset, in part, by a $3 million decrease in service charges on deposit accounts.</w:t>
      </w:r>
    </w:p>
    <w:p>
      <w:pPr>
        <w:spacing w:after="0" w:line="187"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20"/>
          <w:szCs w:val="20"/>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totaling $1 million for the quarter ended March 31, 2017, $38 million in the year-earlier quarter and $10 million in the fourth quarter of 2016. The reduced net loss in the first quarter of 2017 as compared with the year-earlier quarter largely reflected: merger-related expenses of $23 million in the first quarter of 2016 (there were no similar merger-related expenses in the recently completed quarter); tax benefits of $18 million recognized in the first quarter of 2017 resulting from the adoption of new accounting guidance requiring that excess tax benefits associated with share-based compensation be recognized in income tax expense in the income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9"/>
          <w:szCs w:val="19"/>
          <w:color w:val="auto"/>
        </w:rPr>
        <w:t>statement, and higher trust income of $9 million. Those favorable factors were offset, in part, by higher personnel-related expenses, including incentive-based compensation and the impact of annual merit increases for employees. As compared with the immediately preceding quarter, the improved performance in the recent quarter reflected the $18 million tax benefit recognized in the first quarter of 2017 associated with share-based compensation, the impact of the $30 million contribution to The M&amp;T Charitable Foundation in the final 2016 quarter, and the favorable impact from the Company’s allocation methodologies. Those favorable factors were largely offset by higher personnel-related costs, reflecting seasonally higher stock-based compensation and employee benefits expenses.</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7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76"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QUARTERLY TRENDS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2017</w:t>
            </w:r>
          </w:p>
        </w:tc>
        <w:tc>
          <w:tcPr>
            <w:tcW w:w="3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3"/>
                <w:szCs w:val="13"/>
                <w:color w:val="auto"/>
                <w:w w:val="86"/>
              </w:rPr>
              <w:t>2016 Quarters</w:t>
            </w: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7"/>
              </w:rPr>
              <w:t>First Quarter</w:t>
            </w:r>
          </w:p>
        </w:tc>
        <w:tc>
          <w:tcPr>
            <w:tcW w:w="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Fourth</w:t>
            </w:r>
          </w:p>
        </w:tc>
        <w:tc>
          <w:tcPr>
            <w:tcW w:w="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Third</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1"/>
              </w:rPr>
              <w:t>Second</w:t>
            </w:r>
          </w:p>
        </w:tc>
        <w:tc>
          <w:tcPr>
            <w:tcW w:w="3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First</w:t>
            </w:r>
          </w:p>
        </w:tc>
        <w:tc>
          <w:tcPr>
            <w:tcW w:w="3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Earnings and dividends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1,014,032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990,284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976,240</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977,143</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979,166</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Interest expense</w:t>
            </w:r>
          </w:p>
        </w:tc>
        <w:tc>
          <w:tcPr>
            <w:tcW w:w="1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91,773</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107,137</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111,175</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106,802</w:t>
            </w:r>
          </w:p>
        </w:tc>
        <w:tc>
          <w:tcPr>
            <w:tcW w:w="3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100,870</w:t>
            </w:r>
          </w:p>
        </w:tc>
        <w:tc>
          <w:tcPr>
            <w:tcW w:w="3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Net interest income</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922,259</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883,147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865,065</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870,341</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878,296</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55,000</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62,000</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47,000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32,000</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49,000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446,845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465,459</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491,350</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448,254</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420,933</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other expense</w:t>
            </w:r>
          </w:p>
        </w:tc>
        <w:tc>
          <w:tcPr>
            <w:tcW w:w="1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787,852</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769,103</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752,392</w:t>
            </w:r>
          </w:p>
        </w:tc>
        <w:tc>
          <w:tcPr>
            <w:tcW w:w="3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749,895</w:t>
            </w:r>
          </w:p>
        </w:tc>
        <w:tc>
          <w:tcPr>
            <w:tcW w:w="3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776,095</w:t>
            </w:r>
          </w:p>
        </w:tc>
        <w:tc>
          <w:tcPr>
            <w:tcW w:w="3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Income before income taxes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526,252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517,503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557,023</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536,700</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474,134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169,326</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179,549</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200,314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194,147</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169,274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116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7,999</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7,383</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6,725</w:t>
            </w:r>
          </w:p>
        </w:tc>
        <w:tc>
          <w:tcPr>
            <w:tcW w:w="3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6,522</w:t>
            </w:r>
          </w:p>
        </w:tc>
        <w:tc>
          <w:tcPr>
            <w:tcW w:w="3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6,332</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4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Net income</w:t>
            </w:r>
          </w:p>
        </w:tc>
        <w:tc>
          <w:tcPr>
            <w:tcW w:w="116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348,927</w:t>
            </w:r>
          </w:p>
        </w:tc>
        <w:tc>
          <w:tcPr>
            <w:tcW w:w="3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330,571</w:t>
            </w:r>
          </w:p>
        </w:tc>
        <w:tc>
          <w:tcPr>
            <w:tcW w:w="3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349,984</w:t>
            </w:r>
          </w:p>
        </w:tc>
        <w:tc>
          <w:tcPr>
            <w:tcW w:w="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336,031</w:t>
            </w:r>
          </w:p>
        </w:tc>
        <w:tc>
          <w:tcPr>
            <w:tcW w:w="3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298,528</w:t>
            </w:r>
          </w:p>
        </w:tc>
        <w:tc>
          <w:tcPr>
            <w:tcW w:w="3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1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328,567</w:t>
            </w: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307,797</w:t>
            </w: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326,998</w:t>
            </w: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312,974</w:t>
            </w: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275,748</w:t>
            </w: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Per common share data</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2.12</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1.98</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1.73</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154,427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155,123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155,493</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157,802</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158,734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Diluted</w:t>
            </w:r>
          </w:p>
        </w:tc>
        <w:tc>
          <w:tcPr>
            <w:tcW w:w="116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154,949</w:t>
            </w:r>
          </w:p>
        </w:tc>
        <w:tc>
          <w:tcPr>
            <w:tcW w:w="3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155,700</w:t>
            </w:r>
          </w:p>
        </w:tc>
        <w:tc>
          <w:tcPr>
            <w:tcW w:w="3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156,026</w:t>
            </w:r>
          </w:p>
        </w:tc>
        <w:tc>
          <w:tcPr>
            <w:tcW w:w="3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158,341</w:t>
            </w:r>
          </w:p>
        </w:tc>
        <w:tc>
          <w:tcPr>
            <w:tcW w:w="34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159,181</w:t>
            </w:r>
          </w:p>
        </w:tc>
        <w:tc>
          <w:tcPr>
            <w:tcW w:w="3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Return on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w:t>
            </w:r>
          </w:p>
        </w:tc>
        <w:tc>
          <w:tcPr>
            <w:tcW w:w="3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8.89</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8.13</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8.68</w:t>
            </w:r>
          </w:p>
        </w:tc>
        <w:tc>
          <w:tcPr>
            <w:tcW w:w="340" w:type="dxa"/>
            <w:vAlign w:val="bottom"/>
          </w:tcPr>
          <w:p>
            <w:pPr>
              <w:jc w:val="cente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8.38</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7.44</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 (taxable-equivalent</w:t>
            </w:r>
          </w:p>
        </w:tc>
        <w:tc>
          <w:tcPr>
            <w:tcW w:w="1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basis)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3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44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unearned discount</w:t>
            </w:r>
          </w:p>
        </w:tc>
        <w:tc>
          <w:tcPr>
            <w:tcW w:w="116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34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360" w:type="dxa"/>
            <w:vAlign w:val="bottom"/>
            <w:tcBorders>
              <w:bottom w:val="single" w:sz="8" w:color="CFF0FC"/>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354,035</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336,095</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355,929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350,604</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320,064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Annualized return on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3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13.05</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11.93</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12.77</w:t>
            </w:r>
          </w:p>
        </w:tc>
        <w:tc>
          <w:tcPr>
            <w:tcW w:w="340" w:type="dxa"/>
            <w:vAlign w:val="bottom"/>
          </w:tcPr>
          <w:p>
            <w:pPr>
              <w:jc w:val="cente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12.68</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11.62</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1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56.93</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56.42</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55.92</w:t>
            </w:r>
          </w:p>
        </w:tc>
        <w:tc>
          <w:tcPr>
            <w:tcW w:w="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55.06</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57.00</w:t>
            </w:r>
          </w:p>
        </w:tc>
        <w:tc>
          <w:tcPr>
            <w:tcW w:w="36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Arial" w:cs="Arial" w:eastAsia="Arial" w:hAnsi="Arial"/>
                <w:sz w:val="13"/>
                <w:szCs w:val="13"/>
                <w:color w:val="auto"/>
              </w:rPr>
              <w:t>Average balances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122,978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125,734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124,725</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123,706</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123,252</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118,326</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121,079</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120,064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119,039</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118,577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112,008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114,254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112,864</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111,872</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111,211</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15,999</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15,417</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14,361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14,914</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15,348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89,797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89,977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88,732</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88,155</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87,584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Deposits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96,300</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96,914</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95,852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94,033</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92,391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15,091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15,115</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15,145</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15,047</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10,439</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10,526</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10,454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10,478</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10,372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123,223</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123,449</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126,841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123,821</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124,626</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118,573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118,797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122,183</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119,157</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119,955</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112,287</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112,192</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115,293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112,057</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113,005</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16,250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14,734</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14,963</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15,467</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89,313</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90,853</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89,646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88,522</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87,872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97,043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95,494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98,137</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94,650</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94,215</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44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 cumulative</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380"/>
              <w:spacing w:after="0"/>
              <w:rPr>
                <w:sz w:val="20"/>
                <w:szCs w:val="20"/>
                <w:color w:val="auto"/>
              </w:rPr>
            </w:pPr>
            <w:r>
              <w:rPr>
                <w:rFonts w:ascii="Arial" w:cs="Arial" w:eastAsia="Arial" w:hAnsi="Arial"/>
                <w:sz w:val="13"/>
                <w:szCs w:val="13"/>
                <w:color w:val="auto"/>
              </w:rPr>
              <w:t>preferred dividends (c)</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14,978</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15,252</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15,106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15,237</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15,120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10,328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10,600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10,448</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10,573</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10,449</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97.40</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97.64</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97.47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96.49</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95.00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1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67.16</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67.85</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67.42</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66.95</w:t>
            </w:r>
          </w:p>
        </w:tc>
        <w:tc>
          <w:tcPr>
            <w:tcW w:w="3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65.65</w:t>
            </w:r>
          </w:p>
        </w:tc>
        <w:tc>
          <w:tcPr>
            <w:tcW w:w="3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3"/>
                <w:szCs w:val="13"/>
                <w:b w:val="1"/>
                <w:bCs w:val="1"/>
                <w:color w:val="auto"/>
              </w:rPr>
              <w:t>Market price per common share</w:t>
            </w: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High</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173.72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158.35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120.40</w:t>
            </w: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121.11</w:t>
            </w: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119.24</w:t>
            </w: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60"/>
              <w:spacing w:after="0"/>
              <w:rPr>
                <w:sz w:val="20"/>
                <w:szCs w:val="20"/>
                <w:color w:val="auto"/>
              </w:rPr>
            </w:pPr>
            <w:r>
              <w:rPr>
                <w:rFonts w:ascii="Arial" w:cs="Arial" w:eastAsia="Arial" w:hAnsi="Arial"/>
                <w:sz w:val="13"/>
                <w:szCs w:val="13"/>
                <w:color w:val="auto"/>
              </w:rPr>
              <w:t>Low</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149.51</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112.25</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111.13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107.01</w:t>
            </w: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100.08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Closing</w:t>
            </w:r>
          </w:p>
        </w:tc>
        <w:tc>
          <w:tcPr>
            <w:tcW w:w="1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154.73</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156.43</w:t>
            </w:r>
          </w:p>
        </w:tc>
        <w:tc>
          <w:tcPr>
            <w:tcW w:w="3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116.10</w:t>
            </w:r>
          </w:p>
        </w:tc>
        <w:tc>
          <w:tcPr>
            <w:tcW w:w="3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118.23</w:t>
            </w:r>
          </w:p>
        </w:tc>
        <w:tc>
          <w:tcPr>
            <w:tcW w:w="3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111.00</w:t>
            </w:r>
          </w:p>
        </w:tc>
        <w:tc>
          <w:tcPr>
            <w:tcW w:w="3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right="20" w:hanging="512"/>
        <w:spacing w:after="0" w:line="235" w:lineRule="auto"/>
        <w:tabs>
          <w:tab w:leader="none" w:pos="52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20" w:hanging="512"/>
        <w:spacing w:after="0" w:line="229" w:lineRule="auto"/>
        <w:tabs>
          <w:tab w:leader="none" w:pos="52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0" w:lineRule="exact"/>
        <w:rPr>
          <w:rFonts w:ascii="Arial" w:cs="Arial" w:eastAsia="Arial" w:hAnsi="Arial"/>
          <w:sz w:val="13"/>
          <w:szCs w:val="13"/>
          <w:i w:val="1"/>
          <w:iCs w:val="1"/>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Table 2</w:t>
            </w:r>
          </w:p>
        </w:tc>
        <w:tc>
          <w:tcPr>
            <w:tcW w:w="0" w:type="dxa"/>
            <w:vAlign w:val="bottom"/>
          </w:tcPr>
          <w:p>
            <w:pPr>
              <w:spacing w:after="0"/>
              <w:rPr>
                <w:sz w:val="1"/>
                <w:szCs w:val="1"/>
                <w:color w:val="auto"/>
              </w:rPr>
            </w:pPr>
          </w:p>
        </w:tc>
      </w:tr>
      <w:tr>
        <w:trPr>
          <w:trHeight w:val="338"/>
        </w:trPr>
        <w:tc>
          <w:tcPr>
            <w:tcW w:w="6280" w:type="dxa"/>
            <w:vAlign w:val="bottom"/>
            <w:gridSpan w:val="4"/>
          </w:tcPr>
          <w:p>
            <w:pPr>
              <w:spacing w:after="0"/>
              <w:rPr>
                <w:sz w:val="20"/>
                <w:szCs w:val="20"/>
                <w:color w:val="auto"/>
              </w:rPr>
            </w:pPr>
            <w:r>
              <w:rPr>
                <w:rFonts w:ascii="Arial" w:cs="Arial" w:eastAsia="Arial" w:hAnsi="Arial"/>
                <w:sz w:val="20"/>
                <w:szCs w:val="20"/>
                <w:color w:val="auto"/>
                <w:w w:val="95"/>
              </w:rPr>
              <w:t>RECONCILIATION OF QUARTERLY GAAP TO NON-GAAP MEASURES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2017</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color w:val="auto"/>
              </w:rPr>
              <w:t>2016 Quarters</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97"/>
              <w:spacing w:after="0" w:line="143" w:lineRule="exact"/>
              <w:rPr>
                <w:sz w:val="20"/>
                <w:szCs w:val="20"/>
                <w:color w:val="auto"/>
              </w:rPr>
            </w:pPr>
            <w:r>
              <w:rPr>
                <w:rFonts w:ascii="Arial" w:cs="Arial" w:eastAsia="Arial" w:hAnsi="Arial"/>
                <w:sz w:val="13"/>
                <w:szCs w:val="13"/>
                <w:color w:val="auto"/>
                <w:w w:val="90"/>
              </w:rPr>
              <w:t>First Quarter</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700"/>
              <w:spacing w:after="0" w:line="143" w:lineRule="exact"/>
              <w:rPr>
                <w:sz w:val="20"/>
                <w:szCs w:val="20"/>
                <w:color w:val="auto"/>
              </w:rPr>
            </w:pPr>
            <w:r>
              <w:rPr>
                <w:rFonts w:ascii="Arial" w:cs="Arial" w:eastAsia="Arial" w:hAnsi="Arial"/>
                <w:sz w:val="13"/>
                <w:szCs w:val="13"/>
                <w:color w:val="auto"/>
              </w:rPr>
              <w:t>Fourth</w:t>
            </w:r>
          </w:p>
        </w:tc>
        <w:tc>
          <w:tcPr>
            <w:tcW w:w="200" w:type="dxa"/>
            <w:vAlign w:val="bottom"/>
          </w:tcPr>
          <w:p>
            <w:pPr>
              <w:spacing w:after="0"/>
              <w:rPr>
                <w:sz w:val="12"/>
                <w:szCs w:val="12"/>
                <w:color w:val="auto"/>
              </w:rPr>
            </w:pPr>
          </w:p>
        </w:tc>
        <w:tc>
          <w:tcPr>
            <w:tcW w:w="1160" w:type="dxa"/>
            <w:vAlign w:val="bottom"/>
            <w:gridSpan w:val="2"/>
          </w:tcPr>
          <w:p>
            <w:pPr>
              <w:jc w:val="right"/>
              <w:ind w:right="740"/>
              <w:spacing w:after="0" w:line="143" w:lineRule="exact"/>
              <w:rPr>
                <w:sz w:val="20"/>
                <w:szCs w:val="20"/>
                <w:color w:val="auto"/>
              </w:rPr>
            </w:pPr>
            <w:r>
              <w:rPr>
                <w:rFonts w:ascii="Arial" w:cs="Arial" w:eastAsia="Arial" w:hAnsi="Arial"/>
                <w:sz w:val="13"/>
                <w:szCs w:val="13"/>
                <w:color w:val="auto"/>
              </w:rPr>
              <w:t>Third</w:t>
            </w:r>
          </w:p>
        </w:tc>
        <w:tc>
          <w:tcPr>
            <w:tcW w:w="220" w:type="dxa"/>
            <w:vAlign w:val="bottom"/>
          </w:tcPr>
          <w:p>
            <w:pPr>
              <w:spacing w:after="0"/>
              <w:rPr>
                <w:sz w:val="12"/>
                <w:szCs w:val="12"/>
                <w:color w:val="auto"/>
              </w:rPr>
            </w:pPr>
          </w:p>
        </w:tc>
        <w:tc>
          <w:tcPr>
            <w:tcW w:w="980" w:type="dxa"/>
            <w:vAlign w:val="bottom"/>
            <w:gridSpan w:val="2"/>
          </w:tcPr>
          <w:p>
            <w:pPr>
              <w:jc w:val="right"/>
              <w:ind w:right="540"/>
              <w:spacing w:after="0" w:line="143" w:lineRule="exact"/>
              <w:rPr>
                <w:sz w:val="20"/>
                <w:szCs w:val="20"/>
                <w:color w:val="auto"/>
              </w:rPr>
            </w:pPr>
            <w:r>
              <w:rPr>
                <w:rFonts w:ascii="Arial" w:cs="Arial" w:eastAsia="Arial" w:hAnsi="Arial"/>
                <w:sz w:val="13"/>
                <w:szCs w:val="13"/>
                <w:color w:val="auto"/>
                <w:w w:val="95"/>
              </w:rPr>
              <w:t>Second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16"/>
              <w:spacing w:after="0" w:line="143"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Income statement data (in thousands, except per share)</w:t>
            </w:r>
          </w:p>
        </w:tc>
        <w:tc>
          <w:tcPr>
            <w:tcW w:w="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348,927</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330,571</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349,984</w:t>
            </w: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336,031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298,528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 (a)</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5,108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5,524</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5,945</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6,936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 (a)</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Net operating income</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354,035</w:t>
            </w:r>
          </w:p>
        </w:tc>
        <w:tc>
          <w:tcPr>
            <w:tcW w:w="4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336,095</w:t>
            </w:r>
          </w:p>
        </w:tc>
        <w:tc>
          <w:tcPr>
            <w:tcW w:w="3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355,929</w:t>
            </w:r>
          </w:p>
        </w:tc>
        <w:tc>
          <w:tcPr>
            <w:tcW w:w="4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350,604</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320,064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Earnings per common share</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1.98</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2.10</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Amortization of core deposit and other intangible assets (a)</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Merger-related expenses (a)</w:t>
            </w:r>
          </w:p>
        </w:tc>
        <w:tc>
          <w:tcPr>
            <w:tcW w:w="120" w:type="dxa"/>
            <w:vAlign w:val="bottom"/>
          </w:tcPr>
          <w:p>
            <w:pPr>
              <w:spacing w:after="0"/>
              <w:rPr>
                <w:sz w:val="12"/>
                <w:szCs w:val="12"/>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Borders>
              <w:top w:val="single" w:sz="8" w:color="CFF0FC"/>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3"/>
                <w:szCs w:val="13"/>
                <w:color w:val="auto"/>
              </w:rPr>
              <w:t>Diluted net operating earnings per common share</w:t>
            </w: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2.15</w:t>
            </w:r>
          </w:p>
        </w:tc>
        <w:tc>
          <w:tcPr>
            <w:tcW w:w="4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2.01</w:t>
            </w:r>
          </w:p>
        </w:tc>
        <w:tc>
          <w:tcPr>
            <w:tcW w:w="3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2.13</w:t>
            </w:r>
          </w:p>
        </w:tc>
        <w:tc>
          <w:tcPr>
            <w:tcW w:w="40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2.07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Other expense</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787,852</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769,103</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752,392</w:t>
            </w: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749,895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776,095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(8,420)</w:t>
            </w:r>
          </w:p>
        </w:tc>
        <w:tc>
          <w:tcPr>
            <w:tcW w:w="18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(9,089)</w:t>
            </w:r>
          </w:p>
        </w:tc>
        <w:tc>
          <w:tcPr>
            <w:tcW w:w="200" w:type="dxa"/>
            <w:vAlign w:val="bottom"/>
          </w:tcPr>
          <w:p>
            <w:pPr>
              <w:spacing w:after="0"/>
              <w:rPr>
                <w:sz w:val="12"/>
                <w:szCs w:val="1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(9,787)</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(11,418)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(12,319)</w:t>
            </w: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(12,593)</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(23,162)</w:t>
            </w:r>
          </w:p>
        </w:tc>
        <w:tc>
          <w:tcPr>
            <w:tcW w:w="0" w:type="dxa"/>
            <w:vAlign w:val="bottom"/>
          </w:tcPr>
          <w:p>
            <w:pPr>
              <w:spacing w:after="0"/>
              <w:rPr>
                <w:sz w:val="1"/>
                <w:szCs w:val="1"/>
                <w:color w:val="auto"/>
              </w:rPr>
            </w:pPr>
          </w:p>
        </w:tc>
      </w:tr>
      <w:tr>
        <w:trPr>
          <w:trHeight w:val="182"/>
        </w:trPr>
        <w:tc>
          <w:tcPr>
            <w:tcW w:w="492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Noninterest operating expense</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779,432</w:t>
            </w:r>
          </w:p>
        </w:tc>
        <w:tc>
          <w:tcPr>
            <w:tcW w:w="4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760,014</w:t>
            </w:r>
          </w:p>
        </w:tc>
        <w:tc>
          <w:tcPr>
            <w:tcW w:w="3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742,605</w:t>
            </w:r>
          </w:p>
        </w:tc>
        <w:tc>
          <w:tcPr>
            <w:tcW w:w="4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725,884</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740,614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Merger-related expenses</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Salaries and employee benefits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Equipment and net occupancy</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Outside data processing and software</w:t>
            </w:r>
          </w:p>
        </w:tc>
        <w:tc>
          <w:tcPr>
            <w:tcW w:w="120" w:type="dxa"/>
            <w:vAlign w:val="bottom"/>
          </w:tcPr>
          <w:p>
            <w:pPr>
              <w:spacing w:after="0"/>
              <w:rPr>
                <w:sz w:val="12"/>
                <w:szCs w:val="12"/>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Advertising and marketing</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Printing, postage and supplies</w:t>
            </w:r>
          </w:p>
        </w:tc>
        <w:tc>
          <w:tcPr>
            <w:tcW w:w="120" w:type="dxa"/>
            <w:vAlign w:val="bottom"/>
          </w:tcPr>
          <w:p>
            <w:pPr>
              <w:spacing w:after="0"/>
              <w:rPr>
                <w:sz w:val="12"/>
                <w:szCs w:val="12"/>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Other costs of operations</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12,593</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23,162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Efficiency ratio</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Noninterest operating expense (numerator)</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779,432</w:t>
            </w:r>
          </w:p>
        </w:tc>
        <w:tc>
          <w:tcPr>
            <w:tcW w:w="4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760,014</w:t>
            </w:r>
          </w:p>
        </w:tc>
        <w:tc>
          <w:tcPr>
            <w:tcW w:w="3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742,605</w:t>
            </w:r>
          </w:p>
        </w:tc>
        <w:tc>
          <w:tcPr>
            <w:tcW w:w="4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725,884</w:t>
            </w: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740,614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Taxable-equivalent net interest income</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922,259</w:t>
            </w:r>
          </w:p>
        </w:tc>
        <w:tc>
          <w:tcPr>
            <w:tcW w:w="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883,147</w:t>
            </w: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865,065</w:t>
            </w: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870,341</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878,296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Other income</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446,845</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465,459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491,350</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448,254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420,933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Less: Gain on bank investment securities</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1,566</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28,480</w:t>
            </w: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1,369,104</w:t>
            </w:r>
          </w:p>
        </w:tc>
        <w:tc>
          <w:tcPr>
            <w:tcW w:w="4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1,347,040</w:t>
            </w:r>
          </w:p>
        </w:tc>
        <w:tc>
          <w:tcPr>
            <w:tcW w:w="3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1,327,935</w:t>
            </w:r>
          </w:p>
        </w:tc>
        <w:tc>
          <w:tcPr>
            <w:tcW w:w="4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1,318,331</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1,299,225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Efficiency ratio</w:t>
            </w:r>
          </w:p>
        </w:tc>
        <w:tc>
          <w:tcPr>
            <w:tcW w:w="12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300"/>
              <w:spacing w:after="0" w:line="129" w:lineRule="exact"/>
              <w:rPr>
                <w:sz w:val="20"/>
                <w:szCs w:val="20"/>
                <w:color w:val="auto"/>
              </w:rPr>
            </w:pPr>
            <w:r>
              <w:rPr>
                <w:rFonts w:ascii="Arial" w:cs="Arial" w:eastAsia="Arial" w:hAnsi="Arial"/>
                <w:sz w:val="13"/>
                <w:szCs w:val="13"/>
                <w:color w:val="auto"/>
              </w:rPr>
              <w:t>56.93%</w:t>
            </w:r>
          </w:p>
        </w:tc>
        <w:tc>
          <w:tcPr>
            <w:tcW w:w="1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80"/>
              <w:spacing w:after="0" w:line="129" w:lineRule="exact"/>
              <w:rPr>
                <w:sz w:val="20"/>
                <w:szCs w:val="20"/>
                <w:color w:val="auto"/>
              </w:rPr>
            </w:pPr>
            <w:r>
              <w:rPr>
                <w:rFonts w:ascii="Arial" w:cs="Arial" w:eastAsia="Arial" w:hAnsi="Arial"/>
                <w:sz w:val="13"/>
                <w:szCs w:val="13"/>
                <w:color w:val="auto"/>
              </w:rPr>
              <w:t>56.42%</w:t>
            </w:r>
          </w:p>
        </w:tc>
        <w:tc>
          <w:tcPr>
            <w:tcW w:w="2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300"/>
              <w:spacing w:after="0" w:line="129" w:lineRule="exact"/>
              <w:rPr>
                <w:sz w:val="20"/>
                <w:szCs w:val="20"/>
                <w:color w:val="auto"/>
              </w:rPr>
            </w:pPr>
            <w:r>
              <w:rPr>
                <w:rFonts w:ascii="Arial" w:cs="Arial" w:eastAsia="Arial" w:hAnsi="Arial"/>
                <w:sz w:val="13"/>
                <w:szCs w:val="13"/>
                <w:color w:val="auto"/>
              </w:rPr>
              <w:t>55.92%</w:t>
            </w:r>
          </w:p>
        </w:tc>
        <w:tc>
          <w:tcPr>
            <w:tcW w:w="2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55.06%</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57.00%</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 (in millions)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Average assets</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Average 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122,978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125,734</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124,725</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123,706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123,252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(4,593)</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(4,593)</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(4,593)</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(98)</w:t>
            </w:r>
          </w:p>
        </w:tc>
        <w:tc>
          <w:tcPr>
            <w:tcW w:w="18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2"/>
                <w:szCs w:val="1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(112)</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(122)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3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40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Average tangible assets</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118,326</w:t>
            </w:r>
          </w:p>
        </w:tc>
        <w:tc>
          <w:tcPr>
            <w:tcW w:w="4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121,079</w:t>
            </w:r>
          </w:p>
        </w:tc>
        <w:tc>
          <w:tcPr>
            <w:tcW w:w="3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120,064</w:t>
            </w:r>
          </w:p>
        </w:tc>
        <w:tc>
          <w:tcPr>
            <w:tcW w:w="4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119,039</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118,577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Average common equity</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Average total equity</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16,323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16,673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16,347</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16,377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16,279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(1,232)</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(1,492)</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(1,232)</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(1,232)</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2"/>
        </w:trPr>
        <w:tc>
          <w:tcPr>
            <w:tcW w:w="4920" w:type="dxa"/>
            <w:vAlign w:val="bottom"/>
          </w:tcPr>
          <w:p>
            <w:pPr>
              <w:ind w:left="260"/>
              <w:spacing w:after="0" w:line="143" w:lineRule="exact"/>
              <w:rPr>
                <w:sz w:val="20"/>
                <w:szCs w:val="20"/>
                <w:color w:val="auto"/>
              </w:rPr>
            </w:pPr>
            <w:r>
              <w:rPr>
                <w:rFonts w:ascii="Arial" w:cs="Arial" w:eastAsia="Arial" w:hAnsi="Arial"/>
                <w:sz w:val="13"/>
                <w:szCs w:val="13"/>
                <w:color w:val="auto"/>
              </w:rPr>
              <w:t>Average common equity</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15,091</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15,181</w:t>
            </w:r>
          </w:p>
        </w:tc>
        <w:tc>
          <w:tcPr>
            <w:tcW w:w="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15,115</w:t>
            </w: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(4,593)</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(4,593)</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(4,593)</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(98)</w:t>
            </w:r>
          </w:p>
        </w:tc>
        <w:tc>
          <w:tcPr>
            <w:tcW w:w="18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2"/>
                <w:szCs w:val="1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(112)</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(122)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3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40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Average tangible common equity</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10,439</w:t>
            </w:r>
          </w:p>
        </w:tc>
        <w:tc>
          <w:tcPr>
            <w:tcW w:w="4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10,526</w:t>
            </w:r>
          </w:p>
        </w:tc>
        <w:tc>
          <w:tcPr>
            <w:tcW w:w="3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10,454</w:t>
            </w:r>
          </w:p>
        </w:tc>
        <w:tc>
          <w:tcPr>
            <w:tcW w:w="4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10,478</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10,372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At end of quarter</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123,223</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123,449</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126,841</w:t>
            </w: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123,821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(4,593)</w:t>
            </w:r>
          </w:p>
        </w:tc>
        <w:tc>
          <w:tcPr>
            <w:tcW w:w="18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(4,593)</w:t>
            </w:r>
          </w:p>
        </w:tc>
        <w:tc>
          <w:tcPr>
            <w:tcW w:w="200" w:type="dxa"/>
            <w:vAlign w:val="bottom"/>
          </w:tcPr>
          <w:p>
            <w:pPr>
              <w:spacing w:after="0"/>
              <w:rPr>
                <w:sz w:val="12"/>
                <w:szCs w:val="1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(4,593)</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(4,593)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(95)</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(98)</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(107)</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(117)</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49"/>
        </w:trPr>
        <w:tc>
          <w:tcPr>
            <w:tcW w:w="49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4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3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4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3"/>
                <w:szCs w:val="13"/>
                <w:color w:val="auto"/>
              </w:rPr>
              <w:t>Total tangible assets</w:t>
            </w:r>
          </w:p>
        </w:tc>
        <w:tc>
          <w:tcPr>
            <w:tcW w:w="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118,573</w:t>
            </w:r>
          </w:p>
        </w:tc>
        <w:tc>
          <w:tcPr>
            <w:tcW w:w="4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118,797</w:t>
            </w:r>
          </w:p>
        </w:tc>
        <w:tc>
          <w:tcPr>
            <w:tcW w:w="3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122,183</w:t>
            </w:r>
          </w:p>
        </w:tc>
        <w:tc>
          <w:tcPr>
            <w:tcW w:w="4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119,157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119,955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3"/>
                <w:szCs w:val="13"/>
                <w:b w:val="1"/>
                <w:bCs w:val="1"/>
                <w:color w:val="auto"/>
              </w:rPr>
              <w:t>Total common equity</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Total equity</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16,213</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16,487</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16,341</w:t>
            </w: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(1,232)</w:t>
            </w:r>
          </w:p>
        </w:tc>
        <w:tc>
          <w:tcPr>
            <w:tcW w:w="18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(1,232)</w:t>
            </w:r>
          </w:p>
        </w:tc>
        <w:tc>
          <w:tcPr>
            <w:tcW w:w="200" w:type="dxa"/>
            <w:vAlign w:val="bottom"/>
          </w:tcPr>
          <w:p>
            <w:pPr>
              <w:spacing w:after="0"/>
              <w:rPr>
                <w:sz w:val="12"/>
                <w:szCs w:val="1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(1,232)</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(1,232)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Undeclared dividends - cumulative preferred stock</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Common equity, net of undeclared cumulative preferred dividends</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14,978</w:t>
            </w:r>
          </w:p>
        </w:tc>
        <w:tc>
          <w:tcPr>
            <w:tcW w:w="40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15,252</w:t>
            </w:r>
          </w:p>
        </w:tc>
        <w:tc>
          <w:tcPr>
            <w:tcW w:w="38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15,106</w:t>
            </w:r>
          </w:p>
        </w:tc>
        <w:tc>
          <w:tcPr>
            <w:tcW w:w="40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15,237</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15,120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Goodwill</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(95)</w:t>
            </w:r>
          </w:p>
        </w:tc>
        <w:tc>
          <w:tcPr>
            <w:tcW w:w="18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(98)</w:t>
            </w:r>
          </w:p>
        </w:tc>
        <w:tc>
          <w:tcPr>
            <w:tcW w:w="200" w:type="dxa"/>
            <w:vAlign w:val="bottom"/>
          </w:tcPr>
          <w:p>
            <w:pPr>
              <w:spacing w:after="0"/>
              <w:rPr>
                <w:sz w:val="12"/>
                <w:szCs w:val="1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(107)</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49"/>
        </w:trPr>
        <w:tc>
          <w:tcPr>
            <w:tcW w:w="492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3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40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ind w:left="260"/>
              <w:spacing w:after="0" w:line="143" w:lineRule="exact"/>
              <w:rPr>
                <w:sz w:val="20"/>
                <w:szCs w:val="20"/>
                <w:color w:val="auto"/>
              </w:rPr>
            </w:pPr>
            <w:r>
              <w:rPr>
                <w:rFonts w:ascii="Arial" w:cs="Arial" w:eastAsia="Arial" w:hAnsi="Arial"/>
                <w:sz w:val="13"/>
                <w:szCs w:val="13"/>
                <w:color w:val="auto"/>
              </w:rPr>
              <w:t>Total tangible common equity</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10,328</w:t>
            </w: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10,600</w:t>
            </w: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10,448</w:t>
            </w: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10,573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38"/>
        </w:trPr>
        <w:tc>
          <w:tcPr>
            <w:tcW w:w="7880" w:type="dxa"/>
            <w:vAlign w:val="bottom"/>
            <w:gridSpan w:val="16"/>
          </w:tcPr>
          <w:p>
            <w:pPr>
              <w:spacing w:after="0"/>
              <w:rPr>
                <w:sz w:val="20"/>
                <w:szCs w:val="20"/>
                <w:color w:val="auto"/>
              </w:rPr>
            </w:pPr>
            <w:r>
              <w:rPr>
                <w:rFonts w:ascii="Arial" w:cs="Arial" w:eastAsia="Arial" w:hAnsi="Arial"/>
                <w:sz w:val="20"/>
                <w:szCs w:val="20"/>
                <w:color w:val="auto"/>
              </w:rPr>
              <w:t>AVERAGE BALANCE SHEETS AND ANNUALIZED TAXABLE-EQUIVALENT RATES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color w:val="auto"/>
                <w:w w:val="95"/>
              </w:rPr>
              <w:t>2017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5"/>
          </w:tcPr>
          <w:p>
            <w:pPr>
              <w:jc w:val="center"/>
              <w:ind w:left="480"/>
              <w:spacing w:after="0"/>
              <w:rPr>
                <w:sz w:val="20"/>
                <w:szCs w:val="20"/>
                <w:color w:val="auto"/>
              </w:rPr>
            </w:pPr>
            <w:r>
              <w:rPr>
                <w:rFonts w:ascii="Arial" w:cs="Arial" w:eastAsia="Arial" w:hAnsi="Arial"/>
                <w:sz w:val="14"/>
                <w:szCs w:val="14"/>
                <w:color w:val="auto"/>
                <w:w w:val="92"/>
              </w:rPr>
              <w:t>2016 Fourth Quarter</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5"/>
          </w:tcPr>
          <w:p>
            <w:pPr>
              <w:jc w:val="center"/>
              <w:ind w:left="500"/>
              <w:spacing w:after="0"/>
              <w:rPr>
                <w:sz w:val="20"/>
                <w:szCs w:val="20"/>
                <w:color w:val="auto"/>
              </w:rPr>
            </w:pPr>
            <w:r>
              <w:rPr>
                <w:rFonts w:ascii="Arial" w:cs="Arial" w:eastAsia="Arial" w:hAnsi="Arial"/>
                <w:sz w:val="14"/>
                <w:szCs w:val="14"/>
                <w:color w:val="auto"/>
                <w:w w:val="94"/>
              </w:rPr>
              <w:t>2016 Third Quarter</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w w:val="99"/>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8"/>
              </w:rPr>
              <w:t>Average</w:t>
            </w:r>
          </w:p>
        </w:tc>
        <w:tc>
          <w:tcPr>
            <w:tcW w:w="3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Average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1"/>
              </w:rPr>
              <w:t>Average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4"/>
                <w:szCs w:val="14"/>
                <w:color w:val="auto"/>
                <w:w w:val="86"/>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Interest</w:t>
            </w:r>
          </w:p>
        </w:tc>
        <w:tc>
          <w:tcPr>
            <w:tcW w:w="620" w:type="dxa"/>
            <w:vAlign w:val="bottom"/>
          </w:tcPr>
          <w:p>
            <w:pPr>
              <w:jc w:val="right"/>
              <w:ind w:right="10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Balance</w:t>
            </w:r>
          </w:p>
        </w:tc>
        <w:tc>
          <w:tcPr>
            <w:tcW w:w="92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Interest</w:t>
            </w:r>
          </w:p>
        </w:tc>
        <w:tc>
          <w:tcPr>
            <w:tcW w:w="560" w:type="dxa"/>
            <w:vAlign w:val="bottom"/>
          </w:tcPr>
          <w:p>
            <w:pPr>
              <w:jc w:val="right"/>
              <w:ind w:right="10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Balance</w:t>
            </w:r>
          </w:p>
        </w:tc>
        <w:tc>
          <w:tcPr>
            <w:tcW w:w="90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Interest</w:t>
            </w:r>
          </w:p>
        </w:tc>
        <w:tc>
          <w:tcPr>
            <w:tcW w:w="580" w:type="dxa"/>
            <w:vAlign w:val="bottom"/>
          </w:tcPr>
          <w:p>
            <w:pPr>
              <w:jc w:val="right"/>
              <w:ind w:right="99"/>
              <w:spacing w:after="0"/>
              <w:rPr>
                <w:sz w:val="20"/>
                <w:szCs w:val="20"/>
                <w:color w:val="auto"/>
              </w:rPr>
            </w:pPr>
            <w:r>
              <w:rPr>
                <w:rFonts w:ascii="Arial" w:cs="Arial" w:eastAsia="Arial" w:hAnsi="Arial"/>
                <w:sz w:val="14"/>
                <w:szCs w:val="14"/>
                <w:color w:val="auto"/>
              </w:rPr>
              <w:t>Rate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3"/>
          </w:tcPr>
          <w:p>
            <w:pPr>
              <w:spacing w:after="0"/>
              <w:rPr>
                <w:sz w:val="20"/>
                <w:szCs w:val="20"/>
                <w:color w:val="auto"/>
              </w:rPr>
            </w:pPr>
            <w:r>
              <w:rPr>
                <w:rFonts w:ascii="Arial" w:cs="Arial" w:eastAsia="Arial" w:hAnsi="Arial"/>
                <w:sz w:val="16"/>
                <w:szCs w:val="16"/>
                <w:color w:val="auto"/>
              </w:rPr>
              <w:t>Loans and leases, net of unearned</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discount*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22,290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201,126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191,228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21,480</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185,552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ind w:left="240"/>
              <w:spacing w:after="0"/>
              <w:rPr>
                <w:sz w:val="20"/>
                <w:szCs w:val="20"/>
                <w:color w:val="auto"/>
              </w:rPr>
            </w:pPr>
            <w:r>
              <w:rPr>
                <w:rFonts w:ascii="Arial" w:cs="Arial" w:eastAsia="Arial" w:hAnsi="Arial"/>
                <w:sz w:val="16"/>
                <w:szCs w:val="16"/>
                <w:color w:val="auto"/>
              </w:rPr>
              <w:t>Real estate - commercial</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33,175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347,010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32,822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336,597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31,252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319,694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217,263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223,758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24,058</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235,813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Consumer</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140,170</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12,123</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138,144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11,942</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136,592</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89,797</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905,569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89,977</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889,727</w:t>
            </w:r>
          </w:p>
        </w:tc>
        <w:tc>
          <w:tcPr>
            <w:tcW w:w="20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88,732</w:t>
            </w:r>
          </w:p>
        </w:tc>
        <w:tc>
          <w:tcPr>
            <w:tcW w:w="22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877,651</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gridSpan w:val="3"/>
          </w:tcPr>
          <w:p>
            <w:pPr>
              <w:spacing w:after="0"/>
              <w:rPr>
                <w:sz w:val="20"/>
                <w:szCs w:val="20"/>
                <w:color w:val="auto"/>
              </w:rPr>
            </w:pPr>
            <w:r>
              <w:rPr>
                <w:rFonts w:ascii="Arial" w:cs="Arial" w:eastAsia="Arial" w:hAnsi="Arial"/>
                <w:sz w:val="16"/>
                <w:szCs w:val="16"/>
                <w:color w:val="auto"/>
              </w:rPr>
              <w:t>Interest-bearing deposits at banks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12,162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8,790</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11,833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9,681</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12,355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gridSpan w:val="3"/>
          </w:tcPr>
          <w:p>
            <w:pPr>
              <w:spacing w:after="0"/>
              <w:rPr>
                <w:sz w:val="20"/>
                <w:szCs w:val="20"/>
                <w:color w:val="auto"/>
              </w:rPr>
            </w:pPr>
            <w:r>
              <w:rPr>
                <w:rFonts w:ascii="Arial" w:cs="Arial" w:eastAsia="Arial" w:hAnsi="Arial"/>
                <w:sz w:val="16"/>
                <w:szCs w:val="16"/>
                <w:color w:val="auto"/>
              </w:rPr>
              <w:t>Trading account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ind w:left="240"/>
              <w:spacing w:after="0"/>
              <w:rPr>
                <w:sz w:val="20"/>
                <w:szCs w:val="20"/>
                <w:color w:val="auto"/>
              </w:rPr>
            </w:pPr>
            <w:r>
              <w:rPr>
                <w:rFonts w:ascii="Arial" w:cs="Arial" w:eastAsia="Arial" w:hAnsi="Arial"/>
                <w:sz w:val="16"/>
                <w:szCs w:val="16"/>
                <w:color w:val="auto"/>
              </w:rPr>
              <w:t>U.S. Treasury and federal agencies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88,573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14,511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80,510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13,418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78,259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subdivisions</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6,822</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6,745</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15,999</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95,973</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15,417</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88,366</w:t>
            </w:r>
          </w:p>
        </w:tc>
        <w:tc>
          <w:tcPr>
            <w:tcW w:w="20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14,361</w:t>
            </w:r>
          </w:p>
        </w:tc>
        <w:tc>
          <w:tcPr>
            <w:tcW w:w="22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85,892</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tcBorders>
              <w:bottom w:val="single" w:sz="8" w:color="CFF0FC"/>
            </w:tcBorders>
            <w:gridSpan w:val="2"/>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112,008</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1,014,032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114,254</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990,284</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112,864</w:t>
            </w:r>
          </w:p>
        </w:tc>
        <w:tc>
          <w:tcPr>
            <w:tcW w:w="22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976,240</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(1,003)</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(989)</w:t>
            </w: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(982)</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3"/>
          </w:tcPr>
          <w:p>
            <w:pPr>
              <w:spacing w:after="0"/>
              <w:rPr>
                <w:sz w:val="20"/>
                <w:szCs w:val="20"/>
                <w:color w:val="auto"/>
              </w:rPr>
            </w:pPr>
            <w:r>
              <w:rPr>
                <w:rFonts w:ascii="Arial" w:cs="Arial" w:eastAsia="Arial" w:hAnsi="Arial"/>
                <w:sz w:val="16"/>
                <w:szCs w:val="16"/>
                <w:color w:val="auto"/>
              </w:rPr>
              <w:t>Cash and due from banks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1,278</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11,191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11,562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320" w:type="dxa"/>
            <w:vAlign w:val="bottom"/>
            <w:tcBorders>
              <w:bottom w:val="single" w:sz="8" w:color="CFF0FC"/>
            </w:tcBorders>
            <w:gridSpan w:val="2"/>
          </w:tcPr>
          <w:p>
            <w:pPr>
              <w:ind w:left="480"/>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122,978</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125,734</w:t>
            </w:r>
          </w:p>
        </w:tc>
        <w:tc>
          <w:tcPr>
            <w:tcW w:w="2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5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124,725</w:t>
            </w:r>
          </w:p>
        </w:tc>
        <w:tc>
          <w:tcPr>
            <w:tcW w:w="220" w:type="dxa"/>
            <w:vAlign w:val="bottom"/>
            <w:tcBorders>
              <w:bottom w:val="single" w:sz="8" w:color="CFF0FC"/>
            </w:tcBorders>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gridSpan w:val="3"/>
          </w:tcPr>
          <w:p>
            <w:pPr>
              <w:spacing w:after="0"/>
              <w:rPr>
                <w:sz w:val="20"/>
                <w:szCs w:val="20"/>
                <w:color w:val="auto"/>
              </w:rPr>
            </w:pPr>
            <w:r>
              <w:rPr>
                <w:rFonts w:ascii="Arial" w:cs="Arial" w:eastAsia="Arial" w:hAnsi="Arial"/>
                <w:sz w:val="16"/>
                <w:szCs w:val="16"/>
                <w:color w:val="auto"/>
              </w:rPr>
              <w:t>Interest-bearing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240"/>
              <w:spacing w:after="0"/>
              <w:rPr>
                <w:sz w:val="20"/>
                <w:szCs w:val="20"/>
                <w:color w:val="auto"/>
              </w:rPr>
            </w:pPr>
            <w:r>
              <w:rPr>
                <w:rFonts w:ascii="Arial" w:cs="Arial" w:eastAsia="Arial" w:hAnsi="Arial"/>
                <w:sz w:val="16"/>
                <w:szCs w:val="16"/>
                <w:color w:val="auto"/>
              </w:rPr>
              <w:t>Savings and interest-checking</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tcPr>
          <w:p>
            <w:pPr>
              <w:ind w:left="360"/>
              <w:spacing w:after="0"/>
              <w:rPr>
                <w:sz w:val="20"/>
                <w:szCs w:val="20"/>
                <w:color w:val="auto"/>
              </w:rPr>
            </w:pPr>
            <w:r>
              <w:rPr>
                <w:rFonts w:ascii="Arial" w:cs="Arial" w:eastAsia="Arial" w:hAnsi="Arial"/>
                <w:sz w:val="16"/>
                <w:szCs w:val="16"/>
                <w:color w:val="auto"/>
              </w:rPr>
              <w:t>deposits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53,260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54,055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26,798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52,516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24,067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18,998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23,766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12,334</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27,886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Deposits at Cayman Islands office</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63,013</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44,897</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65,197</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50,783</w:t>
            </w:r>
          </w:p>
        </w:tc>
        <w:tc>
          <w:tcPr>
            <w:tcW w:w="20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65,070</w:t>
            </w:r>
          </w:p>
        </w:tc>
        <w:tc>
          <w:tcPr>
            <w:tcW w:w="22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52,157</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gridSpan w:val="3"/>
          </w:tcPr>
          <w:p>
            <w:pPr>
              <w:spacing w:after="0"/>
              <w:rPr>
                <w:sz w:val="20"/>
                <w:szCs w:val="20"/>
                <w:color w:val="auto"/>
              </w:rPr>
            </w:pPr>
            <w:r>
              <w:rPr>
                <w:rFonts w:ascii="Arial" w:cs="Arial" w:eastAsia="Arial" w:hAnsi="Arial"/>
                <w:sz w:val="16"/>
                <w:szCs w:val="16"/>
                <w:color w:val="auto"/>
              </w:rPr>
              <w:t>Short-term borrowings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8,423</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46,660</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9,901</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56,203</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10,287</w:t>
            </w: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58,849</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20" w:type="dxa"/>
            <w:vAlign w:val="bottom"/>
            <w:tcBorders>
              <w:bottom w:val="single" w:sz="8" w:color="CFF0FC"/>
            </w:tcBorders>
            <w:gridSpan w:val="2"/>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71,620</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91,773</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75,298</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107,137</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75,588</w:t>
            </w:r>
          </w:p>
        </w:tc>
        <w:tc>
          <w:tcPr>
            <w:tcW w:w="22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111,175</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33,287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31,717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30,782</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106,655</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109,061</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108,378</w:t>
            </w: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gridSpan w:val="3"/>
          </w:tcPr>
          <w:p>
            <w:pPr>
              <w:spacing w:after="0"/>
              <w:rPr>
                <w:sz w:val="20"/>
                <w:szCs w:val="20"/>
                <w:color w:val="auto"/>
              </w:rPr>
            </w:pPr>
            <w:r>
              <w:rPr>
                <w:rFonts w:ascii="Arial" w:cs="Arial" w:eastAsia="Arial" w:hAnsi="Arial"/>
                <w:sz w:val="16"/>
                <w:szCs w:val="16"/>
                <w:color w:val="auto"/>
              </w:rPr>
              <w:t>Shareholders’ equity</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16,323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16,673</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16,347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6"/>
                <w:szCs w:val="16"/>
                <w:color w:val="auto"/>
              </w:rPr>
              <w:t>Total liabilities and</w:t>
            </w: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6"/>
                <w:szCs w:val="16"/>
                <w:color w:val="auto"/>
              </w:rPr>
              <w:t>shareholders’ equity</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122,978</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125,734</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124,725</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Arial" w:cs="Arial" w:eastAsia="Arial" w:hAnsi="Arial"/>
                <w:sz w:val="16"/>
                <w:szCs w:val="16"/>
                <w:color w:val="auto"/>
              </w:rPr>
              <w:t>Net interest spread</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3.15</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2.88</w:t>
            </w: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40" w:type="dxa"/>
            <w:vAlign w:val="bottom"/>
            <w:gridSpan w:val="3"/>
          </w:tcPr>
          <w:p>
            <w:pPr>
              <w:spacing w:after="0"/>
              <w:rPr>
                <w:sz w:val="20"/>
                <w:szCs w:val="20"/>
                <w:color w:val="auto"/>
              </w:rPr>
            </w:pPr>
            <w:r>
              <w:rPr>
                <w:rFonts w:ascii="Arial" w:cs="Arial" w:eastAsia="Arial" w:hAnsi="Arial"/>
                <w:sz w:val="16"/>
                <w:szCs w:val="16"/>
                <w:color w:val="auto"/>
              </w:rPr>
              <w:t>Net interest income/margin on</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6"/>
                <w:szCs w:val="16"/>
                <w:color w:val="auto"/>
              </w:rPr>
              <w:t>earning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922,259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883,147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865,065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4"/>
          </w:tcPr>
          <w:p>
            <w:pPr>
              <w:jc w:val="right"/>
              <w:spacing w:after="0"/>
              <w:rPr>
                <w:sz w:val="20"/>
                <w:szCs w:val="20"/>
                <w:color w:val="auto"/>
              </w:rPr>
            </w:pPr>
            <w:r>
              <w:rPr>
                <w:rFonts w:ascii="Arial" w:cs="Arial" w:eastAsia="Arial" w:hAnsi="Arial"/>
                <w:sz w:val="20"/>
                <w:szCs w:val="20"/>
                <w:color w:val="auto"/>
              </w:rPr>
              <w:t>Table 3 (continued)</w:t>
            </w:r>
          </w:p>
        </w:tc>
        <w:tc>
          <w:tcPr>
            <w:tcW w:w="0" w:type="dxa"/>
            <w:vAlign w:val="bottom"/>
          </w:tcPr>
          <w:p>
            <w:pPr>
              <w:spacing w:after="0"/>
              <w:rPr>
                <w:sz w:val="1"/>
                <w:szCs w:val="1"/>
                <w:color w:val="auto"/>
              </w:rPr>
            </w:pPr>
          </w:p>
        </w:tc>
      </w:tr>
      <w:tr>
        <w:trPr>
          <w:trHeight w:val="338"/>
        </w:trPr>
        <w:tc>
          <w:tcPr>
            <w:tcW w:w="9060" w:type="dxa"/>
            <w:vAlign w:val="bottom"/>
            <w:gridSpan w:val="13"/>
          </w:tcPr>
          <w:p>
            <w:pPr>
              <w:spacing w:after="0"/>
              <w:rPr>
                <w:sz w:val="20"/>
                <w:szCs w:val="20"/>
                <w:color w:val="auto"/>
              </w:rPr>
            </w:pPr>
            <w:r>
              <w:rPr>
                <w:rFonts w:ascii="Arial" w:cs="Arial" w:eastAsia="Arial" w:hAnsi="Arial"/>
                <w:sz w:val="20"/>
                <w:szCs w:val="20"/>
                <w:color w:val="auto"/>
              </w:rPr>
              <w:t>AVERAGE BALANCE SHEETS AND ANNUALIZED TAXABLE-EQUIVALENT RATES (continued)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4"/>
                <w:szCs w:val="14"/>
                <w:color w:val="auto"/>
                <w:w w:val="88"/>
              </w:rPr>
              <w:t>Average</w:t>
            </w:r>
          </w:p>
        </w:tc>
        <w:tc>
          <w:tcPr>
            <w:tcW w:w="1300" w:type="dxa"/>
            <w:vAlign w:val="bottom"/>
            <w:gridSpan w:val="4"/>
          </w:tcPr>
          <w:p>
            <w:pPr>
              <w:jc w:val="center"/>
              <w:ind w:right="80"/>
              <w:spacing w:after="0"/>
              <w:rPr>
                <w:sz w:val="20"/>
                <w:szCs w:val="20"/>
                <w:color w:val="auto"/>
              </w:rPr>
            </w:pPr>
            <w:r>
              <w:rPr>
                <w:rFonts w:ascii="Arial" w:cs="Arial" w:eastAsia="Arial" w:hAnsi="Arial"/>
                <w:sz w:val="14"/>
                <w:szCs w:val="14"/>
                <w:color w:val="auto"/>
                <w:w w:val="91"/>
              </w:rPr>
              <w:t>2016 Second Quarter</w:t>
            </w:r>
          </w:p>
        </w:tc>
        <w:tc>
          <w:tcPr>
            <w:tcW w:w="720" w:type="dxa"/>
            <w:vAlign w:val="bottom"/>
            <w:vMerge w:val="restart"/>
          </w:tcPr>
          <w:p>
            <w:pPr>
              <w:jc w:val="right"/>
              <w:ind w:right="60"/>
              <w:spacing w:after="0"/>
              <w:rPr>
                <w:sz w:val="20"/>
                <w:szCs w:val="20"/>
                <w:color w:val="auto"/>
              </w:rPr>
            </w:pPr>
            <w:r>
              <w:rPr>
                <w:rFonts w:ascii="Arial" w:cs="Arial" w:eastAsia="Arial" w:hAnsi="Arial"/>
                <w:sz w:val="14"/>
                <w:szCs w:val="14"/>
                <w:color w:val="auto"/>
              </w:rPr>
              <w:t>Average</w:t>
            </w:r>
          </w:p>
        </w:tc>
        <w:tc>
          <w:tcPr>
            <w:tcW w:w="320" w:type="dxa"/>
            <w:vAlign w:val="bottom"/>
          </w:tcPr>
          <w:p>
            <w:pPr>
              <w:spacing w:after="0"/>
              <w:rPr>
                <w:sz w:val="24"/>
                <w:szCs w:val="24"/>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Average</w:t>
            </w:r>
          </w:p>
        </w:tc>
        <w:tc>
          <w:tcPr>
            <w:tcW w:w="126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2016 First Quarter</w:t>
            </w:r>
          </w:p>
        </w:tc>
        <w:tc>
          <w:tcPr>
            <w:tcW w:w="760" w:type="dxa"/>
            <w:vAlign w:val="bottom"/>
            <w:vMerge w:val="restart"/>
          </w:tcPr>
          <w:p>
            <w:pPr>
              <w:jc w:val="right"/>
              <w:ind w:right="60"/>
              <w:spacing w:after="0"/>
              <w:rPr>
                <w:sz w:val="20"/>
                <w:szCs w:val="20"/>
                <w:color w:val="auto"/>
              </w:rPr>
            </w:pPr>
            <w:r>
              <w:rPr>
                <w:rFonts w:ascii="Arial" w:cs="Arial" w:eastAsia="Arial" w:hAnsi="Arial"/>
                <w:sz w:val="14"/>
                <w:szCs w:val="14"/>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color w:val="auto"/>
                <w:w w:val="90"/>
              </w:rPr>
              <w:t>Balance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Interest</w:t>
            </w:r>
          </w:p>
        </w:tc>
        <w:tc>
          <w:tcPr>
            <w:tcW w:w="720" w:type="dxa"/>
            <w:vAlign w:val="bottom"/>
          </w:tcPr>
          <w:p>
            <w:pPr>
              <w:jc w:val="right"/>
              <w:ind w:right="160"/>
              <w:spacing w:after="0"/>
              <w:rPr>
                <w:sz w:val="20"/>
                <w:szCs w:val="20"/>
                <w:color w:val="auto"/>
              </w:rPr>
            </w:pPr>
            <w:r>
              <w:rPr>
                <w:rFonts w:ascii="Arial" w:cs="Arial" w:eastAsia="Arial" w:hAnsi="Arial"/>
                <w:sz w:val="14"/>
                <w:szCs w:val="14"/>
                <w:color w:val="auto"/>
              </w:rPr>
              <w:t>Rate</w:t>
            </w:r>
          </w:p>
        </w:tc>
        <w:tc>
          <w:tcPr>
            <w:tcW w:w="3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Interest</w:t>
            </w:r>
          </w:p>
        </w:tc>
        <w:tc>
          <w:tcPr>
            <w:tcW w:w="760" w:type="dxa"/>
            <w:vAlign w:val="bottom"/>
          </w:tcPr>
          <w:p>
            <w:pPr>
              <w:jc w:val="right"/>
              <w:ind w:right="180"/>
              <w:spacing w:after="0"/>
              <w:rPr>
                <w:sz w:val="20"/>
                <w:szCs w:val="20"/>
                <w:color w:val="auto"/>
              </w:rPr>
            </w:pPr>
            <w:r>
              <w:rPr>
                <w:rFonts w:ascii="Arial" w:cs="Arial" w:eastAsia="Arial" w:hAnsi="Arial"/>
                <w:sz w:val="14"/>
                <w:szCs w:val="14"/>
                <w:color w:val="auto"/>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6"/>
                <w:szCs w:val="16"/>
                <w:color w:val="auto"/>
              </w:rPr>
              <w:t>discount*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21,450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184,803</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20,717</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174,657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Real estate - commercial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311,490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29,426</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309,415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24,858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244,806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25,859</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254,144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11,713</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132,437</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11,582</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130,971</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88,155</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873,536</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87,584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869,187</w:t>
            </w: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8,711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10,993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8,193</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10,337</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378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84,019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14,264</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90,138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 subdivisions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1,164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7,222</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7,961</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14,914</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92,250</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15,348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99,263</w:t>
            </w: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Borders>
              <w:bottom w:val="single" w:sz="8" w:color="CFF0FC"/>
            </w:tcBorders>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111,872</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977,143</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111,211</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979,166</w:t>
            </w:r>
          </w:p>
        </w:tc>
        <w:tc>
          <w:tcPr>
            <w:tcW w:w="3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(955)</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11,567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11,708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0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123,706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Savings and interest-checking deposits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51,847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20,534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50,335</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16,305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12,755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12,999</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24,322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Deposits at Cayman Islands office</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64,784</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47,582</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63,521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40,820</w:t>
            </w: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2,162</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10,297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58,077</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57,888</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76,159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106,802</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76,131</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100,870</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29,249</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28,870</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107,329</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106,973</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16,377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123,706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123,252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2.95</w:t>
            </w: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Net interest income/margin on earning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870,341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878,296</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8" w:name="page79"/>
    <w:bookmarkEnd w:id="78"/>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10"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4.Controls and Procedures.</w:t>
      </w:r>
    </w:p>
    <w:p>
      <w:pPr>
        <w:spacing w:after="0" w:line="110" w:lineRule="exact"/>
        <w:rPr>
          <w:sz w:val="20"/>
          <w:szCs w:val="20"/>
          <w:color w:val="auto"/>
        </w:rPr>
      </w:pPr>
    </w:p>
    <w:p>
      <w:pPr>
        <w:jc w:val="both"/>
        <w:ind w:firstLine="526"/>
        <w:spacing w:after="0" w:line="249" w:lineRule="auto"/>
        <w:tabs>
          <w:tab w:leader="none" w:pos="844" w:val="left"/>
        </w:tabs>
        <w:numPr>
          <w:ilvl w:val="0"/>
          <w:numId w:val="29"/>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Darren J. King, Executive Vice President and Chief Financial Officer, concluded that M&amp;T’s disclosure controls and procedures were effective as of March 31, 2017.</w:t>
      </w:r>
    </w:p>
    <w:p>
      <w:pPr>
        <w:spacing w:after="0" w:line="78" w:lineRule="exact"/>
        <w:rPr>
          <w:rFonts w:ascii="Arial" w:cs="Arial" w:eastAsia="Arial" w:hAnsi="Arial"/>
          <w:sz w:val="21"/>
          <w:szCs w:val="21"/>
          <w:color w:val="auto"/>
        </w:rPr>
      </w:pPr>
    </w:p>
    <w:p>
      <w:pPr>
        <w:jc w:val="both"/>
        <w:ind w:firstLine="526"/>
        <w:spacing w:after="0" w:line="247" w:lineRule="auto"/>
        <w:tabs>
          <w:tab w:leader="none" w:pos="817" w:val="left"/>
        </w:tabs>
        <w:numPr>
          <w:ilvl w:val="0"/>
          <w:numId w:val="29"/>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2017 that have materially affected, or are reasonably likely to materially affect, M&amp;T’s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1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Wilmington Trust Corporation Investigative and Litigation Matters</w:t>
      </w:r>
    </w:p>
    <w:p>
      <w:pPr>
        <w:spacing w:after="0" w:line="11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M&amp;T’s Wilmington Trust Corporation subsidiary is the subject of certain governmental investigations arising from actions undertaken by Wilmington Trust Corporation prior to M&amp;T’s acquisition of Wilmington Trust Corporation and its subsidiaries, as set forth below.</w:t>
      </w:r>
    </w:p>
    <w:p>
      <w:pPr>
        <w:spacing w:after="0" w:line="317"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i w:val="1"/>
          <w:iCs w:val="1"/>
          <w:color w:val="auto"/>
        </w:rPr>
        <w:t xml:space="preserve">DOJ Investigation (United States v. Wilmington Trust Corp., et al, District of Delaware, Crim. No. 15-23-RGA): </w:t>
      </w:r>
      <w:r>
        <w:rPr>
          <w:rFonts w:ascii="Arial" w:cs="Arial" w:eastAsia="Arial" w:hAnsi="Arial"/>
          <w:sz w:val="20"/>
          <w:szCs w:val="20"/>
          <w:color w:val="auto"/>
        </w:rPr>
        <w:t>Prior to M&amp;T’s</w:t>
      </w:r>
      <w:r>
        <w:rPr>
          <w:rFonts w:ascii="Arial" w:cs="Arial" w:eastAsia="Arial" w:hAnsi="Arial"/>
          <w:sz w:val="20"/>
          <w:szCs w:val="20"/>
          <w:i w:val="1"/>
          <w:iCs w:val="1"/>
          <w:color w:val="auto"/>
        </w:rPr>
        <w:t xml:space="preserve"> </w:t>
      </w:r>
      <w:r>
        <w:rPr>
          <w:rFonts w:ascii="Arial" w:cs="Arial" w:eastAsia="Arial" w:hAnsi="Arial"/>
          <w:sz w:val="20"/>
          <w:szCs w:val="20"/>
          <w:color w:val="auto"/>
        </w:rPr>
        <w:t>acquisition of 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 May 2011. M&amp;T strongly believes that this unprecedented action is unjustified and Wilmington Trust Corporation will vigorously defend itself. On August 26, 2016, the Court granted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9" w:name="page80"/>
    <w:bookmarkEnd w:id="79"/>
    <w:p>
      <w:pPr>
        <w:jc w:val="both"/>
        <w:spacing w:after="0" w:line="289" w:lineRule="auto"/>
        <w:rPr>
          <w:sz w:val="20"/>
          <w:szCs w:val="20"/>
          <w:color w:val="auto"/>
        </w:rPr>
      </w:pPr>
      <w:r>
        <w:rPr>
          <w:rFonts w:ascii="Arial" w:cs="Arial" w:eastAsia="Arial" w:hAnsi="Arial"/>
          <w:sz w:val="20"/>
          <w:szCs w:val="20"/>
          <w:color w:val="auto"/>
        </w:rPr>
        <w:t>defendants joint motion for a continuance of the trial date. Trial in this matter is now scheduled to begin on October 2, 2017. Wilmington Trust Corporation and its counsel are currently involved in pretrial discovery, motion practice and trial preparation.</w:t>
      </w:r>
    </w:p>
    <w:p>
      <w:pPr>
        <w:spacing w:after="0" w:line="175"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indictment of Wilmington Trust Corporation could result in potential criminal remedies, or criminal or non-criminal resolutions or settlements, including, among other things, enforcement actions, potential statutory or regulatory restrictions on the ability to conduct certain businesses (for which waivers may or may not be available), fines, penalties, restitution, reputational damage or additional costs and expenses.</w:t>
      </w:r>
    </w:p>
    <w:p>
      <w:pPr>
        <w:spacing w:after="0" w:line="213"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i w:val="1"/>
          <w:iCs w:val="1"/>
          <w:color w:val="auto"/>
        </w:rPr>
        <w:t xml:space="preserve">In Re Wilmington Trust Securities Litigation (U.S. District Court, District of Delaware, Case No. 10-CV-0990-SLR): </w:t>
      </w:r>
      <w:r>
        <w:rPr>
          <w:rFonts w:ascii="Arial" w:cs="Arial" w:eastAsia="Arial" w:hAnsi="Arial"/>
          <w:sz w:val="19"/>
          <w:szCs w:val="19"/>
          <w:color w:val="auto"/>
        </w:rPr>
        <w:t>Beginning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November 18, 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and Wilmington Trust Corporation moved to dismiss. The Court issued an order denying Wilmington Trust Corporation’s motion to dismiss on March 20, 2014. Fact discovery commenced. On April 13, 2016, the Court issued an order staying fact discovery in the case pending completion of the trial in </w:t>
      </w:r>
      <w:r>
        <w:rPr>
          <w:rFonts w:ascii="Arial" w:cs="Arial" w:eastAsia="Arial" w:hAnsi="Arial"/>
          <w:sz w:val="19"/>
          <w:szCs w:val="19"/>
          <w:i w:val="1"/>
          <w:iCs w:val="1"/>
          <w:color w:val="auto"/>
        </w:rPr>
        <w:t>U.S. v. Wilmington Trust Corp., et al.</w:t>
      </w:r>
      <w:r>
        <w:rPr>
          <w:rFonts w:ascii="Arial" w:cs="Arial" w:eastAsia="Arial" w:hAnsi="Arial"/>
          <w:sz w:val="19"/>
          <w:szCs w:val="19"/>
          <w:color w:val="auto"/>
        </w:rPr>
        <w:t xml:space="preserve"> On September 19, 2016, the plaintiffs filed a motion to modify the stay of discovery in this matter to allow for additional, limited discovery. On December 19, 2016, the Court issued an order lifting the existing stay in its entirety. Trial is scheduled to begin on June 18, 2018.</w:t>
      </w:r>
    </w:p>
    <w:p>
      <w:pPr>
        <w:spacing w:after="0" w:line="192"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Due to their complex nature, it is difficult to estimate when litigation and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0" w:name="page81"/>
    <w:bookmarkEnd w:id="80"/>
    <w:p>
      <w:pPr>
        <w:spacing w:after="0"/>
        <w:tabs>
          <w:tab w:leader="none" w:pos="102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10"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There have been no material changes in risk factors relating to M&amp;T to those disclosed in response to Item 1A. to Part I of Form 10-K for the year ended December 31, 2016.</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10" w:lineRule="exact"/>
        <w:rPr>
          <w:sz w:val="20"/>
          <w:szCs w:val="20"/>
          <w:color w:val="auto"/>
        </w:rPr>
      </w:pPr>
    </w:p>
    <w:p>
      <w:pPr>
        <w:ind w:left="800" w:hanging="274"/>
        <w:spacing w:after="0"/>
        <w:tabs>
          <w:tab w:leader="none" w:pos="8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1"/>
        </w:numPr>
        <w:rPr>
          <w:rFonts w:ascii="Arial" w:cs="Arial" w:eastAsia="Arial" w:hAnsi="Arial"/>
          <w:sz w:val="21"/>
          <w:szCs w:val="21"/>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color w:val="auto"/>
                <w:w w:val="93"/>
              </w:rPr>
              <w:t>Issuer Purchases of Equity Securities</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Arial" w:cs="Arial" w:eastAsia="Arial" w:hAnsi="Arial"/>
                <w:sz w:val="14"/>
                <w:szCs w:val="14"/>
                <w:color w:val="auto"/>
                <w:w w:val="97"/>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(c)Total</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Number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Shares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(or Units)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Purchased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5"/>
              </w:rPr>
              <w:t>(a)Total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as Part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2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5"/>
              </w:rPr>
              <w:t>(b)Average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Publicly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Price Paid</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Announced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per Share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Plans or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61"/>
        </w:trPr>
        <w:tc>
          <w:tcPr>
            <w:tcW w:w="4820" w:type="dxa"/>
            <w:vAlign w:val="bottom"/>
            <w:gridSpan w:val="4"/>
          </w:tcPr>
          <w:p>
            <w:pPr>
              <w:spacing w:after="0" w:line="154" w:lineRule="exact"/>
              <w:rPr>
                <w:sz w:val="20"/>
                <w:szCs w:val="20"/>
                <w:color w:val="auto"/>
              </w:rPr>
            </w:pPr>
            <w:r>
              <w:rPr>
                <w:rFonts w:ascii="Arial" w:cs="Arial" w:eastAsia="Arial" w:hAnsi="Arial"/>
                <w:sz w:val="14"/>
                <w:szCs w:val="14"/>
                <w:color w:val="auto"/>
              </w:rPr>
              <w:t>Period</w:t>
            </w:r>
          </w:p>
        </w:tc>
        <w:tc>
          <w:tcPr>
            <w:tcW w:w="840" w:type="dxa"/>
            <w:vAlign w:val="bottom"/>
          </w:tcPr>
          <w:p>
            <w:pPr>
              <w:jc w:val="center"/>
              <w:spacing w:after="0" w:line="154" w:lineRule="exact"/>
              <w:rPr>
                <w:sz w:val="20"/>
                <w:szCs w:val="20"/>
                <w:color w:val="auto"/>
              </w:rPr>
            </w:pPr>
            <w:r>
              <w:rPr>
                <w:rFonts w:ascii="Arial" w:cs="Arial" w:eastAsia="Arial" w:hAnsi="Arial"/>
                <w:sz w:val="14"/>
                <w:szCs w:val="14"/>
                <w:color w:val="auto"/>
                <w:w w:val="90"/>
              </w:rPr>
              <w:t>Purchased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8"/>
              </w:rPr>
              <w:t>(or Unit)</w:t>
            </w:r>
          </w:p>
        </w:tc>
        <w:tc>
          <w:tcPr>
            <w:tcW w:w="110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2"/>
              </w:rPr>
              <w:t>Programs</w:t>
            </w:r>
          </w:p>
        </w:tc>
        <w:tc>
          <w:tcPr>
            <w:tcW w:w="110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January 1 - January 31, 2017</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1,025,996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161.47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$ 617,531,000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February 1 - February 28, 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2,340,750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165.83</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2,333,196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230,593,000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March 1 - March 31, 2017</w:t>
            </w:r>
          </w:p>
        </w:tc>
        <w:tc>
          <w:tcPr>
            <w:tcW w:w="840" w:type="dxa"/>
            <w:vAlign w:val="bottom"/>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155.56</w:t>
            </w:r>
          </w:p>
        </w:tc>
        <w:tc>
          <w:tcPr>
            <w:tcW w:w="2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230,593,000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3,367,214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3,233,196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54" w:lineRule="auto"/>
        <w:tabs>
          <w:tab w:leader="none" w:pos="5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20" w:hanging="512"/>
        <w:spacing w:after="0"/>
        <w:tabs>
          <w:tab w:leader="none" w:pos="5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On July 19, 2016, M&amp;T announced a program to purchase up to $1.15 billion of its common stock through June 30, 2017.</w:t>
      </w:r>
    </w:p>
    <w:p>
      <w:pPr>
        <w:spacing w:after="0" w:line="200" w:lineRule="exact"/>
        <w:rPr>
          <w:sz w:val="20"/>
          <w:szCs w:val="20"/>
          <w:color w:val="auto"/>
        </w:rPr>
      </w:pP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1"/>
                <w:szCs w:val="21"/>
                <w:color w:val="auto"/>
              </w:rPr>
              <w:t>Item 6.</w:t>
            </w:r>
          </w:p>
        </w:tc>
        <w:tc>
          <w:tcPr>
            <w:tcW w:w="10460" w:type="dxa"/>
            <w:vAlign w:val="bottom"/>
          </w:tcPr>
          <w:p>
            <w:pPr>
              <w:ind w:left="80"/>
              <w:spacing w:after="0"/>
              <w:rPr>
                <w:sz w:val="20"/>
                <w:szCs w:val="20"/>
                <w:color w:val="auto"/>
              </w:rPr>
            </w:pPr>
            <w:r>
              <w:rPr>
                <w:rFonts w:ascii="Arial" w:cs="Arial" w:eastAsia="Arial" w:hAnsi="Arial"/>
                <w:sz w:val="21"/>
                <w:szCs w:val="21"/>
                <w:color w:val="auto"/>
              </w:rPr>
              <w:t>Exhibits.</w:t>
            </w:r>
          </w:p>
        </w:tc>
      </w:tr>
      <w:tr>
        <w:trPr>
          <w:trHeight w:val="351"/>
        </w:trPr>
        <w:tc>
          <w:tcPr>
            <w:tcW w:w="11420" w:type="dxa"/>
            <w:vAlign w:val="bottom"/>
            <w:gridSpan w:val="2"/>
          </w:tcPr>
          <w:p>
            <w:pPr>
              <w:ind w:left="52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8"/>
        </w:trPr>
        <w:tc>
          <w:tcPr>
            <w:tcW w:w="960" w:type="dxa"/>
            <w:vAlign w:val="bottom"/>
          </w:tcPr>
          <w:p>
            <w:pPr>
              <w:ind w:left="180"/>
              <w:spacing w:after="0"/>
              <w:rPr>
                <w:sz w:val="20"/>
                <w:szCs w:val="20"/>
                <w:color w:val="auto"/>
              </w:rPr>
            </w:pPr>
            <w:r>
              <w:rPr>
                <w:rFonts w:ascii="Arial" w:cs="Arial" w:eastAsia="Arial" w:hAnsi="Arial"/>
                <w:sz w:val="21"/>
                <w:szCs w:val="21"/>
                <w:color w:val="auto"/>
              </w:rPr>
              <w:t>Exhibit</w:t>
            </w:r>
          </w:p>
        </w:tc>
        <w:tc>
          <w:tcPr>
            <w:tcW w:w="10460" w:type="dxa"/>
            <w:vAlign w:val="bottom"/>
          </w:tcPr>
          <w:p>
            <w:pPr>
              <w:spacing w:after="0"/>
              <w:rPr>
                <w:sz w:val="24"/>
                <w:szCs w:val="24"/>
                <w:color w:val="auto"/>
              </w:rPr>
            </w:pPr>
          </w:p>
        </w:tc>
      </w:tr>
      <w:tr>
        <w:trPr>
          <w:trHeight w:val="256"/>
        </w:trPr>
        <w:tc>
          <w:tcPr>
            <w:tcW w:w="960" w:type="dxa"/>
            <w:vAlign w:val="bottom"/>
            <w:tcBorders>
              <w:bottom w:val="single" w:sz="8" w:color="auto"/>
            </w:tcBorders>
          </w:tcPr>
          <w:p>
            <w:pPr>
              <w:ind w:left="340"/>
              <w:spacing w:after="0"/>
              <w:rPr>
                <w:sz w:val="20"/>
                <w:szCs w:val="20"/>
                <w:color w:val="auto"/>
              </w:rPr>
            </w:pPr>
            <w:r>
              <w:rPr>
                <w:rFonts w:ascii="Arial" w:cs="Arial" w:eastAsia="Arial" w:hAnsi="Arial"/>
                <w:sz w:val="21"/>
                <w:szCs w:val="21"/>
                <w:color w:val="auto"/>
              </w:rPr>
              <w:t>No.</w:t>
            </w:r>
          </w:p>
        </w:tc>
        <w:tc>
          <w:tcPr>
            <w:tcW w:w="10460" w:type="dxa"/>
            <w:vAlign w:val="bottom"/>
          </w:tcPr>
          <w:p>
            <w:pPr>
              <w:spacing w:after="0"/>
              <w:rPr>
                <w:sz w:val="22"/>
                <w:szCs w:val="22"/>
                <w:color w:val="auto"/>
              </w:rPr>
            </w:pPr>
          </w:p>
        </w:tc>
      </w:tr>
      <w:tr>
        <w:trPr>
          <w:trHeight w:val="709"/>
        </w:trPr>
        <w:tc>
          <w:tcPr>
            <w:tcW w:w="960" w:type="dxa"/>
            <w:vAlign w:val="bottom"/>
          </w:tcPr>
          <w:p>
            <w:pPr>
              <w:jc w:val="center"/>
              <w:ind w:right="276"/>
              <w:spacing w:after="0"/>
              <w:rPr>
                <w:sz w:val="20"/>
                <w:szCs w:val="20"/>
                <w:color w:val="auto"/>
              </w:rPr>
            </w:pPr>
            <w:r>
              <w:rPr>
                <w:rFonts w:ascii="Arial" w:cs="Arial" w:eastAsia="Arial" w:hAnsi="Arial"/>
                <w:sz w:val="21"/>
                <w:szCs w:val="21"/>
                <w:color w:val="auto"/>
                <w:w w:val="88"/>
              </w:rPr>
              <w:t>3.2</w:t>
            </w:r>
          </w:p>
        </w:tc>
        <w:tc>
          <w:tcPr>
            <w:tcW w:w="10460" w:type="dxa"/>
            <w:vAlign w:val="bottom"/>
          </w:tcPr>
          <w:p>
            <w:pPr>
              <w:ind w:left="200"/>
              <w:spacing w:after="0"/>
              <w:rPr>
                <w:sz w:val="20"/>
                <w:szCs w:val="20"/>
                <w:color w:val="auto"/>
              </w:rPr>
            </w:pPr>
            <w:r>
              <w:rPr>
                <w:rFonts w:ascii="Arial" w:cs="Arial" w:eastAsia="Arial" w:hAnsi="Arial"/>
                <w:sz w:val="21"/>
                <w:szCs w:val="21"/>
                <w:color w:val="auto"/>
                <w:w w:val="91"/>
              </w:rPr>
              <w:t>Amended and Restated Bylaws of M&amp;T Bank Corporation, effective November 16, 2010, as amended on April 18, 2017.</w:t>
            </w:r>
          </w:p>
        </w:tc>
      </w:tr>
      <w:tr>
        <w:trPr>
          <w:trHeight w:val="264"/>
        </w:trPr>
        <w:tc>
          <w:tcPr>
            <w:tcW w:w="960" w:type="dxa"/>
            <w:vAlign w:val="bottom"/>
          </w:tcPr>
          <w:p>
            <w:pPr>
              <w:spacing w:after="0"/>
              <w:rPr>
                <w:sz w:val="22"/>
                <w:szCs w:val="22"/>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Filed herewith.</w:t>
            </w:r>
          </w:p>
        </w:tc>
      </w:tr>
      <w:tr>
        <w:trPr>
          <w:trHeight w:val="486"/>
        </w:trPr>
        <w:tc>
          <w:tcPr>
            <w:tcW w:w="960" w:type="dxa"/>
            <w:vAlign w:val="bottom"/>
          </w:tcPr>
          <w:p>
            <w:pPr>
              <w:jc w:val="center"/>
              <w:ind w:right="256"/>
              <w:spacing w:after="0"/>
              <w:rPr>
                <w:sz w:val="20"/>
                <w:szCs w:val="20"/>
                <w:color w:val="auto"/>
              </w:rPr>
            </w:pPr>
            <w:r>
              <w:rPr>
                <w:rFonts w:ascii="Arial" w:cs="Arial" w:eastAsia="Arial" w:hAnsi="Arial"/>
                <w:sz w:val="21"/>
                <w:szCs w:val="21"/>
                <w:color w:val="auto"/>
                <w:w w:val="87"/>
              </w:rPr>
              <w:t>31.1</w:t>
            </w:r>
          </w:p>
        </w:tc>
        <w:tc>
          <w:tcPr>
            <w:tcW w:w="10460" w:type="dxa"/>
            <w:vAlign w:val="bottom"/>
          </w:tcPr>
          <w:p>
            <w:pPr>
              <w:ind w:left="20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486"/>
        </w:trPr>
        <w:tc>
          <w:tcPr>
            <w:tcW w:w="960" w:type="dxa"/>
            <w:vAlign w:val="bottom"/>
          </w:tcPr>
          <w:p>
            <w:pPr>
              <w:jc w:val="center"/>
              <w:ind w:right="256"/>
              <w:spacing w:after="0"/>
              <w:rPr>
                <w:sz w:val="20"/>
                <w:szCs w:val="20"/>
                <w:color w:val="auto"/>
              </w:rPr>
            </w:pPr>
            <w:r>
              <w:rPr>
                <w:rFonts w:ascii="Arial" w:cs="Arial" w:eastAsia="Arial" w:hAnsi="Arial"/>
                <w:sz w:val="21"/>
                <w:szCs w:val="21"/>
                <w:color w:val="auto"/>
                <w:w w:val="87"/>
              </w:rPr>
              <w:t>31.2</w:t>
            </w:r>
          </w:p>
        </w:tc>
        <w:tc>
          <w:tcPr>
            <w:tcW w:w="10460" w:type="dxa"/>
            <w:vAlign w:val="bottom"/>
          </w:tcPr>
          <w:p>
            <w:pPr>
              <w:ind w:left="20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465"/>
        </w:trPr>
        <w:tc>
          <w:tcPr>
            <w:tcW w:w="960" w:type="dxa"/>
            <w:vAlign w:val="bottom"/>
          </w:tcPr>
          <w:p>
            <w:pPr>
              <w:jc w:val="center"/>
              <w:ind w:right="256"/>
              <w:spacing w:after="0"/>
              <w:rPr>
                <w:sz w:val="20"/>
                <w:szCs w:val="20"/>
                <w:color w:val="auto"/>
              </w:rPr>
            </w:pPr>
            <w:r>
              <w:rPr>
                <w:rFonts w:ascii="Arial" w:cs="Arial" w:eastAsia="Arial" w:hAnsi="Arial"/>
                <w:sz w:val="21"/>
                <w:szCs w:val="21"/>
                <w:color w:val="auto"/>
                <w:w w:val="87"/>
              </w:rPr>
              <w:t>32.1</w:t>
            </w:r>
          </w:p>
        </w:tc>
        <w:tc>
          <w:tcPr>
            <w:tcW w:w="10460" w:type="dxa"/>
            <w:vAlign w:val="bottom"/>
          </w:tcPr>
          <w:p>
            <w:pPr>
              <w:ind w:left="200"/>
              <w:spacing w:after="0"/>
              <w:rPr>
                <w:sz w:val="20"/>
                <w:szCs w:val="20"/>
                <w:color w:val="auto"/>
              </w:rPr>
            </w:pPr>
            <w:r>
              <w:rPr>
                <w:rFonts w:ascii="Arial" w:cs="Arial" w:eastAsia="Arial" w:hAnsi="Arial"/>
                <w:sz w:val="21"/>
                <w:szCs w:val="21"/>
                <w:color w:val="auto"/>
                <w:w w:val="95"/>
              </w:rPr>
              <w:t>Certification of Chief Executive Officer under 18 U.S.C. §1350 pursuant to Section 906 of the Sarbanes-Oxley Act of</w:t>
            </w:r>
          </w:p>
        </w:tc>
      </w:tr>
      <w:tr>
        <w:trPr>
          <w:trHeight w:val="264"/>
        </w:trPr>
        <w:tc>
          <w:tcPr>
            <w:tcW w:w="960" w:type="dxa"/>
            <w:vAlign w:val="bottom"/>
          </w:tcPr>
          <w:p>
            <w:pPr>
              <w:spacing w:after="0"/>
              <w:rPr>
                <w:sz w:val="22"/>
                <w:szCs w:val="22"/>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2002. Filed herewith.</w:t>
            </w:r>
          </w:p>
        </w:tc>
      </w:tr>
      <w:tr>
        <w:trPr>
          <w:trHeight w:val="465"/>
        </w:trPr>
        <w:tc>
          <w:tcPr>
            <w:tcW w:w="960" w:type="dxa"/>
            <w:vAlign w:val="bottom"/>
          </w:tcPr>
          <w:p>
            <w:pPr>
              <w:jc w:val="center"/>
              <w:ind w:right="256"/>
              <w:spacing w:after="0"/>
              <w:rPr>
                <w:sz w:val="20"/>
                <w:szCs w:val="20"/>
                <w:color w:val="auto"/>
              </w:rPr>
            </w:pPr>
            <w:r>
              <w:rPr>
                <w:rFonts w:ascii="Arial" w:cs="Arial" w:eastAsia="Arial" w:hAnsi="Arial"/>
                <w:sz w:val="21"/>
                <w:szCs w:val="21"/>
                <w:color w:val="auto"/>
                <w:w w:val="87"/>
              </w:rPr>
              <w:t>32.2</w:t>
            </w:r>
          </w:p>
        </w:tc>
        <w:tc>
          <w:tcPr>
            <w:tcW w:w="10460" w:type="dxa"/>
            <w:vAlign w:val="bottom"/>
          </w:tcPr>
          <w:p>
            <w:pPr>
              <w:ind w:left="200"/>
              <w:spacing w:after="0"/>
              <w:rPr>
                <w:sz w:val="20"/>
                <w:szCs w:val="20"/>
                <w:color w:val="auto"/>
              </w:rPr>
            </w:pPr>
            <w:r>
              <w:rPr>
                <w:rFonts w:ascii="Arial" w:cs="Arial" w:eastAsia="Arial" w:hAnsi="Arial"/>
                <w:sz w:val="21"/>
                <w:szCs w:val="21"/>
                <w:color w:val="auto"/>
                <w:w w:val="90"/>
              </w:rPr>
              <w:t>Certification of Chief Financial Officer under 18 U.S.C. §1350 pursuant to Section 906 of the Sarbanes-Oxley Act of 2002.</w:t>
            </w:r>
          </w:p>
        </w:tc>
      </w:tr>
      <w:tr>
        <w:trPr>
          <w:trHeight w:val="264"/>
        </w:trPr>
        <w:tc>
          <w:tcPr>
            <w:tcW w:w="960" w:type="dxa"/>
            <w:vAlign w:val="bottom"/>
          </w:tcPr>
          <w:p>
            <w:pPr>
              <w:spacing w:after="0"/>
              <w:rPr>
                <w:sz w:val="22"/>
                <w:szCs w:val="22"/>
                <w:color w:val="auto"/>
              </w:rPr>
            </w:pPr>
          </w:p>
        </w:tc>
        <w:tc>
          <w:tcPr>
            <w:tcW w:w="10460" w:type="dxa"/>
            <w:vAlign w:val="bottom"/>
          </w:tcPr>
          <w:p>
            <w:pPr>
              <w:ind w:left="200"/>
              <w:spacing w:after="0"/>
              <w:rPr>
                <w:sz w:val="20"/>
                <w:szCs w:val="20"/>
                <w:color w:val="auto"/>
              </w:rPr>
            </w:pPr>
            <w:r>
              <w:rPr>
                <w:rFonts w:ascii="Arial" w:cs="Arial" w:eastAsia="Arial" w:hAnsi="Arial"/>
                <w:sz w:val="21"/>
                <w:szCs w:val="21"/>
                <w:color w:val="auto"/>
              </w:rPr>
              <w:t>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101.INS</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Instance Document.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101.SCH</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Schema.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101.CAL</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Calculation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101.LAB</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Label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101.PRE</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Extension Presentation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101.DEF</w:t>
            </w:r>
          </w:p>
        </w:tc>
        <w:tc>
          <w:tcPr>
            <w:tcW w:w="10460" w:type="dxa"/>
            <w:vAlign w:val="bottom"/>
          </w:tcPr>
          <w:p>
            <w:pPr>
              <w:ind w:left="200"/>
              <w:spacing w:after="0"/>
              <w:rPr>
                <w:sz w:val="20"/>
                <w:szCs w:val="20"/>
                <w:color w:val="auto"/>
              </w:rPr>
            </w:pPr>
            <w:r>
              <w:rPr>
                <w:rFonts w:ascii="Arial" w:cs="Arial" w:eastAsia="Arial" w:hAnsi="Arial"/>
                <w:sz w:val="21"/>
                <w:szCs w:val="21"/>
                <w:color w:val="auto"/>
              </w:rPr>
              <w:t>XBRL Taxonomy Definition Linkbase. Filed herewith.</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w:t>
      </w:r>
    </w:p>
    <w:p>
      <w:pPr>
        <w:spacing w:after="0" w:line="21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7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680" w:val="left"/>
          <w:tab w:leader="none" w:pos="7140" w:val="left"/>
        </w:tabs>
        <w:rPr>
          <w:sz w:val="20"/>
          <w:szCs w:val="20"/>
          <w:color w:val="auto"/>
        </w:rPr>
      </w:pPr>
      <w:r>
        <w:rPr>
          <w:rFonts w:ascii="Arial" w:cs="Arial" w:eastAsia="Arial" w:hAnsi="Arial"/>
          <w:sz w:val="20"/>
          <w:szCs w:val="20"/>
          <w:color w:val="auto"/>
        </w:rPr>
        <w:t>Date: May 5, 2017</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10160</wp:posOffset>
            </wp:positionV>
            <wp:extent cx="2701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20"/>
          <w:szCs w:val="20"/>
          <w:color w:val="auto"/>
        </w:rPr>
        <w:t>Darren J. King</w:t>
      </w:r>
    </w:p>
    <w:p>
      <w:pPr>
        <w:spacing w:after="0" w:line="8" w:lineRule="exact"/>
        <w:rPr>
          <w:sz w:val="20"/>
          <w:szCs w:val="20"/>
          <w:color w:val="auto"/>
        </w:rPr>
      </w:pPr>
    </w:p>
    <w:p>
      <w:pPr>
        <w:ind w:left="7160"/>
        <w:spacing w:after="0"/>
        <w:rPr>
          <w:sz w:val="20"/>
          <w:szCs w:val="20"/>
          <w:color w:val="auto"/>
        </w:rPr>
      </w:pPr>
      <w:r>
        <w:rPr>
          <w:rFonts w:ascii="Arial" w:cs="Arial" w:eastAsia="Arial" w:hAnsi="Arial"/>
          <w:sz w:val="20"/>
          <w:szCs w:val="20"/>
          <w:color w:val="auto"/>
        </w:rPr>
        <w:t>Executive Vice President</w:t>
      </w:r>
    </w:p>
    <w:p>
      <w:pPr>
        <w:ind w:left="71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64"/>
        </w:trPr>
        <w:tc>
          <w:tcPr>
            <w:tcW w:w="940" w:type="dxa"/>
            <w:vAlign w:val="bottom"/>
          </w:tcPr>
          <w:p>
            <w:pPr>
              <w:spacing w:after="0"/>
              <w:rPr>
                <w:sz w:val="22"/>
                <w:szCs w:val="22"/>
                <w:color w:val="auto"/>
              </w:rPr>
            </w:pPr>
          </w:p>
        </w:tc>
        <w:tc>
          <w:tcPr>
            <w:tcW w:w="10480" w:type="dxa"/>
            <w:vAlign w:val="bottom"/>
          </w:tcPr>
          <w:p>
            <w:pPr>
              <w:ind w:left="4020"/>
              <w:spacing w:after="0"/>
              <w:rPr>
                <w:sz w:val="20"/>
                <w:szCs w:val="20"/>
                <w:color w:val="auto"/>
              </w:rPr>
            </w:pPr>
            <w:r>
              <w:rPr>
                <w:rFonts w:ascii="Arial" w:cs="Arial" w:eastAsia="Arial" w:hAnsi="Arial"/>
                <w:sz w:val="21"/>
                <w:szCs w:val="21"/>
                <w:color w:val="auto"/>
              </w:rPr>
              <w:t>EXHIBIT INDEX</w:t>
            </w:r>
          </w:p>
        </w:tc>
      </w:tr>
      <w:tr>
        <w:trPr>
          <w:trHeight w:val="465"/>
        </w:trPr>
        <w:tc>
          <w:tcPr>
            <w:tcW w:w="940" w:type="dxa"/>
            <w:vAlign w:val="bottom"/>
          </w:tcPr>
          <w:p>
            <w:pPr>
              <w:jc w:val="center"/>
              <w:spacing w:after="0"/>
              <w:rPr>
                <w:sz w:val="20"/>
                <w:szCs w:val="20"/>
                <w:color w:val="auto"/>
              </w:rPr>
            </w:pPr>
            <w:r>
              <w:rPr>
                <w:rFonts w:ascii="Arial" w:cs="Arial" w:eastAsia="Arial" w:hAnsi="Arial"/>
                <w:sz w:val="21"/>
                <w:szCs w:val="21"/>
                <w:color w:val="auto"/>
                <w:w w:val="98"/>
              </w:rPr>
              <w:t>Exhibit</w:t>
            </w:r>
          </w:p>
        </w:tc>
        <w:tc>
          <w:tcPr>
            <w:tcW w:w="10480" w:type="dxa"/>
            <w:vAlign w:val="bottom"/>
          </w:tcPr>
          <w:p>
            <w:pPr>
              <w:spacing w:after="0"/>
              <w:rPr>
                <w:sz w:val="24"/>
                <w:szCs w:val="24"/>
                <w:color w:val="auto"/>
              </w:rPr>
            </w:pPr>
          </w:p>
        </w:tc>
      </w:tr>
      <w:tr>
        <w:trPr>
          <w:trHeight w:val="256"/>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No.</w:t>
            </w:r>
          </w:p>
        </w:tc>
        <w:tc>
          <w:tcPr>
            <w:tcW w:w="10480" w:type="dxa"/>
            <w:vAlign w:val="bottom"/>
          </w:tcPr>
          <w:p>
            <w:pPr>
              <w:spacing w:after="0"/>
              <w:rPr>
                <w:sz w:val="22"/>
                <w:szCs w:val="22"/>
                <w:color w:val="auto"/>
              </w:rPr>
            </w:pPr>
          </w:p>
        </w:tc>
      </w:tr>
      <w:tr>
        <w:trPr>
          <w:trHeight w:val="709"/>
        </w:trPr>
        <w:tc>
          <w:tcPr>
            <w:tcW w:w="940" w:type="dxa"/>
            <w:vAlign w:val="bottom"/>
          </w:tcPr>
          <w:p>
            <w:pPr>
              <w:jc w:val="right"/>
              <w:ind w:right="356"/>
              <w:spacing w:after="0"/>
              <w:rPr>
                <w:sz w:val="20"/>
                <w:szCs w:val="20"/>
                <w:color w:val="auto"/>
              </w:rPr>
            </w:pPr>
            <w:r>
              <w:rPr>
                <w:rFonts w:ascii="Arial" w:cs="Arial" w:eastAsia="Arial" w:hAnsi="Arial"/>
                <w:sz w:val="21"/>
                <w:szCs w:val="21"/>
                <w:color w:val="auto"/>
              </w:rPr>
              <w:t>3.2</w:t>
            </w:r>
          </w:p>
        </w:tc>
        <w:tc>
          <w:tcPr>
            <w:tcW w:w="10480" w:type="dxa"/>
            <w:vAlign w:val="bottom"/>
          </w:tcPr>
          <w:p>
            <w:pPr>
              <w:ind w:left="260"/>
              <w:spacing w:after="0"/>
              <w:rPr>
                <w:sz w:val="20"/>
                <w:szCs w:val="20"/>
                <w:color w:val="auto"/>
              </w:rPr>
            </w:pPr>
            <w:r>
              <w:rPr>
                <w:rFonts w:ascii="Arial" w:cs="Arial" w:eastAsia="Arial" w:hAnsi="Arial"/>
                <w:sz w:val="21"/>
                <w:szCs w:val="21"/>
                <w:color w:val="auto"/>
                <w:w w:val="91"/>
              </w:rPr>
              <w:t>Amended and Restated Bylaws of M&amp;T Bank Corporation, effective November 16, 2010, as amended on April 18, 2017.</w:t>
            </w:r>
          </w:p>
        </w:tc>
      </w:tr>
      <w:tr>
        <w:trPr>
          <w:trHeight w:val="264"/>
        </w:trPr>
        <w:tc>
          <w:tcPr>
            <w:tcW w:w="940" w:type="dxa"/>
            <w:vAlign w:val="bottom"/>
          </w:tcPr>
          <w:p>
            <w:pPr>
              <w:spacing w:after="0"/>
              <w:rPr>
                <w:sz w:val="22"/>
                <w:szCs w:val="22"/>
                <w:color w:val="auto"/>
              </w:rPr>
            </w:pPr>
          </w:p>
        </w:tc>
        <w:tc>
          <w:tcPr>
            <w:tcW w:w="10480" w:type="dxa"/>
            <w:vAlign w:val="bottom"/>
          </w:tcPr>
          <w:p>
            <w:pPr>
              <w:ind w:left="260"/>
              <w:spacing w:after="0"/>
              <w:rPr>
                <w:sz w:val="20"/>
                <w:szCs w:val="20"/>
                <w:color w:val="auto"/>
              </w:rPr>
            </w:pPr>
            <w:r>
              <w:rPr>
                <w:rFonts w:ascii="Arial" w:cs="Arial" w:eastAsia="Arial" w:hAnsi="Arial"/>
                <w:sz w:val="21"/>
                <w:szCs w:val="21"/>
                <w:color w:val="auto"/>
              </w:rPr>
              <w:t>Filed herewith.</w:t>
            </w:r>
          </w:p>
        </w:tc>
      </w:tr>
      <w:tr>
        <w:trPr>
          <w:trHeight w:val="486"/>
        </w:trPr>
        <w:tc>
          <w:tcPr>
            <w:tcW w:w="940" w:type="dxa"/>
            <w:vAlign w:val="bottom"/>
          </w:tcPr>
          <w:p>
            <w:pPr>
              <w:jc w:val="right"/>
              <w:ind w:right="356"/>
              <w:spacing w:after="0"/>
              <w:rPr>
                <w:sz w:val="20"/>
                <w:szCs w:val="20"/>
                <w:color w:val="auto"/>
              </w:rPr>
            </w:pPr>
            <w:r>
              <w:rPr>
                <w:rFonts w:ascii="Arial" w:cs="Arial" w:eastAsia="Arial" w:hAnsi="Arial"/>
                <w:sz w:val="21"/>
                <w:szCs w:val="21"/>
                <w:color w:val="auto"/>
              </w:rPr>
              <w:t>31.1</w:t>
            </w:r>
          </w:p>
        </w:tc>
        <w:tc>
          <w:tcPr>
            <w:tcW w:w="10480" w:type="dxa"/>
            <w:vAlign w:val="bottom"/>
          </w:tcPr>
          <w:p>
            <w:pPr>
              <w:ind w:left="26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486"/>
        </w:trPr>
        <w:tc>
          <w:tcPr>
            <w:tcW w:w="940" w:type="dxa"/>
            <w:vAlign w:val="bottom"/>
          </w:tcPr>
          <w:p>
            <w:pPr>
              <w:jc w:val="right"/>
              <w:ind w:right="356"/>
              <w:spacing w:after="0"/>
              <w:rPr>
                <w:sz w:val="20"/>
                <w:szCs w:val="20"/>
                <w:color w:val="auto"/>
              </w:rPr>
            </w:pPr>
            <w:r>
              <w:rPr>
                <w:rFonts w:ascii="Arial" w:cs="Arial" w:eastAsia="Arial" w:hAnsi="Arial"/>
                <w:sz w:val="21"/>
                <w:szCs w:val="21"/>
                <w:color w:val="auto"/>
              </w:rPr>
              <w:t>31.2</w:t>
            </w:r>
          </w:p>
        </w:tc>
        <w:tc>
          <w:tcPr>
            <w:tcW w:w="10480" w:type="dxa"/>
            <w:vAlign w:val="bottom"/>
          </w:tcPr>
          <w:p>
            <w:pPr>
              <w:ind w:left="26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465"/>
        </w:trPr>
        <w:tc>
          <w:tcPr>
            <w:tcW w:w="940" w:type="dxa"/>
            <w:vAlign w:val="bottom"/>
          </w:tcPr>
          <w:p>
            <w:pPr>
              <w:jc w:val="right"/>
              <w:ind w:right="356"/>
              <w:spacing w:after="0"/>
              <w:rPr>
                <w:sz w:val="20"/>
                <w:szCs w:val="20"/>
                <w:color w:val="auto"/>
              </w:rPr>
            </w:pPr>
            <w:r>
              <w:rPr>
                <w:rFonts w:ascii="Arial" w:cs="Arial" w:eastAsia="Arial" w:hAnsi="Arial"/>
                <w:sz w:val="21"/>
                <w:szCs w:val="21"/>
                <w:color w:val="auto"/>
              </w:rPr>
              <w:t>32.1</w:t>
            </w:r>
          </w:p>
        </w:tc>
        <w:tc>
          <w:tcPr>
            <w:tcW w:w="10480" w:type="dxa"/>
            <w:vAlign w:val="bottom"/>
          </w:tcPr>
          <w:p>
            <w:pPr>
              <w:ind w:left="260"/>
              <w:spacing w:after="0"/>
              <w:rPr>
                <w:sz w:val="20"/>
                <w:szCs w:val="20"/>
                <w:color w:val="auto"/>
              </w:rPr>
            </w:pPr>
            <w:r>
              <w:rPr>
                <w:rFonts w:ascii="Arial" w:cs="Arial" w:eastAsia="Arial" w:hAnsi="Arial"/>
                <w:sz w:val="21"/>
                <w:szCs w:val="21"/>
                <w:color w:val="auto"/>
                <w:w w:val="94"/>
              </w:rPr>
              <w:t>Certification of Chief Executive Officer under 18 U.S.C. §1350 pursuant to Section 906 of the Sarbanes-Oxley Act of</w:t>
            </w:r>
          </w:p>
        </w:tc>
      </w:tr>
      <w:tr>
        <w:trPr>
          <w:trHeight w:val="264"/>
        </w:trPr>
        <w:tc>
          <w:tcPr>
            <w:tcW w:w="940" w:type="dxa"/>
            <w:vAlign w:val="bottom"/>
          </w:tcPr>
          <w:p>
            <w:pPr>
              <w:spacing w:after="0"/>
              <w:rPr>
                <w:sz w:val="22"/>
                <w:szCs w:val="22"/>
                <w:color w:val="auto"/>
              </w:rPr>
            </w:pPr>
          </w:p>
        </w:tc>
        <w:tc>
          <w:tcPr>
            <w:tcW w:w="10480" w:type="dxa"/>
            <w:vAlign w:val="bottom"/>
          </w:tcPr>
          <w:p>
            <w:pPr>
              <w:ind w:left="260"/>
              <w:spacing w:after="0"/>
              <w:rPr>
                <w:sz w:val="20"/>
                <w:szCs w:val="20"/>
                <w:color w:val="auto"/>
              </w:rPr>
            </w:pPr>
            <w:r>
              <w:rPr>
                <w:rFonts w:ascii="Arial" w:cs="Arial" w:eastAsia="Arial" w:hAnsi="Arial"/>
                <w:sz w:val="21"/>
                <w:szCs w:val="21"/>
                <w:color w:val="auto"/>
              </w:rPr>
              <w:t>2002. Filed herewith.</w:t>
            </w:r>
          </w:p>
        </w:tc>
      </w:tr>
      <w:tr>
        <w:trPr>
          <w:trHeight w:val="465"/>
        </w:trPr>
        <w:tc>
          <w:tcPr>
            <w:tcW w:w="940" w:type="dxa"/>
            <w:vAlign w:val="bottom"/>
          </w:tcPr>
          <w:p>
            <w:pPr>
              <w:jc w:val="right"/>
              <w:ind w:right="356"/>
              <w:spacing w:after="0"/>
              <w:rPr>
                <w:sz w:val="20"/>
                <w:szCs w:val="20"/>
                <w:color w:val="auto"/>
              </w:rPr>
            </w:pPr>
            <w:r>
              <w:rPr>
                <w:rFonts w:ascii="Arial" w:cs="Arial" w:eastAsia="Arial" w:hAnsi="Arial"/>
                <w:sz w:val="21"/>
                <w:szCs w:val="21"/>
                <w:color w:val="auto"/>
              </w:rPr>
              <w:t>32.2</w:t>
            </w:r>
          </w:p>
        </w:tc>
        <w:tc>
          <w:tcPr>
            <w:tcW w:w="10480" w:type="dxa"/>
            <w:vAlign w:val="bottom"/>
          </w:tcPr>
          <w:p>
            <w:pPr>
              <w:ind w:left="260"/>
              <w:spacing w:after="0"/>
              <w:rPr>
                <w:sz w:val="20"/>
                <w:szCs w:val="20"/>
                <w:color w:val="auto"/>
              </w:rPr>
            </w:pPr>
            <w:r>
              <w:rPr>
                <w:rFonts w:ascii="Arial" w:cs="Arial" w:eastAsia="Arial" w:hAnsi="Arial"/>
                <w:sz w:val="21"/>
                <w:szCs w:val="21"/>
                <w:color w:val="auto"/>
                <w:w w:val="90"/>
              </w:rPr>
              <w:t>Certification of Chief Financial Officer under 18 U.S.C. §1350 pursuant to Section 906 of the Sarbanes-Oxley Act of 2002.</w:t>
            </w:r>
          </w:p>
        </w:tc>
      </w:tr>
      <w:tr>
        <w:trPr>
          <w:trHeight w:val="264"/>
        </w:trPr>
        <w:tc>
          <w:tcPr>
            <w:tcW w:w="940" w:type="dxa"/>
            <w:vAlign w:val="bottom"/>
          </w:tcPr>
          <w:p>
            <w:pPr>
              <w:spacing w:after="0"/>
              <w:rPr>
                <w:sz w:val="22"/>
                <w:szCs w:val="22"/>
                <w:color w:val="auto"/>
              </w:rPr>
            </w:pPr>
          </w:p>
        </w:tc>
        <w:tc>
          <w:tcPr>
            <w:tcW w:w="10480" w:type="dxa"/>
            <w:vAlign w:val="bottom"/>
          </w:tcPr>
          <w:p>
            <w:pPr>
              <w:ind w:left="260"/>
              <w:spacing w:after="0"/>
              <w:rPr>
                <w:sz w:val="20"/>
                <w:szCs w:val="20"/>
                <w:color w:val="auto"/>
              </w:rPr>
            </w:pPr>
            <w:r>
              <w:rPr>
                <w:rFonts w:ascii="Arial" w:cs="Arial" w:eastAsia="Arial" w:hAnsi="Arial"/>
                <w:sz w:val="21"/>
                <w:szCs w:val="21"/>
                <w:color w:val="auto"/>
              </w:rPr>
              <w:t>Filed herewith.</w:t>
            </w:r>
          </w:p>
        </w:tc>
      </w:tr>
      <w:tr>
        <w:trPr>
          <w:trHeight w:val="486"/>
        </w:trPr>
        <w:tc>
          <w:tcPr>
            <w:tcW w:w="940" w:type="dxa"/>
            <w:vAlign w:val="bottom"/>
          </w:tcPr>
          <w:p>
            <w:pPr>
              <w:spacing w:after="0"/>
              <w:rPr>
                <w:sz w:val="20"/>
                <w:szCs w:val="20"/>
                <w:color w:val="auto"/>
              </w:rPr>
            </w:pPr>
            <w:r>
              <w:rPr>
                <w:rFonts w:ascii="Arial" w:cs="Arial" w:eastAsia="Arial" w:hAnsi="Arial"/>
                <w:sz w:val="21"/>
                <w:szCs w:val="21"/>
                <w:color w:val="auto"/>
              </w:rPr>
              <w:t>101.INS</w:t>
            </w:r>
          </w:p>
        </w:tc>
        <w:tc>
          <w:tcPr>
            <w:tcW w:w="10480" w:type="dxa"/>
            <w:vAlign w:val="bottom"/>
          </w:tcPr>
          <w:p>
            <w:pPr>
              <w:ind w:left="260"/>
              <w:spacing w:after="0"/>
              <w:rPr>
                <w:sz w:val="20"/>
                <w:szCs w:val="20"/>
                <w:color w:val="auto"/>
              </w:rPr>
            </w:pPr>
            <w:r>
              <w:rPr>
                <w:rFonts w:ascii="Arial" w:cs="Arial" w:eastAsia="Arial" w:hAnsi="Arial"/>
                <w:sz w:val="21"/>
                <w:szCs w:val="21"/>
                <w:color w:val="auto"/>
              </w:rPr>
              <w:t>XBRL Instance Document. Filed herewith.</w:t>
            </w:r>
          </w:p>
        </w:tc>
      </w:tr>
      <w:tr>
        <w:trPr>
          <w:trHeight w:val="486"/>
        </w:trPr>
        <w:tc>
          <w:tcPr>
            <w:tcW w:w="940" w:type="dxa"/>
            <w:vAlign w:val="bottom"/>
          </w:tcPr>
          <w:p>
            <w:pPr>
              <w:spacing w:after="0"/>
              <w:rPr>
                <w:sz w:val="20"/>
                <w:szCs w:val="20"/>
                <w:color w:val="auto"/>
              </w:rPr>
            </w:pPr>
            <w:r>
              <w:rPr>
                <w:rFonts w:ascii="Arial" w:cs="Arial" w:eastAsia="Arial" w:hAnsi="Arial"/>
                <w:sz w:val="21"/>
                <w:szCs w:val="21"/>
                <w:color w:val="auto"/>
              </w:rPr>
              <w:t>101.SCH</w:t>
            </w:r>
          </w:p>
        </w:tc>
        <w:tc>
          <w:tcPr>
            <w:tcW w:w="10480" w:type="dxa"/>
            <w:vAlign w:val="bottom"/>
          </w:tcPr>
          <w:p>
            <w:pPr>
              <w:ind w:left="260"/>
              <w:spacing w:after="0"/>
              <w:rPr>
                <w:sz w:val="20"/>
                <w:szCs w:val="20"/>
                <w:color w:val="auto"/>
              </w:rPr>
            </w:pPr>
            <w:r>
              <w:rPr>
                <w:rFonts w:ascii="Arial" w:cs="Arial" w:eastAsia="Arial" w:hAnsi="Arial"/>
                <w:sz w:val="21"/>
                <w:szCs w:val="21"/>
                <w:color w:val="auto"/>
              </w:rPr>
              <w:t>XBRL Taxonomy Extension Schema. Filed herewith.</w:t>
            </w:r>
          </w:p>
        </w:tc>
      </w:tr>
      <w:tr>
        <w:trPr>
          <w:trHeight w:val="486"/>
        </w:trPr>
        <w:tc>
          <w:tcPr>
            <w:tcW w:w="940" w:type="dxa"/>
            <w:vAlign w:val="bottom"/>
          </w:tcPr>
          <w:p>
            <w:pPr>
              <w:spacing w:after="0"/>
              <w:rPr>
                <w:sz w:val="20"/>
                <w:szCs w:val="20"/>
                <w:color w:val="auto"/>
              </w:rPr>
            </w:pPr>
            <w:r>
              <w:rPr>
                <w:rFonts w:ascii="Arial" w:cs="Arial" w:eastAsia="Arial" w:hAnsi="Arial"/>
                <w:sz w:val="21"/>
                <w:szCs w:val="21"/>
                <w:color w:val="auto"/>
              </w:rPr>
              <w:t>101.CAL</w:t>
            </w:r>
          </w:p>
        </w:tc>
        <w:tc>
          <w:tcPr>
            <w:tcW w:w="10480" w:type="dxa"/>
            <w:vAlign w:val="bottom"/>
          </w:tcPr>
          <w:p>
            <w:pPr>
              <w:ind w:left="260"/>
              <w:spacing w:after="0"/>
              <w:rPr>
                <w:sz w:val="20"/>
                <w:szCs w:val="20"/>
                <w:color w:val="auto"/>
              </w:rPr>
            </w:pPr>
            <w:r>
              <w:rPr>
                <w:rFonts w:ascii="Arial" w:cs="Arial" w:eastAsia="Arial" w:hAnsi="Arial"/>
                <w:sz w:val="21"/>
                <w:szCs w:val="21"/>
                <w:color w:val="auto"/>
              </w:rPr>
              <w:t>XBRL Taxonomy Extension Calculation Linkbase. Filed herewith.</w:t>
            </w:r>
          </w:p>
        </w:tc>
      </w:tr>
      <w:tr>
        <w:trPr>
          <w:trHeight w:val="486"/>
        </w:trPr>
        <w:tc>
          <w:tcPr>
            <w:tcW w:w="940" w:type="dxa"/>
            <w:vAlign w:val="bottom"/>
          </w:tcPr>
          <w:p>
            <w:pPr>
              <w:spacing w:after="0"/>
              <w:rPr>
                <w:sz w:val="20"/>
                <w:szCs w:val="20"/>
                <w:color w:val="auto"/>
              </w:rPr>
            </w:pPr>
            <w:r>
              <w:rPr>
                <w:rFonts w:ascii="Arial" w:cs="Arial" w:eastAsia="Arial" w:hAnsi="Arial"/>
                <w:sz w:val="21"/>
                <w:szCs w:val="21"/>
                <w:color w:val="auto"/>
              </w:rPr>
              <w:t>101.LAB</w:t>
            </w:r>
          </w:p>
        </w:tc>
        <w:tc>
          <w:tcPr>
            <w:tcW w:w="10480" w:type="dxa"/>
            <w:vAlign w:val="bottom"/>
          </w:tcPr>
          <w:p>
            <w:pPr>
              <w:ind w:left="260"/>
              <w:spacing w:after="0"/>
              <w:rPr>
                <w:sz w:val="20"/>
                <w:szCs w:val="20"/>
                <w:color w:val="auto"/>
              </w:rPr>
            </w:pPr>
            <w:r>
              <w:rPr>
                <w:rFonts w:ascii="Arial" w:cs="Arial" w:eastAsia="Arial" w:hAnsi="Arial"/>
                <w:sz w:val="21"/>
                <w:szCs w:val="21"/>
                <w:color w:val="auto"/>
              </w:rPr>
              <w:t>XBRL Taxonomy Extension Label Linkbase. Filed herewith.</w:t>
            </w:r>
          </w:p>
        </w:tc>
      </w:tr>
      <w:tr>
        <w:trPr>
          <w:trHeight w:val="486"/>
        </w:trPr>
        <w:tc>
          <w:tcPr>
            <w:tcW w:w="940" w:type="dxa"/>
            <w:vAlign w:val="bottom"/>
          </w:tcPr>
          <w:p>
            <w:pPr>
              <w:spacing w:after="0"/>
              <w:rPr>
                <w:sz w:val="20"/>
                <w:szCs w:val="20"/>
                <w:color w:val="auto"/>
              </w:rPr>
            </w:pPr>
            <w:r>
              <w:rPr>
                <w:rFonts w:ascii="Arial" w:cs="Arial" w:eastAsia="Arial" w:hAnsi="Arial"/>
                <w:sz w:val="21"/>
                <w:szCs w:val="21"/>
                <w:color w:val="auto"/>
              </w:rPr>
              <w:t>101.PRE</w:t>
            </w:r>
          </w:p>
        </w:tc>
        <w:tc>
          <w:tcPr>
            <w:tcW w:w="10480" w:type="dxa"/>
            <w:vAlign w:val="bottom"/>
          </w:tcPr>
          <w:p>
            <w:pPr>
              <w:ind w:left="260"/>
              <w:spacing w:after="0"/>
              <w:rPr>
                <w:sz w:val="20"/>
                <w:szCs w:val="20"/>
                <w:color w:val="auto"/>
              </w:rPr>
            </w:pPr>
            <w:r>
              <w:rPr>
                <w:rFonts w:ascii="Arial" w:cs="Arial" w:eastAsia="Arial" w:hAnsi="Arial"/>
                <w:sz w:val="21"/>
                <w:szCs w:val="21"/>
                <w:color w:val="auto"/>
              </w:rPr>
              <w:t>XBRL Taxonomy Extension Presentation Linkbase. Filed herewith.</w:t>
            </w:r>
          </w:p>
        </w:tc>
      </w:tr>
      <w:tr>
        <w:trPr>
          <w:trHeight w:val="486"/>
        </w:trPr>
        <w:tc>
          <w:tcPr>
            <w:tcW w:w="940" w:type="dxa"/>
            <w:vAlign w:val="bottom"/>
          </w:tcPr>
          <w:p>
            <w:pPr>
              <w:spacing w:after="0"/>
              <w:rPr>
                <w:sz w:val="20"/>
                <w:szCs w:val="20"/>
                <w:color w:val="auto"/>
              </w:rPr>
            </w:pPr>
            <w:r>
              <w:rPr>
                <w:rFonts w:ascii="Arial" w:cs="Arial" w:eastAsia="Arial" w:hAnsi="Arial"/>
                <w:sz w:val="21"/>
                <w:szCs w:val="21"/>
                <w:color w:val="auto"/>
              </w:rPr>
              <w:t>101.DEF</w:t>
            </w:r>
          </w:p>
        </w:tc>
        <w:tc>
          <w:tcPr>
            <w:tcW w:w="10480" w:type="dxa"/>
            <w:vAlign w:val="bottom"/>
          </w:tcPr>
          <w:p>
            <w:pPr>
              <w:ind w:left="260"/>
              <w:spacing w:after="0"/>
              <w:rPr>
                <w:sz w:val="20"/>
                <w:szCs w:val="20"/>
                <w:color w:val="auto"/>
              </w:rPr>
            </w:pPr>
            <w:r>
              <w:rPr>
                <w:rFonts w:ascii="Arial" w:cs="Arial" w:eastAsia="Arial" w:hAnsi="Arial"/>
                <w:sz w:val="21"/>
                <w:szCs w:val="21"/>
                <w:color w:val="auto"/>
              </w:rPr>
              <w:t>XBRL Taxonomy Definition Linkbase. Filed herewith.</w:t>
            </w:r>
          </w:p>
        </w:tc>
      </w:tr>
      <w:tr>
        <w:trPr>
          <w:trHeight w:val="870"/>
        </w:trPr>
        <w:tc>
          <w:tcPr>
            <w:tcW w:w="940" w:type="dxa"/>
            <w:vAlign w:val="bottom"/>
          </w:tcPr>
          <w:p>
            <w:pPr>
              <w:spacing w:after="0"/>
              <w:rPr>
                <w:sz w:val="24"/>
                <w:szCs w:val="24"/>
                <w:color w:val="auto"/>
              </w:rPr>
            </w:pPr>
          </w:p>
        </w:tc>
        <w:tc>
          <w:tcPr>
            <w:tcW w:w="10480" w:type="dxa"/>
            <w:vAlign w:val="bottom"/>
          </w:tcPr>
          <w:p>
            <w:pPr>
              <w:ind w:left="4580"/>
              <w:spacing w:after="0"/>
              <w:rPr>
                <w:sz w:val="20"/>
                <w:szCs w:val="20"/>
                <w:color w:val="auto"/>
              </w:rPr>
            </w:pPr>
            <w:r>
              <w:rPr>
                <w:rFonts w:ascii="Arial" w:cs="Arial" w:eastAsia="Arial" w:hAnsi="Arial"/>
                <w:sz w:val="18"/>
                <w:szCs w:val="18"/>
                <w:color w:val="auto"/>
              </w:rPr>
              <w:t>- 83 -</w:t>
            </w:r>
          </w:p>
        </w:tc>
      </w:tr>
    </w:tbl>
    <w:p>
      <w:pPr>
        <w:sectPr>
          <w:pgSz w:w="11900" w:h="16838" w:orient="portrait"/>
          <w:cols w:equalWidth="0" w:num="1">
            <w:col w:w="11420"/>
          </w:cols>
          <w:pgMar w:left="240" w:top="342"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1"/>
          <w:szCs w:val="2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M&amp;T BANK CORPORATION</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AMENDED AND RESTATED BYLAWS</w:t>
      </w:r>
    </w:p>
    <w:p>
      <w:pPr>
        <w:spacing w:after="0" w:line="200" w:lineRule="exact"/>
        <w:rPr>
          <w:sz w:val="20"/>
          <w:szCs w:val="20"/>
          <w:color w:val="auto"/>
        </w:rPr>
      </w:pP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(effective as of November 16, 2010)</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amended on April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600710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8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M&amp;T BANK CORPORATION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Meetings of Stockholders</w:t>
      </w:r>
    </w:p>
    <w:p>
      <w:pPr>
        <w:spacing w:after="0" w:line="182" w:lineRule="exact"/>
        <w:rPr>
          <w:sz w:val="20"/>
          <w:szCs w:val="20"/>
          <w:color w:val="auto"/>
        </w:rPr>
      </w:pPr>
    </w:p>
    <w:p>
      <w:pPr>
        <w:ind w:firstLine="1755"/>
        <w:spacing w:after="0" w:line="280"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Annual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annual meeting of the stockholders of the Corporation, for the election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and for the transaction of such other business as may be set forth in the notice of the meeting, shall be held each year at the principal office of the Corporation or at such other place within or without the State of New York as the Board of Directors shall determine and the notice of the meeting shall specify the hour of day on the third Tuesday in April in each year or at such other date within the period of 60 days next succeeding such date as the Board of Directors shall determine. If that day be a legal holiday in any year, the meeting shall be held on the next following that is not a legal holiday.</w:t>
      </w:r>
    </w:p>
    <w:p>
      <w:pPr>
        <w:spacing w:after="0" w:line="145" w:lineRule="exact"/>
        <w:rPr>
          <w:sz w:val="20"/>
          <w:szCs w:val="20"/>
          <w:color w:val="auto"/>
        </w:rPr>
      </w:pPr>
    </w:p>
    <w:p>
      <w:pPr>
        <w:ind w:firstLine="1755"/>
        <w:spacing w:after="0" w:line="235"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Special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meetings of the stockholders may be called by the Board of Directors or</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Chief Executive Officer, and shall be called by the Corporate Secretary or an Assistant Secretary at the request in writing of the holders of record of at least 25% of the outstanding shares of the Corporation entitled to vote. Such request shall state the purpose or purposes for which the meeting is to be called. Each special meeting of the stockholders shall be held at such time as the Board of Directors or the person calling the meeting (the Chief Executive Officer, Corporate Secretary or Assistant Secretary, as the case may be) shall determine and the notice of the meeting shall specify, and shall be held at the principal office of the Corporation or at such other place within or without the State of New York as the Board of Directors shall determine or the notice of meeting shall specify.</w:t>
      </w:r>
    </w:p>
    <w:p>
      <w:pPr>
        <w:spacing w:after="0" w:line="179" w:lineRule="exact"/>
        <w:rPr>
          <w:sz w:val="20"/>
          <w:szCs w:val="20"/>
          <w:color w:val="auto"/>
        </w:rPr>
      </w:pPr>
    </w:p>
    <w:p>
      <w:pPr>
        <w:ind w:right="40" w:firstLine="1755"/>
        <w:spacing w:after="0" w:line="245" w:lineRule="auto"/>
        <w:rPr>
          <w:sz w:val="20"/>
          <w:szCs w:val="20"/>
          <w:color w:val="auto"/>
        </w:rPr>
      </w:pPr>
      <w:r>
        <w:rPr>
          <w:rFonts w:ascii="Arial" w:cs="Arial" w:eastAsia="Arial" w:hAnsi="Arial"/>
          <w:sz w:val="21"/>
          <w:szCs w:val="21"/>
          <w:b w:val="1"/>
          <w:bCs w:val="1"/>
          <w:u w:val="single" w:color="auto"/>
          <w:color w:val="auto"/>
        </w:rPr>
        <w:t>Section 3</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Notice of Meetings</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notice of each meeting of the stockholders shall be given,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 not less than 10 nor more than 60 days before the date of the meeting, to each stockholder entitled to vote at such meeting. If mailed, such notice shall be deposited in the United States mail, with first-class postage thereon prepaid, directed to the stockholder at his or her address as it appears on the record of stockholders, or, if he or she shall have filed with the Corporate Secretary of the Corporation a written request that notices to him or her be mailed to some other address, then directed to him or her at such other address. The notice shall state the place, date and hour of the meeting, the purpose or purposes for which the meeting is called and, unless it is the annual meeting, indicate that the notice is being issued by or at the direction of the person calling the meeting. The notice need not refer to the approval of minutes or to other matters normally incident to the conduct of the meeting. Except for such matters, the business which may be transacted at the meeting shall be confined to business which is related to the purpose or purposes set forth in the notice. If, at any meeting, action is proposed to be taken which would, if taken, entitle dissenting stockholders to receive payment for their shares, the notice of such meeting shall include a statement of that purpose and to that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5" w:name="page86"/>
    <w:bookmarkEnd w:id="85"/>
    <w:p>
      <w:pPr>
        <w:ind w:firstLine="1755"/>
        <w:spacing w:after="0" w:line="247" w:lineRule="auto"/>
        <w:rPr>
          <w:sz w:val="20"/>
          <w:szCs w:val="20"/>
          <w:color w:val="auto"/>
        </w:rPr>
      </w:pPr>
      <w:r>
        <w:rPr>
          <w:rFonts w:ascii="Arial" w:cs="Arial" w:eastAsia="Arial" w:hAnsi="Arial"/>
          <w:sz w:val="21"/>
          <w:szCs w:val="21"/>
          <w:b w:val="1"/>
          <w:bCs w:val="1"/>
          <w:u w:val="single" w:color="auto"/>
          <w:color w:val="auto"/>
        </w:rPr>
        <w:t>Section 4</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Waiver of Notice</w:t>
      </w:r>
      <w:r>
        <w:rPr>
          <w:rFonts w:ascii="Arial" w:cs="Arial" w:eastAsia="Arial" w:hAnsi="Arial"/>
          <w:sz w:val="21"/>
          <w:szCs w:val="21"/>
          <w:b w:val="1"/>
          <w:bCs w:val="1"/>
          <w:color w:val="auto"/>
        </w:rPr>
        <w:t xml:space="preserve">: </w:t>
      </w:r>
      <w:r>
        <w:rPr>
          <w:rFonts w:ascii="Arial" w:cs="Arial" w:eastAsia="Arial" w:hAnsi="Arial"/>
          <w:sz w:val="21"/>
          <w:szCs w:val="21"/>
          <w:color w:val="auto"/>
        </w:rPr>
        <w:t>Whenever under any provision of these Bylaws, the certificate of incorporation,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any agreement or instrument, or law, the Corporation or the Board of Directors or any committee thereof is authorized to take any action after notice to any person or persons or after the lapse of a prescribed period of time, such action may be taken without notice and without the lapse of such period of time, if at any time before or after such action is completed the person or persons entitled to such notice or entitled to participate in the action to be taken or, in the case of a stockholder, by his or her duly authorized attorney-in-fact, submit a signed waiver of notice of such requirements. The attendance of any stockholder at a meeting, in person or by proxy, without protesting prior to the conclusion of the meeting the lack of notice of such meeting, shall constitute a waiver of notice by him or her.</w:t>
      </w:r>
    </w:p>
    <w:p>
      <w:pPr>
        <w:spacing w:after="0" w:line="173" w:lineRule="exact"/>
        <w:rPr>
          <w:sz w:val="20"/>
          <w:szCs w:val="20"/>
          <w:color w:val="auto"/>
        </w:rPr>
      </w:pPr>
    </w:p>
    <w:p>
      <w:pPr>
        <w:ind w:right="820" w:firstLine="1755"/>
        <w:spacing w:after="0" w:line="256" w:lineRule="auto"/>
        <w:rPr>
          <w:sz w:val="20"/>
          <w:szCs w:val="20"/>
          <w:color w:val="auto"/>
        </w:rPr>
      </w:pPr>
      <w:r>
        <w:rPr>
          <w:rFonts w:ascii="Arial" w:cs="Arial" w:eastAsia="Arial" w:hAnsi="Arial"/>
          <w:sz w:val="22"/>
          <w:szCs w:val="22"/>
          <w:b w:val="1"/>
          <w:bCs w:val="1"/>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Procedure</w:t>
      </w:r>
      <w:r>
        <w:rPr>
          <w:rFonts w:ascii="Arial" w:cs="Arial" w:eastAsia="Arial" w:hAnsi="Arial"/>
          <w:sz w:val="22"/>
          <w:szCs w:val="22"/>
          <w:b w:val="1"/>
          <w:bCs w:val="1"/>
          <w:color w:val="auto"/>
        </w:rPr>
        <w:t xml:space="preserve">: </w:t>
      </w:r>
      <w:r>
        <w:rPr>
          <w:rFonts w:ascii="Arial" w:cs="Arial" w:eastAsia="Arial" w:hAnsi="Arial"/>
          <w:sz w:val="22"/>
          <w:szCs w:val="22"/>
          <w:color w:val="auto"/>
        </w:rPr>
        <w:t>At each meeting of stockholders the order of business and all other matters of</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 may be determined by the person presiding at the meeting.</w:t>
      </w:r>
    </w:p>
    <w:p>
      <w:pPr>
        <w:spacing w:after="0" w:line="163" w:lineRule="exact"/>
        <w:rPr>
          <w:sz w:val="20"/>
          <w:szCs w:val="20"/>
          <w:color w:val="auto"/>
        </w:rPr>
      </w:pPr>
    </w:p>
    <w:p>
      <w:pPr>
        <w:ind w:right="60" w:firstLine="1755"/>
        <w:spacing w:after="0" w:line="284" w:lineRule="auto"/>
        <w:rPr>
          <w:sz w:val="20"/>
          <w:szCs w:val="20"/>
          <w:color w:val="auto"/>
        </w:rPr>
      </w:pPr>
      <w:r>
        <w:rPr>
          <w:rFonts w:ascii="Arial" w:cs="Arial" w:eastAsia="Arial" w:hAnsi="Arial"/>
          <w:sz w:val="19"/>
          <w:szCs w:val="19"/>
          <w:b w:val="1"/>
          <w:bCs w:val="1"/>
          <w:u w:val="single" w:color="auto"/>
          <w:color w:val="auto"/>
        </w:rPr>
        <w:t>Section 6</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List of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A list of stockholders as of the record date, certified by the corporate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for its preparation or by a transfer agent, shall be produced at any meeting of stockholders upon the request thereat or prior thereto of any stockholder. If the right to vote at any meeting is challenged, the inspectors of election, or person presiding thereat, shall require such list of stockholders to be produced as evidence of the right of the persons challenged to vote at such meeting, and all persons who appear from such list to be stockholders entitled to vote thereat may vote at such meeting.</w:t>
      </w:r>
    </w:p>
    <w:p>
      <w:pPr>
        <w:spacing w:after="0" w:line="139" w:lineRule="exact"/>
        <w:rPr>
          <w:sz w:val="20"/>
          <w:szCs w:val="20"/>
          <w:color w:val="auto"/>
        </w:rPr>
      </w:pPr>
    </w:p>
    <w:p>
      <w:pPr>
        <w:ind w:left="1760"/>
        <w:spacing w:after="0"/>
        <w:rPr>
          <w:sz w:val="20"/>
          <w:szCs w:val="20"/>
          <w:color w:val="auto"/>
        </w:rPr>
      </w:pPr>
      <w:r>
        <w:rPr>
          <w:rFonts w:ascii="Arial" w:cs="Arial" w:eastAsia="Arial" w:hAnsi="Arial"/>
          <w:sz w:val="19"/>
          <w:szCs w:val="19"/>
          <w:b w:val="1"/>
          <w:bCs w:val="1"/>
          <w:u w:val="single" w:color="auto"/>
          <w:color w:val="auto"/>
        </w:rPr>
        <w:t>Section 7</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Quorum</w:t>
      </w:r>
      <w:r>
        <w:rPr>
          <w:rFonts w:ascii="Arial" w:cs="Arial" w:eastAsia="Arial" w:hAnsi="Arial"/>
          <w:sz w:val="19"/>
          <w:szCs w:val="19"/>
          <w:b w:val="1"/>
          <w:bCs w:val="1"/>
          <w:color w:val="auto"/>
        </w:rPr>
        <w:t xml:space="preserve">: </w:t>
      </w:r>
      <w:r>
        <w:rPr>
          <w:rFonts w:ascii="Arial" w:cs="Arial" w:eastAsia="Arial" w:hAnsi="Arial"/>
          <w:sz w:val="19"/>
          <w:szCs w:val="19"/>
          <w:color w:val="auto"/>
        </w:rPr>
        <w:t>At each meeting of stockholders for the transaction of any business, a quorum shall be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present to organize such meeting. Except as otherwise provided by law, a quorum shall consist of the holders of record of not less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than a majority of the outstanding shares of the Corporation entitled to vote at such meeting, present either in person or by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proxy. When a quorum is once present to organize a meeting of the stockholders, it is not broken by the subsequent withdrawal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any stockholders.</w:t>
      </w:r>
    </w:p>
    <w:p>
      <w:pPr>
        <w:spacing w:after="0" w:line="182" w:lineRule="exact"/>
        <w:rPr>
          <w:sz w:val="20"/>
          <w:szCs w:val="20"/>
          <w:color w:val="auto"/>
        </w:rPr>
      </w:pPr>
    </w:p>
    <w:p>
      <w:pPr>
        <w:ind w:right="60" w:firstLine="1755"/>
        <w:spacing w:after="0" w:line="280" w:lineRule="auto"/>
        <w:rPr>
          <w:sz w:val="20"/>
          <w:szCs w:val="20"/>
          <w:color w:val="auto"/>
        </w:rPr>
      </w:pPr>
      <w:r>
        <w:rPr>
          <w:rFonts w:ascii="Arial" w:cs="Arial" w:eastAsia="Arial" w:hAnsi="Arial"/>
          <w:sz w:val="19"/>
          <w:szCs w:val="19"/>
          <w:b w:val="1"/>
          <w:bCs w:val="1"/>
          <w:u w:val="single" w:color="auto"/>
          <w:color w:val="auto"/>
        </w:rPr>
        <w:t>Section 8</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Adjournments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stockholders entitled to vote who are present in person or by proxy at any</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of stockholders, whether or not a quorum shall be present at the meeting, shall have power by a majority vote to adjourn the meeting from time to time without notice other than announcement at the meeting of the time and place to which the meeting is adjourned. At any adjourned meeting at which a quorum shall be present any business may be transacted that might have been transacted on the original date of the meeting and the stockholders entitled to vote at the meeting on the original date (whether or not they were present thereat), and no others, shall be entitled to vote at such adjourned meeting.</w:t>
      </w:r>
    </w:p>
    <w:p>
      <w:pPr>
        <w:spacing w:after="0" w:line="145" w:lineRule="exact"/>
        <w:rPr>
          <w:sz w:val="20"/>
          <w:szCs w:val="20"/>
          <w:color w:val="auto"/>
        </w:rPr>
      </w:pPr>
    </w:p>
    <w:p>
      <w:pPr>
        <w:ind w:left="1760"/>
        <w:spacing w:after="0"/>
        <w:rPr>
          <w:sz w:val="20"/>
          <w:szCs w:val="20"/>
          <w:color w:val="auto"/>
        </w:rPr>
      </w:pPr>
      <w:r>
        <w:rPr>
          <w:rFonts w:ascii="Arial" w:cs="Arial" w:eastAsia="Arial" w:hAnsi="Arial"/>
          <w:sz w:val="22"/>
          <w:szCs w:val="22"/>
          <w:b w:val="1"/>
          <w:bCs w:val="1"/>
          <w:u w:val="single" w:color="auto"/>
          <w:color w:val="auto"/>
        </w:rPr>
        <w:t>Section 9</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Voting; Proxies; Majority Vote Standard for Uncontested Director Elections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340" w:firstLine="1763"/>
        <w:spacing w:after="0"/>
        <w:tabs>
          <w:tab w:leader="none" w:pos="2643"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stockholder of record shall be entitled at every meeting of stockholders to one vote for each share having voting power standing in his or her name on the record of stockholders of the Corporation on the record date fixed pursuant to Section 3 of Article VI of these Bylaws.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86" w:name="page87"/>
    <w:bookmarkEnd w:id="86"/>
    <w:p>
      <w:pPr>
        <w:ind w:left="-20" w:right="140" w:firstLine="1763"/>
        <w:spacing w:after="0" w:line="245" w:lineRule="auto"/>
        <w:tabs>
          <w:tab w:leader="none" w:pos="2635" w:val="left"/>
        </w:tabs>
        <w:numPr>
          <w:ilvl w:val="0"/>
          <w:numId w:val="34"/>
        </w:numPr>
        <w:rPr>
          <w:rFonts w:ascii="Arial" w:cs="Arial" w:eastAsia="Arial" w:hAnsi="Arial"/>
          <w:sz w:val="21"/>
          <w:szCs w:val="21"/>
          <w:color w:val="auto"/>
        </w:rPr>
      </w:pPr>
      <w:r>
        <w:rPr>
          <w:rFonts w:ascii="Arial" w:cs="Arial" w:eastAsia="Arial" w:hAnsi="Arial"/>
          <w:sz w:val="21"/>
          <w:szCs w:val="21"/>
          <w:color w:val="auto"/>
        </w:rPr>
        <w:t>Each stockholder entitled to vote at a meeting of stockholders may vote in person, or may authorize another person or persons to act for him or her by proxy. Any proxy may be signed by such stockholder or his or her duly authorized attorney-in-fact, including by facsimile signature, and shall be delivered to the secretary of the meeting, or may be authorized by telegram, cablegram or other electronic transmission provided that it can be reasonably determined from such telegram, cablegram or other electronic transmission that such proxy was authorized by the stockholder. The signature of a stockholder on any proxy, including without limitation a telegram, cablegram or other electronic transmission, may be printed, stamped or written, or provided by other reliable reproduction, provided such signature is executed or adopted by the stockholder with intention to authenticate the proxy. No proxy shall be valid after the expiration of 11 months from the date of its execution unless otherwise provided in the proxy. Every proxy shall be revocable at the pleasure of the stockholder executing it, except as otherwise provided by law.</w:t>
      </w:r>
    </w:p>
    <w:p>
      <w:pPr>
        <w:spacing w:after="0" w:line="181" w:lineRule="exact"/>
        <w:rPr>
          <w:rFonts w:ascii="Arial" w:cs="Arial" w:eastAsia="Arial" w:hAnsi="Arial"/>
          <w:sz w:val="21"/>
          <w:szCs w:val="21"/>
          <w:color w:val="auto"/>
        </w:rPr>
      </w:pPr>
    </w:p>
    <w:p>
      <w:pPr>
        <w:ind w:left="-20" w:right="20" w:firstLine="1763"/>
        <w:spacing w:after="0" w:line="245" w:lineRule="auto"/>
        <w:tabs>
          <w:tab w:leader="none" w:pos="2623"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corporate action to be taken by vote of the stockholders other than the election of directors shall, except as otherwise provided by law, the certificate of incorporation or these Bylaws, be authorized by a majority of the votes cast in favor or against such action. At each meeting of the stockholders for the election of directors at which a quorum is present, the vote required for election of a director by the stockholders shall, except in a contested election, be the affirmative vote of a majority of the votes cast in favor of or against the election of a nominee. In a contested election, the persons receiving a plurality of the votes cast by the holders of stock entitled to vote thereat shall be the directors. An election shall be deemed to be contested if, as of the record date for such meeting, there are more nominees for election than positions on the Board of Directors to be filled by election at the meeting. The vote for directors, or upon any question before a meeting of stockholders, shall not be by ballot unless the person presiding at such meeting shall so direct or any stockholder, present in person or by proxy and entitled to vote thereon, shall so demand.</w:t>
      </w:r>
    </w:p>
    <w:p>
      <w:pPr>
        <w:spacing w:after="0" w:line="181" w:lineRule="exact"/>
        <w:rPr>
          <w:rFonts w:ascii="Arial" w:cs="Arial" w:eastAsia="Arial" w:hAnsi="Arial"/>
          <w:sz w:val="21"/>
          <w:szCs w:val="21"/>
          <w:color w:val="auto"/>
        </w:rPr>
      </w:pPr>
    </w:p>
    <w:p>
      <w:pPr>
        <w:ind w:left="-20" w:firstLine="1763"/>
        <w:spacing w:after="0" w:line="271" w:lineRule="auto"/>
        <w:tabs>
          <w:tab w:leader="none" w:pos="2635"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event of an uncontested election of directors, any incumbent director who is a nominee for election as a director and who is not elected by the stockholders shall immediately tender his or her resignation to the Board of Directors, subject to acceptance or rejection by the Board of Directors as provided in this Section 9(d). The independent members of the Board of Directors, in accordance with the procedures established by the Board of Directors, shall decide whether or not to accept such resignation within 90 days after the date the results of the election are certified and the Corporation shall promptly disclose and explain such decision in a document furnished or filed with the Securities and Exchange Commission. The independent members of the Board of Directors in making their decision, may consider any factors or other information that they consider appropriate and relevant, including the recommendation of the Nomination, Compensation and Governance Committee of the Board of Directors. The director who tenders his or her resignation shall not participate in the recommendation of the Nomination, Compensation and Governance Committee or the decision of the Board of Directors with respect to his or her resignation. If such director's resignation is rejected by the Board of Directors, such director shall continue to serve until the next annual meeting and until his or her successor is duly elected, or his or her earlier resignation or removal. If a director's resignation is accepted by the Board of Directors pursuant to this Article I, Section 9, then the Board of Directors, in its sole discretion, may fill any resulting vacancy pursuant 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87" w:name="page88"/>
    <w:bookmarkEnd w:id="87"/>
    <w:p>
      <w:pPr>
        <w:ind w:right="360"/>
        <w:spacing w:after="0" w:line="251" w:lineRule="auto"/>
        <w:rPr>
          <w:sz w:val="20"/>
          <w:szCs w:val="20"/>
          <w:color w:val="auto"/>
        </w:rPr>
      </w:pPr>
      <w:r>
        <w:rPr>
          <w:rFonts w:ascii="Arial" w:cs="Arial" w:eastAsia="Arial" w:hAnsi="Arial"/>
          <w:sz w:val="22"/>
          <w:szCs w:val="22"/>
          <w:color w:val="auto"/>
        </w:rPr>
        <w:t>the provisions of Article II, Section 5 or may decrease the size of the Board of Directors pursuant to the provisions of Article II, Section 1.</w:t>
      </w:r>
    </w:p>
    <w:p>
      <w:pPr>
        <w:spacing w:after="0" w:line="167" w:lineRule="exact"/>
        <w:rPr>
          <w:sz w:val="20"/>
          <w:szCs w:val="20"/>
          <w:color w:val="auto"/>
        </w:rPr>
      </w:pPr>
    </w:p>
    <w:p>
      <w:pPr>
        <w:ind w:right="100" w:firstLine="1755"/>
        <w:spacing w:after="0" w:line="278" w:lineRule="auto"/>
        <w:rPr>
          <w:sz w:val="20"/>
          <w:szCs w:val="20"/>
          <w:color w:val="auto"/>
        </w:rPr>
      </w:pPr>
      <w:r>
        <w:rPr>
          <w:rFonts w:ascii="Arial" w:cs="Arial" w:eastAsia="Arial" w:hAnsi="Arial"/>
          <w:sz w:val="19"/>
          <w:szCs w:val="19"/>
          <w:b w:val="1"/>
          <w:bCs w:val="1"/>
          <w:u w:val="single" w:color="auto"/>
          <w:color w:val="auto"/>
        </w:rPr>
        <w:t>Section 10</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Appointment of Inspectors of Election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shall appoint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inspectors to act at the meeting or any adjournment thereof, and may appoint one or more persons as alternate inspectors to replace any inspector who fails to appear or act. If no inspector or alternate has been appointed, or in case any inspector or alternate inspector appointed fails to appear or act, the vacancy shall be filled by appointment made by the person presiding thereat. Each inspector, before entering upon the discharge of his or her duties, shall take and sign an oath faithfully to execute the duties of inspector at such meeting with strict impartiality and according to the best of his or her ability. No person who is a candidate for the office of director of the Corporation shall act as an inspector at any meeting of the stockholders at which directors are elected.</w:t>
      </w:r>
    </w:p>
    <w:p>
      <w:pPr>
        <w:spacing w:after="0" w:line="146" w:lineRule="exact"/>
        <w:rPr>
          <w:sz w:val="20"/>
          <w:szCs w:val="20"/>
          <w:color w:val="auto"/>
        </w:rPr>
      </w:pPr>
    </w:p>
    <w:p>
      <w:pPr>
        <w:ind w:right="20" w:firstLine="1755"/>
        <w:spacing w:after="0" w:line="284" w:lineRule="auto"/>
        <w:rPr>
          <w:sz w:val="20"/>
          <w:szCs w:val="20"/>
          <w:color w:val="auto"/>
        </w:rPr>
      </w:pPr>
      <w:r>
        <w:rPr>
          <w:rFonts w:ascii="Arial" w:cs="Arial" w:eastAsia="Arial" w:hAnsi="Arial"/>
          <w:sz w:val="19"/>
          <w:szCs w:val="19"/>
          <w:b w:val="1"/>
          <w:bCs w:val="1"/>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Duties of Inspectors of Election</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one or more inspectors of election may be appointed</w:t>
      </w:r>
      <w:r>
        <w:rPr>
          <w:rFonts w:ascii="Arial" w:cs="Arial" w:eastAsia="Arial" w:hAnsi="Arial"/>
          <w:sz w:val="19"/>
          <w:szCs w:val="19"/>
          <w:b w:val="1"/>
          <w:bCs w:val="1"/>
          <w:color w:val="auto"/>
        </w:rPr>
        <w:t xml:space="preserve"> </w:t>
      </w:r>
      <w:r>
        <w:rPr>
          <w:rFonts w:ascii="Arial" w:cs="Arial" w:eastAsia="Arial" w:hAnsi="Arial"/>
          <w:sz w:val="19"/>
          <w:szCs w:val="19"/>
          <w:color w:val="auto"/>
        </w:rPr>
        <w:t>as provided in these Bylaws, he, she or they shall determine the number of shares outstanding and entitled to vote,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w:t>
      </w:r>
    </w:p>
    <w:p>
      <w:pPr>
        <w:spacing w:after="0" w:line="139" w:lineRule="exact"/>
        <w:rPr>
          <w:sz w:val="20"/>
          <w:szCs w:val="20"/>
          <w:color w:val="auto"/>
        </w:rPr>
      </w:pPr>
    </w:p>
    <w:p>
      <w:pPr>
        <w:ind w:right="120" w:firstLine="1755"/>
        <w:spacing w:after="0" w:line="289" w:lineRule="auto"/>
        <w:rPr>
          <w:sz w:val="20"/>
          <w:szCs w:val="20"/>
          <w:color w:val="auto"/>
        </w:rPr>
      </w:pPr>
      <w:r>
        <w:rPr>
          <w:rFonts w:ascii="Arial" w:cs="Arial" w:eastAsia="Arial" w:hAnsi="Arial"/>
          <w:sz w:val="19"/>
          <w:szCs w:val="19"/>
          <w:b w:val="1"/>
          <w:bCs w:val="1"/>
          <w:u w:val="single" w:color="auto"/>
          <w:color w:val="auto"/>
        </w:rPr>
        <w:t>Section 12</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Advance Notice of Proposals</w:t>
      </w:r>
      <w:r>
        <w:rPr>
          <w:rFonts w:ascii="Arial" w:cs="Arial" w:eastAsia="Arial" w:hAnsi="Arial"/>
          <w:sz w:val="19"/>
          <w:szCs w:val="19"/>
          <w:b w:val="1"/>
          <w:bCs w:val="1"/>
          <w:color w:val="auto"/>
        </w:rPr>
        <w:t xml:space="preserve">: </w:t>
      </w:r>
      <w:r>
        <w:rPr>
          <w:rFonts w:ascii="Arial" w:cs="Arial" w:eastAsia="Arial" w:hAnsi="Arial"/>
          <w:sz w:val="19"/>
          <w:szCs w:val="19"/>
          <w:color w:val="auto"/>
        </w:rPr>
        <w:t>At an annual or special meeting of the stockholders, only such</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shall be conducted as shall have been properly brought before the meeting. To be properly brought before an annual meeting, business must be (a) specified in the notice of the meeting, (b) otherwise properly brought before the meeting by or at the direction of the Board of Directors, or (c) otherwise properly brought before the meeting by a stockholder.</w:t>
      </w:r>
    </w:p>
    <w:p>
      <w:pPr>
        <w:spacing w:after="0" w:line="142" w:lineRule="exact"/>
        <w:rPr>
          <w:sz w:val="20"/>
          <w:szCs w:val="20"/>
          <w:color w:val="auto"/>
        </w:rPr>
      </w:pPr>
    </w:p>
    <w:p>
      <w:pPr>
        <w:ind w:firstLine="1755"/>
        <w:spacing w:after="0" w:line="272" w:lineRule="auto"/>
        <w:rPr>
          <w:sz w:val="20"/>
          <w:szCs w:val="20"/>
          <w:color w:val="auto"/>
        </w:rPr>
      </w:pPr>
      <w:r>
        <w:rPr>
          <w:rFonts w:ascii="Arial" w:cs="Arial" w:eastAsia="Arial" w:hAnsi="Arial"/>
          <w:sz w:val="19"/>
          <w:szCs w:val="19"/>
          <w:color w:val="auto"/>
        </w:rPr>
        <w:t>For business to be properly brought before an annual meeting of stockholders pursuant to clause (c) above, the stockholder must have given timely notice thereof to the Corporate Secretary and such business must be a proper matter for stockholder action. To be timely, a stockholder's notice shall be delivered to the Corporate Secretary at the principal executive offices of the Corporation not later than the following dates: (1) at the close of business on the 120th day prior to the date on which the Corporation first mailed its proxy materials for the preceding year's annual meeting of stockholders if the date of the annual meeting is not changed more than 30 days from the date of the preceding year’s annual meeting, and (2) with respect to any other annual meeting or special meeting of stockholders, the close of business on the tenth day following the date of public disclosure of the date of such meeting is first made. In no event shall the announcement of an adjournment of an annual meeting or special meeting of stockholders commence a new time period for the giving of a stockholder's notice as described above. Such stockholder's notice shall set forth (a) as to the stockholder giving the notice (i) the names and business addresses of the stockholder and all Persons (as such term is defined in Section 3(a)(9) of the Securities Exchange Act of 1934, as amended, through the date of adoption of these Bylaws) acting in concert with the stockholder; (ii) the names and addresses of the stockholder and the Persons identified in clause (i), as they appear on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8" w:name="page89"/>
    <w:bookmarkEnd w:id="88"/>
    <w:p>
      <w:pPr>
        <w:ind w:right="40"/>
        <w:spacing w:after="0" w:line="275" w:lineRule="auto"/>
        <w:rPr>
          <w:sz w:val="20"/>
          <w:szCs w:val="20"/>
          <w:color w:val="auto"/>
        </w:rPr>
      </w:pPr>
      <w:r>
        <w:rPr>
          <w:rFonts w:ascii="Arial" w:cs="Arial" w:eastAsia="Arial" w:hAnsi="Arial"/>
          <w:sz w:val="19"/>
          <w:szCs w:val="19"/>
          <w:color w:val="auto"/>
        </w:rPr>
        <w:t>Corporation's books (if they so appear); and (iii) the class and number of shares of the Corporation beneficially owned by the stockholder and the Persons identified in clause (i), (b) as to the business being proposed, (i) a brief description of the business desired to be brought before the meeting; (ii) the reasons for conducting such business at the meeting; and (iii) any material interest of the stockholder in such business; and (c) such other information as the Board of Directors reasonably determines is necessary or appropriate to enable the Board of Directors and stockholders of the Corporation to consider the proposal. The person presiding at the annual meeting shall, if the facts warrant, determine and declare to the meeting that business was not properly brought before the meeting in accordance with the provisions of this section and, if he or she shall so determine, he or she shall declare to the meeting that any business not properly brought before the meeting shall not be transacted.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Directors</w:t>
      </w:r>
    </w:p>
    <w:p>
      <w:pPr>
        <w:spacing w:after="0" w:line="182" w:lineRule="exact"/>
        <w:rPr>
          <w:sz w:val="20"/>
          <w:szCs w:val="20"/>
          <w:color w:val="auto"/>
        </w:rPr>
      </w:pPr>
    </w:p>
    <w:p>
      <w:pPr>
        <w:ind w:firstLine="1755"/>
        <w:spacing w:after="0" w:line="247" w:lineRule="auto"/>
        <w:rPr>
          <w:sz w:val="20"/>
          <w:szCs w:val="20"/>
          <w:color w:val="auto"/>
        </w:rPr>
      </w:pPr>
      <w:r>
        <w:rPr>
          <w:rFonts w:ascii="Arial" w:cs="Arial" w:eastAsia="Arial" w:hAnsi="Arial"/>
          <w:sz w:val="21"/>
          <w:szCs w:val="21"/>
          <w:b w:val="1"/>
          <w:bCs w:val="1"/>
          <w:u w:val="single" w:color="auto"/>
          <w:color w:val="auto"/>
        </w:rPr>
        <w:t>Section 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Number and Qualifications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of directors constituting the entire Board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less than three, except that where all the shares of the Corporation are owned beneficially and of record by less than three stockholders, the number of directors may be less than three, but not less than the number of stockholders. Subject to any provision as to the number of directors contained in the certificate of incorporation or these Bylaws, the exact number of directors shall be fixed from time to time by action of the stockholders or by vote of a majority of the entire Board of Directors, provided that no decrease in the number of directors shall shorten the term of any incumbent director. If the number of directors be increased at any time, the vacancy or vacancies in the Board arising from such increase shall be filled as provided in Section 5 of this Article II. All of the directors shall be at least twenty-one years of age.</w:t>
      </w:r>
    </w:p>
    <w:p>
      <w:pPr>
        <w:spacing w:after="0" w:line="173" w:lineRule="exact"/>
        <w:rPr>
          <w:sz w:val="20"/>
          <w:szCs w:val="20"/>
          <w:color w:val="auto"/>
        </w:rPr>
      </w:pPr>
    </w:p>
    <w:p>
      <w:pPr>
        <w:ind w:right="40" w:firstLine="1755"/>
        <w:spacing w:after="0" w:line="289" w:lineRule="auto"/>
        <w:rPr>
          <w:sz w:val="20"/>
          <w:szCs w:val="20"/>
          <w:color w:val="auto"/>
        </w:rPr>
      </w:pPr>
      <w:r>
        <w:rPr>
          <w:rFonts w:ascii="Arial" w:cs="Arial" w:eastAsia="Arial" w:hAnsi="Arial"/>
          <w:sz w:val="19"/>
          <w:szCs w:val="19"/>
          <w:b w:val="1"/>
          <w:bCs w:val="1"/>
          <w:u w:val="single" w:color="auto"/>
          <w:color w:val="auto"/>
        </w:rPr>
        <w:t>Section 2</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Election and Term of Office</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specified by law or these Bylaws, each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shall be elected at an annual meeting of stockholders or at any meeting of the stockholders held in lieu of such annual meeting, which meeting, for the purposes of these Bylaws, shall be deemed the annual meeting, and shall hold office until the next annual meeting of stockholders and until his or her successor has been elected and qualified.</w:t>
      </w:r>
    </w:p>
    <w:p>
      <w:pPr>
        <w:spacing w:after="0" w:line="136" w:lineRule="exact"/>
        <w:rPr>
          <w:sz w:val="20"/>
          <w:szCs w:val="20"/>
          <w:color w:val="auto"/>
        </w:rPr>
      </w:pPr>
    </w:p>
    <w:p>
      <w:pPr>
        <w:ind w:right="20" w:firstLine="1755"/>
        <w:spacing w:after="0" w:line="301" w:lineRule="auto"/>
        <w:rPr>
          <w:sz w:val="20"/>
          <w:szCs w:val="20"/>
          <w:color w:val="auto"/>
        </w:rPr>
      </w:pPr>
      <w:r>
        <w:rPr>
          <w:rFonts w:ascii="Arial" w:cs="Arial" w:eastAsia="Arial" w:hAnsi="Arial"/>
          <w:sz w:val="19"/>
          <w:szCs w:val="19"/>
          <w:b w:val="1"/>
          <w:bCs w:val="1"/>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Resignation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director of the Corporation may resign at any time by giving his or her</w:t>
      </w:r>
      <w:r>
        <w:rPr>
          <w:rFonts w:ascii="Arial" w:cs="Arial" w:eastAsia="Arial" w:hAnsi="Arial"/>
          <w:sz w:val="19"/>
          <w:szCs w:val="19"/>
          <w:b w:val="1"/>
          <w:bCs w:val="1"/>
          <w:color w:val="auto"/>
        </w:rPr>
        <w:t xml:space="preserve"> </w:t>
      </w:r>
      <w:r>
        <w:rPr>
          <w:rFonts w:ascii="Arial" w:cs="Arial" w:eastAsia="Arial" w:hAnsi="Arial"/>
          <w:sz w:val="19"/>
          <w:szCs w:val="19"/>
          <w:color w:val="auto"/>
        </w:rPr>
        <w:t>resignation to the President or any Vice President or the Corporate Secretary. Such resignation shall take effect at the time specified therein; and, unless otherwise specified therein, the acceptance of such resignation shall not be necessary to make it effective.</w:t>
      </w:r>
    </w:p>
    <w:p>
      <w:pPr>
        <w:spacing w:after="0" w:line="123" w:lineRule="exact"/>
        <w:rPr>
          <w:sz w:val="20"/>
          <w:szCs w:val="20"/>
          <w:color w:val="auto"/>
        </w:rPr>
      </w:pPr>
    </w:p>
    <w:p>
      <w:pPr>
        <w:ind w:right="180" w:firstLine="1755"/>
        <w:spacing w:after="0" w:line="284" w:lineRule="auto"/>
        <w:rPr>
          <w:sz w:val="20"/>
          <w:szCs w:val="20"/>
          <w:color w:val="auto"/>
        </w:rPr>
      </w:pPr>
      <w:r>
        <w:rPr>
          <w:rFonts w:ascii="Arial" w:cs="Arial" w:eastAsia="Arial" w:hAnsi="Arial"/>
          <w:sz w:val="19"/>
          <w:szCs w:val="19"/>
          <w:b w:val="1"/>
          <w:bCs w:val="1"/>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Removal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Any director may be removed for cause, at any meeting of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which shall have referred to the proposed action, by vote of the stockholders. Any director may be removed without cause, at any meeting of stockholders notice of which shall have referred to the proposed action, by the vote of the holders of a majority of the shares of the Corporation entitled to vote. Any director may be removed for cause, at any meeting of the directors notice of which shall have referred to the proposed action, by vote of three-fourths of the entire Board of Directors.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9" w:name="page90"/>
    <w:bookmarkEnd w:id="89"/>
    <w:p>
      <w:pPr>
        <w:ind w:right="100" w:firstLine="1755"/>
        <w:spacing w:after="0" w:line="276" w:lineRule="auto"/>
        <w:rPr>
          <w:sz w:val="20"/>
          <w:szCs w:val="20"/>
          <w:color w:val="auto"/>
        </w:rPr>
      </w:pPr>
      <w:r>
        <w:rPr>
          <w:rFonts w:ascii="Arial" w:cs="Arial" w:eastAsia="Arial" w:hAnsi="Arial"/>
          <w:sz w:val="19"/>
          <w:szCs w:val="19"/>
          <w:b w:val="1"/>
          <w:bCs w:val="1"/>
          <w:u w:val="single" w:color="auto"/>
          <w:color w:val="auto"/>
        </w:rPr>
        <w:t>Section 5</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Vacancies</w:t>
      </w:r>
      <w:r>
        <w:rPr>
          <w:rFonts w:ascii="Arial" w:cs="Arial" w:eastAsia="Arial" w:hAnsi="Arial"/>
          <w:sz w:val="19"/>
          <w:szCs w:val="19"/>
          <w:b w:val="1"/>
          <w:bCs w:val="1"/>
          <w:color w:val="auto"/>
        </w:rPr>
        <w:t xml:space="preserve">: </w:t>
      </w:r>
      <w:r>
        <w:rPr>
          <w:rFonts w:ascii="Arial" w:cs="Arial" w:eastAsia="Arial" w:hAnsi="Arial"/>
          <w:sz w:val="19"/>
          <w:szCs w:val="19"/>
          <w:color w:val="auto"/>
        </w:rPr>
        <w:t>Newly created directorships resulting from an increase in the number of directors and</w:t>
      </w:r>
      <w:r>
        <w:rPr>
          <w:rFonts w:ascii="Arial" w:cs="Arial" w:eastAsia="Arial" w:hAnsi="Arial"/>
          <w:sz w:val="19"/>
          <w:szCs w:val="19"/>
          <w:b w:val="1"/>
          <w:bCs w:val="1"/>
          <w:color w:val="auto"/>
        </w:rPr>
        <w:t xml:space="preserve"> </w:t>
      </w:r>
      <w:r>
        <w:rPr>
          <w:rFonts w:ascii="Arial" w:cs="Arial" w:eastAsia="Arial" w:hAnsi="Arial"/>
          <w:sz w:val="19"/>
          <w:szCs w:val="19"/>
          <w:color w:val="auto"/>
        </w:rPr>
        <w:t>vacancies occurring in the Board of Directors for any reason except the removal of directors may be filled by vote of a majority of the directors then in office, although less than a quorum exists. Any vacancy occurring in the Board of Directors by reason of the removal of a director by stockholders may be filled by vote of the stockholders at the meeting at which such action is taken or at any meeting of stockholders notice of which shall have referred to the proposed election. Subject If any such newly created directorships or vacancies occurring in the Board of Directors for any reason shall not be filled prior to the next annual meeting of stockholders, they shall be filled by vote of the stockholders at such annual meeting. Any director elected to fill a vacancy shall be elected to hold office for the unexpired term of his or her predecessor.</w:t>
      </w:r>
    </w:p>
    <w:p>
      <w:pPr>
        <w:spacing w:after="0" w:line="151" w:lineRule="exact"/>
        <w:rPr>
          <w:sz w:val="20"/>
          <w:szCs w:val="20"/>
          <w:color w:val="auto"/>
        </w:rPr>
      </w:pPr>
    </w:p>
    <w:p>
      <w:pPr>
        <w:ind w:right="20" w:firstLine="1755"/>
        <w:spacing w:after="0" w:line="251" w:lineRule="auto"/>
        <w:rPr>
          <w:sz w:val="20"/>
          <w:szCs w:val="20"/>
          <w:color w:val="auto"/>
        </w:rPr>
      </w:pPr>
      <w:r>
        <w:rPr>
          <w:rFonts w:ascii="Arial" w:cs="Arial" w:eastAsia="Arial" w:hAnsi="Arial"/>
          <w:sz w:val="21"/>
          <w:szCs w:val="21"/>
          <w:b w:val="1"/>
          <w:bCs w:val="1"/>
          <w:u w:val="single" w:color="auto"/>
          <w:color w:val="auto"/>
        </w:rPr>
        <w:t>Section 6</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Directors' Fees</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except salaried officers who are directors, may receive a fee for their</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as directors and traveling and other out-of-pocket expenses incurred in attending any regular or special meeting of the Board. The fee may be a fixed sum to be paid for attending each meeting of the Board of Directors and/or a fixed sum to be paid monthly, quarterly, or semiannually, irrespective of the number of meetings attended or not attended. The amount of the fee and the basis on which it shall be paid shall be determined by the Board of Directors.</w:t>
      </w:r>
    </w:p>
    <w:p>
      <w:pPr>
        <w:spacing w:after="0" w:line="169" w:lineRule="exact"/>
        <w:rPr>
          <w:sz w:val="20"/>
          <w:szCs w:val="20"/>
          <w:color w:val="auto"/>
        </w:rPr>
      </w:pPr>
    </w:p>
    <w:p>
      <w:pPr>
        <w:ind w:right="300" w:firstLine="1755"/>
        <w:spacing w:after="0" w:line="237" w:lineRule="auto"/>
        <w:rPr>
          <w:sz w:val="20"/>
          <w:szCs w:val="20"/>
          <w:color w:val="auto"/>
        </w:rPr>
      </w:pPr>
      <w:r>
        <w:rPr>
          <w:rFonts w:ascii="Arial" w:cs="Arial" w:eastAsia="Arial" w:hAnsi="Arial"/>
          <w:sz w:val="22"/>
          <w:szCs w:val="22"/>
          <w:b w:val="1"/>
          <w:bCs w:val="1"/>
          <w:u w:val="single" w:color="auto"/>
          <w:color w:val="auto"/>
        </w:rPr>
        <w:t>Section 7</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First Meeting of Newly Elected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meeting of the newly elected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may be held immediately after the annual meeting of stockholders, and at the same place as such annual meeting of stockholders, provided a quorum be present, and no notice of such meeting shall be necessary. In the event such first meeting of the newly elected Board of Directors is not held at said time and place, the same shall be held as provided in Section 8 of this Article II.</w:t>
      </w:r>
    </w:p>
    <w:p>
      <w:pPr>
        <w:spacing w:after="0" w:line="183" w:lineRule="exact"/>
        <w:rPr>
          <w:sz w:val="20"/>
          <w:szCs w:val="20"/>
          <w:color w:val="auto"/>
        </w:rPr>
      </w:pPr>
    </w:p>
    <w:p>
      <w:pPr>
        <w:ind w:right="120" w:firstLine="1755"/>
        <w:spacing w:after="0" w:line="254" w:lineRule="auto"/>
        <w:rPr>
          <w:sz w:val="20"/>
          <w:szCs w:val="20"/>
          <w:color w:val="auto"/>
        </w:rPr>
      </w:pPr>
      <w:r>
        <w:rPr>
          <w:rFonts w:ascii="Arial" w:cs="Arial" w:eastAsia="Arial" w:hAnsi="Arial"/>
          <w:sz w:val="21"/>
          <w:szCs w:val="21"/>
          <w:b w:val="1"/>
          <w:bCs w:val="1"/>
          <w:u w:val="single" w:color="auto"/>
          <w:color w:val="auto"/>
        </w:rPr>
        <w:t>Section 8</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Meetings of Directors</w:t>
      </w:r>
      <w:r>
        <w:rPr>
          <w:rFonts w:ascii="Arial" w:cs="Arial" w:eastAsia="Arial" w:hAnsi="Arial"/>
          <w:sz w:val="21"/>
          <w:szCs w:val="21"/>
          <w:b w:val="1"/>
          <w:bCs w:val="1"/>
          <w:color w:val="auto"/>
        </w:rPr>
        <w:t xml:space="preserve">: </w:t>
      </w:r>
      <w:r>
        <w:rPr>
          <w:rFonts w:ascii="Arial" w:cs="Arial" w:eastAsia="Arial" w:hAnsi="Arial"/>
          <w:sz w:val="21"/>
          <w:szCs w:val="21"/>
          <w:color w:val="auto"/>
        </w:rPr>
        <w:t>Regular and special meetings of the Board of Directors shall be held at</w:t>
      </w:r>
      <w:r>
        <w:rPr>
          <w:rFonts w:ascii="Arial" w:cs="Arial" w:eastAsia="Arial" w:hAnsi="Arial"/>
          <w:sz w:val="21"/>
          <w:szCs w:val="21"/>
          <w:b w:val="1"/>
          <w:bCs w:val="1"/>
          <w:color w:val="auto"/>
        </w:rPr>
        <w:t xml:space="preserve"> </w:t>
      </w:r>
      <w:r>
        <w:rPr>
          <w:rFonts w:ascii="Arial" w:cs="Arial" w:eastAsia="Arial" w:hAnsi="Arial"/>
          <w:sz w:val="21"/>
          <w:szCs w:val="21"/>
          <w:color w:val="auto"/>
        </w:rPr>
        <w:t>such times and at such place, within or without the State of New York, as the Board of Directors may determine. Special meetings may also be called by the Chief Executive Officer or by any four members of the Board, and shall be held at such time and at such place as the person or persons calling the meeting shall determine.</w:t>
      </w:r>
    </w:p>
    <w:p>
      <w:pPr>
        <w:spacing w:after="0" w:line="166" w:lineRule="exact"/>
        <w:rPr>
          <w:sz w:val="20"/>
          <w:szCs w:val="20"/>
          <w:color w:val="auto"/>
        </w:rPr>
      </w:pPr>
    </w:p>
    <w:p>
      <w:pPr>
        <w:ind w:firstLine="1755"/>
        <w:spacing w:after="0" w:line="274" w:lineRule="auto"/>
        <w:rPr>
          <w:sz w:val="20"/>
          <w:szCs w:val="20"/>
          <w:color w:val="auto"/>
        </w:rPr>
      </w:pPr>
      <w:r>
        <w:rPr>
          <w:rFonts w:ascii="Arial" w:cs="Arial" w:eastAsia="Arial" w:hAnsi="Arial"/>
          <w:sz w:val="19"/>
          <w:szCs w:val="19"/>
          <w:b w:val="1"/>
          <w:bCs w:val="1"/>
          <w:u w:val="single" w:color="auto"/>
          <w:color w:val="auto"/>
        </w:rPr>
        <w:t>Section 9</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Notice of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each regular or special meeting of the Board of Directors, stating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time and place thereof shall be given by the Corporate Secretary, any Assistant Secretary or any member of the Board to each member of the Board not less than three days before the meeting by depositing the same in the United States mail, with first-class postage thereon prepaid, directed to each member of the Board at the address designated by him or her for such purpose (or, if none is designated, at his or her last known address), or not less than two days before the meeting by either delivering the same to each member of the Board personally, or sending the same by electronic mail, facsimile or telegraph, or delivering it, to the address designated by him or her for such purpose (or, if none is designated, to his or her last known address). Notice of a meeting need not be given to any director who submits a signed waiver of notice whether before or after the meeting. The notice of any meeting of the Board of Directors need not specify the purposes for which the meeting is called, except as provided in Section 4 of this Article II and as provided in Article X of these Bylaws.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0" w:name="page91"/>
    <w:bookmarkEnd w:id="90"/>
    <w:p>
      <w:pPr>
        <w:ind w:right="180" w:firstLine="1755"/>
        <w:spacing w:after="0" w:line="236" w:lineRule="auto"/>
        <w:rPr>
          <w:sz w:val="20"/>
          <w:szCs w:val="20"/>
          <w:color w:val="auto"/>
        </w:rPr>
      </w:pPr>
      <w:r>
        <w:rPr>
          <w:rFonts w:ascii="Arial" w:cs="Arial" w:eastAsia="Arial" w:hAnsi="Arial"/>
          <w:sz w:val="22"/>
          <w:szCs w:val="22"/>
          <w:b w:val="1"/>
          <w:bCs w:val="1"/>
          <w:u w:val="single" w:color="auto"/>
          <w:color w:val="auto"/>
        </w:rPr>
        <w:t>Section 10</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Quorum and Action by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At all meetings of the Board of Directors,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provided by law, the certificate of incorporation or these Bylaws, a quorum shall be required for the transaction of business and shall consist of not less than one-third of the entire Board, and the vote of a majority of the directors present shall decide any question that may come before the meeting. A majority of the directors present, whether or not a quorum is present, may adjourn any meeting to another time or place without notice other than announcement at the meeting of the time and place to which the meeting is adjourned.</w:t>
      </w:r>
    </w:p>
    <w:p>
      <w:pPr>
        <w:spacing w:after="0" w:line="182" w:lineRule="exact"/>
        <w:rPr>
          <w:sz w:val="20"/>
          <w:szCs w:val="20"/>
          <w:color w:val="auto"/>
        </w:rPr>
      </w:pPr>
    </w:p>
    <w:p>
      <w:pPr>
        <w:ind w:right="40" w:firstLine="1755"/>
        <w:spacing w:after="0" w:line="256" w:lineRule="auto"/>
        <w:rPr>
          <w:sz w:val="20"/>
          <w:szCs w:val="20"/>
          <w:color w:val="auto"/>
        </w:rPr>
      </w:pPr>
      <w:r>
        <w:rPr>
          <w:rFonts w:ascii="Arial" w:cs="Arial" w:eastAsia="Arial" w:hAnsi="Arial"/>
          <w:sz w:val="22"/>
          <w:szCs w:val="22"/>
          <w:b w:val="1"/>
          <w:bCs w:val="1"/>
          <w:u w:val="single" w:color="auto"/>
          <w:color w:val="auto"/>
        </w:rPr>
        <w:t>Section 11</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Procedure</w:t>
      </w:r>
      <w:r>
        <w:rPr>
          <w:rFonts w:ascii="Arial" w:cs="Arial" w:eastAsia="Arial" w:hAnsi="Arial"/>
          <w:sz w:val="22"/>
          <w:szCs w:val="22"/>
          <w:b w:val="1"/>
          <w:bCs w:val="1"/>
          <w:color w:val="auto"/>
        </w:rPr>
        <w:t xml:space="preserve">: </w:t>
      </w:r>
      <w:r>
        <w:rPr>
          <w:rFonts w:ascii="Arial" w:cs="Arial" w:eastAsia="Arial" w:hAnsi="Arial"/>
          <w:sz w:val="22"/>
          <w:szCs w:val="22"/>
          <w:color w:val="auto"/>
        </w:rPr>
        <w:t>The order of business and all other matters of procedure at every meeting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may be determined by the person presiding at the meeting.</w:t>
      </w:r>
    </w:p>
    <w:p>
      <w:pPr>
        <w:spacing w:after="0" w:line="163" w:lineRule="exact"/>
        <w:rPr>
          <w:sz w:val="20"/>
          <w:szCs w:val="20"/>
          <w:color w:val="auto"/>
        </w:rPr>
      </w:pPr>
    </w:p>
    <w:p>
      <w:pPr>
        <w:ind w:firstLine="1755"/>
        <w:spacing w:after="0" w:line="239"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Meetings by Conference Telephone</w:t>
      </w:r>
      <w:r>
        <w:rPr>
          <w:rFonts w:ascii="Arial" w:cs="Arial" w:eastAsia="Arial" w:hAnsi="Arial"/>
          <w:sz w:val="22"/>
          <w:szCs w:val="22"/>
          <w:b w:val="1"/>
          <w:bCs w:val="1"/>
          <w:color w:val="auto"/>
        </w:rPr>
        <w:t xml:space="preserve">: </w:t>
      </w:r>
      <w:r>
        <w:rPr>
          <w:rFonts w:ascii="Arial" w:cs="Arial" w:eastAsia="Arial" w:hAnsi="Arial"/>
          <w:sz w:val="22"/>
          <w:szCs w:val="22"/>
          <w:color w:val="auto"/>
        </w:rPr>
        <w:t>Any one or more members of the Board of Directors or any</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thereof may participate in a meeting of such Board or committee by means of a conference telephone or similar communications equipment allowing all persons participating in the meeting to hear each other at the same time. Participation by such means shall constitute presence in person at the meeting.</w:t>
      </w:r>
    </w:p>
    <w:p>
      <w:pPr>
        <w:spacing w:after="0" w:line="181" w:lineRule="exact"/>
        <w:rPr>
          <w:sz w:val="20"/>
          <w:szCs w:val="20"/>
          <w:color w:val="auto"/>
        </w:rPr>
      </w:pPr>
    </w:p>
    <w:p>
      <w:pPr>
        <w:ind w:right="220" w:firstLine="1755"/>
        <w:spacing w:after="0" w:line="284" w:lineRule="auto"/>
        <w:rPr>
          <w:sz w:val="20"/>
          <w:szCs w:val="20"/>
          <w:color w:val="auto"/>
        </w:rPr>
      </w:pPr>
      <w:r>
        <w:rPr>
          <w:rFonts w:ascii="Arial" w:cs="Arial" w:eastAsia="Arial" w:hAnsi="Arial"/>
          <w:sz w:val="19"/>
          <w:szCs w:val="19"/>
          <w:b w:val="1"/>
          <w:bCs w:val="1"/>
          <w:u w:val="single" w:color="auto"/>
          <w:color w:val="auto"/>
        </w:rPr>
        <w:t>Section 13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The Chairman of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shall annually, at the first meeting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after the annual meeting of stockholders, appoint or elect a Chairman of the Board who shall have such authority and perform such duties as the Board of Directors or the Executive Committee may from time to time prescribe. The Chairman of the Board shall, unless otherwise determined by the Board of Directors, hold office until the first meeting of the Board following the next annual meeting of stockholders and until his or her successor has been elected or appointed and qualified.</w:t>
      </w:r>
    </w:p>
    <w:p>
      <w:pPr>
        <w:spacing w:after="0" w:line="139" w:lineRule="exact"/>
        <w:rPr>
          <w:sz w:val="20"/>
          <w:szCs w:val="20"/>
          <w:color w:val="auto"/>
        </w:rPr>
      </w:pPr>
    </w:p>
    <w:p>
      <w:pPr>
        <w:ind w:right="120" w:firstLine="1755"/>
        <w:spacing w:after="0" w:line="235" w:lineRule="auto"/>
        <w:rPr>
          <w:sz w:val="20"/>
          <w:szCs w:val="20"/>
          <w:color w:val="auto"/>
        </w:rPr>
      </w:pPr>
      <w:r>
        <w:rPr>
          <w:rFonts w:ascii="Arial" w:cs="Arial" w:eastAsia="Arial" w:hAnsi="Arial"/>
          <w:sz w:val="22"/>
          <w:szCs w:val="22"/>
          <w:b w:val="1"/>
          <w:bCs w:val="1"/>
          <w:u w:val="single" w:color="auto"/>
          <w:color w:val="auto"/>
        </w:rPr>
        <w:t>Section 14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The Vice Chairmen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shall annually, at the first meeting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after the annual meeting of stockholders, appoint or elect one or more Vice Chairmen of the Board who shall have such authority and perform such duties as the Board of Directors or the Executive Committee may from time to time prescribe. The Vice Chairmen of the Board shall, unless otherwise determined by the Board of Directors, hold office until the first meeting of the Board following the next annual meeting of stockholders and until their successors have been elected or appointed and qualified. The Board of Directors shall elect a non-executive Vice Chairman of the Board who will perform the duties of “lead outside director.”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Committees of Directors</w:t>
      </w:r>
    </w:p>
    <w:p>
      <w:pPr>
        <w:spacing w:after="0" w:line="182" w:lineRule="exact"/>
        <w:rPr>
          <w:sz w:val="20"/>
          <w:szCs w:val="20"/>
          <w:color w:val="auto"/>
        </w:rPr>
      </w:pPr>
    </w:p>
    <w:p>
      <w:pPr>
        <w:ind w:firstLine="1755"/>
        <w:spacing w:after="0" w:line="280"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Designation of Committees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by resolution or resolutions adopted by a</w:t>
      </w:r>
      <w:r>
        <w:rPr>
          <w:rFonts w:ascii="Arial" w:cs="Arial" w:eastAsia="Arial" w:hAnsi="Arial"/>
          <w:sz w:val="19"/>
          <w:szCs w:val="19"/>
          <w:b w:val="1"/>
          <w:bCs w:val="1"/>
          <w:color w:val="auto"/>
        </w:rPr>
        <w:t xml:space="preserve"> </w:t>
      </w:r>
      <w:r>
        <w:rPr>
          <w:rFonts w:ascii="Arial" w:cs="Arial" w:eastAsia="Arial" w:hAnsi="Arial"/>
          <w:sz w:val="19"/>
          <w:szCs w:val="19"/>
          <w:color w:val="auto"/>
        </w:rPr>
        <w:t>majority of the entire Board, shall designate from among its members an Executive Committee, a Nomination, Compensation and Governance Committee and an Audit and Risk Committee, each consisting of three or more directors, and may designate from among its members other committees, each consisting of such number of directors as the Board may determine, and may designate one or more directors as alternate members of such committees, who may replace any absent or disqualified member or members at any meeting of such committees. In the interim between meetings of the Board of Directors, the Executive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91" w:name="page92"/>
    <w:bookmarkEnd w:id="91"/>
    <w:p>
      <w:pPr>
        <w:ind w:right="40"/>
        <w:spacing w:after="0" w:line="287" w:lineRule="auto"/>
        <w:rPr>
          <w:sz w:val="20"/>
          <w:szCs w:val="20"/>
          <w:color w:val="auto"/>
        </w:rPr>
      </w:pPr>
      <w:r>
        <w:rPr>
          <w:rFonts w:ascii="Arial" w:cs="Arial" w:eastAsia="Arial" w:hAnsi="Arial"/>
          <w:sz w:val="19"/>
          <w:szCs w:val="19"/>
          <w:color w:val="auto"/>
        </w:rPr>
        <w:t>Committee shall have all the authority of the Board of Directors except as otherwise provided by law. The Executive Committee shall serve at the pleasure of the Board of Directors. Each other committee so designated shall have such name as may be provided from time to time in the resolution or resolutions, shall serve at the pleasure of the Board of Directors and shall have, to the extent provided in such resolution or resolutions, all the authority of the Board of Directors except as otherwise provided by law.</w:t>
      </w:r>
    </w:p>
    <w:p>
      <w:pPr>
        <w:spacing w:after="0" w:line="137" w:lineRule="exact"/>
        <w:rPr>
          <w:sz w:val="20"/>
          <w:szCs w:val="20"/>
          <w:color w:val="auto"/>
        </w:rPr>
      </w:pPr>
    </w:p>
    <w:p>
      <w:pPr>
        <w:ind w:right="120" w:firstLine="1755"/>
        <w:spacing w:after="0" w:line="273" w:lineRule="auto"/>
        <w:rPr>
          <w:sz w:val="20"/>
          <w:szCs w:val="20"/>
          <w:color w:val="auto"/>
        </w:rPr>
      </w:pPr>
      <w:r>
        <w:rPr>
          <w:rFonts w:ascii="Arial" w:cs="Arial" w:eastAsia="Arial" w:hAnsi="Arial"/>
          <w:sz w:val="19"/>
          <w:szCs w:val="19"/>
          <w:b w:val="1"/>
          <w:bCs w:val="1"/>
          <w:u w:val="single" w:color="auto"/>
          <w:color w:val="auto"/>
        </w:rPr>
        <w:t>Section 2</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Acts and Proceedings</w:t>
      </w:r>
      <w:r>
        <w:rPr>
          <w:rFonts w:ascii="Arial" w:cs="Arial" w:eastAsia="Arial" w:hAnsi="Arial"/>
          <w:sz w:val="19"/>
          <w:szCs w:val="19"/>
          <w:b w:val="1"/>
          <w:bCs w:val="1"/>
          <w:color w:val="auto"/>
        </w:rPr>
        <w:t xml:space="preserve">: </w:t>
      </w:r>
      <w:r>
        <w:rPr>
          <w:rFonts w:ascii="Arial" w:cs="Arial" w:eastAsia="Arial" w:hAnsi="Arial"/>
          <w:sz w:val="19"/>
          <w:szCs w:val="19"/>
          <w:color w:val="auto"/>
        </w:rPr>
        <w:t>All acts done and power and authority conferred by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the Nomination, Compensation and Governance Committee, and the Audit and Risk Committee, and each other committee from time to time within the scope of its respective authority shall be, and may be deemed to be, and may be specified as being, the act and under the authority of the Board of Directors. The Executive Committee, the Nomination, Compensation and Governance Committee, and the Audit and Risk Committee shall meet at such time and place and upon such notice as the respective committee may from time to time determine. Meetings of the Executive Committee may also be called by the Chief Executive Officer, and meetings of the Nomination, Compensation and Governance Committee, the Audit and Risk Committee, and each other committee may also be called the Chair of each such committee, and such meetings shall be held at such time and place as the Chief Executive Officer or Chair, as the case may be, shall determine. The Executive Committee, the Nomination, Compensation and Governance Committee, and the Audit and Risk Committee, and each other committee shall keep regular minutes of its proceedings and report its actions to the Board of Directors when required.</w:t>
      </w:r>
    </w:p>
    <w:p>
      <w:pPr>
        <w:spacing w:after="0" w:line="156" w:lineRule="exact"/>
        <w:rPr>
          <w:sz w:val="20"/>
          <w:szCs w:val="20"/>
          <w:color w:val="auto"/>
        </w:rPr>
      </w:pPr>
    </w:p>
    <w:p>
      <w:pPr>
        <w:ind w:firstLine="1755"/>
        <w:spacing w:after="0" w:line="335" w:lineRule="auto"/>
        <w:rPr>
          <w:sz w:val="20"/>
          <w:szCs w:val="20"/>
          <w:color w:val="auto"/>
        </w:rPr>
      </w:pPr>
      <w:r>
        <w:rPr>
          <w:rFonts w:ascii="Arial" w:cs="Arial" w:eastAsia="Arial" w:hAnsi="Arial"/>
          <w:sz w:val="19"/>
          <w:szCs w:val="19"/>
          <w:b w:val="1"/>
          <w:bCs w:val="1"/>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any committee of the Board of Directors, except salaried officers who</w:t>
      </w:r>
      <w:r>
        <w:rPr>
          <w:rFonts w:ascii="Arial" w:cs="Arial" w:eastAsia="Arial" w:hAnsi="Arial"/>
          <w:sz w:val="19"/>
          <w:szCs w:val="19"/>
          <w:b w:val="1"/>
          <w:bCs w:val="1"/>
          <w:color w:val="auto"/>
        </w:rPr>
        <w:t xml:space="preserve"> </w:t>
      </w:r>
      <w:r>
        <w:rPr>
          <w:rFonts w:ascii="Arial" w:cs="Arial" w:eastAsia="Arial" w:hAnsi="Arial"/>
          <w:sz w:val="19"/>
          <w:szCs w:val="19"/>
          <w:color w:val="auto"/>
        </w:rPr>
        <w:t>are directors, may receive such compensation for their services as the Board of Directors shall from time to time determine.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Officers</w:t>
      </w:r>
    </w:p>
    <w:p>
      <w:pPr>
        <w:spacing w:after="0" w:line="182" w:lineRule="exact"/>
        <w:rPr>
          <w:sz w:val="20"/>
          <w:szCs w:val="20"/>
          <w:color w:val="auto"/>
        </w:rPr>
      </w:pPr>
    </w:p>
    <w:p>
      <w:pPr>
        <w:ind w:right="80" w:firstLine="1755"/>
        <w:spacing w:after="0" w:line="251" w:lineRule="auto"/>
        <w:rPr>
          <w:sz w:val="20"/>
          <w:szCs w:val="20"/>
          <w:color w:val="auto"/>
        </w:rPr>
      </w:pPr>
      <w:r>
        <w:rPr>
          <w:rFonts w:ascii="Arial" w:cs="Arial" w:eastAsia="Arial" w:hAnsi="Arial"/>
          <w:sz w:val="21"/>
          <w:szCs w:val="21"/>
          <w:b w:val="1"/>
          <w:bCs w:val="1"/>
          <w:u w:val="single" w:color="auto"/>
          <w:color w:val="auto"/>
        </w:rPr>
        <w:t>Section 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Officers</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of Directors shall annually, at the first meeting of the Board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annual meeting of stockholders, appoint or elect a Chief Executive Officer, one or more Vice Presidents, a Corporate Secretary and a Treasurer, and such other officers as it may determine, including a President, and may from time to time elect or appoint such additional officers as it deems necessary or appropriate. Such additional officers shall have the authority and perform such duties as the Board of Directors may from time to time prescribe.</w:t>
      </w:r>
    </w:p>
    <w:p>
      <w:pPr>
        <w:spacing w:after="0" w:line="169" w:lineRule="exact"/>
        <w:rPr>
          <w:sz w:val="20"/>
          <w:szCs w:val="20"/>
          <w:color w:val="auto"/>
        </w:rPr>
      </w:pPr>
    </w:p>
    <w:p>
      <w:pPr>
        <w:ind w:right="220" w:firstLine="1755"/>
        <w:spacing w:after="0" w:line="235"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Term of Office</w:t>
      </w:r>
      <w:r>
        <w:rPr>
          <w:rFonts w:ascii="Arial" w:cs="Arial" w:eastAsia="Arial" w:hAnsi="Arial"/>
          <w:sz w:val="22"/>
          <w:szCs w:val="22"/>
          <w:b w:val="1"/>
          <w:bCs w:val="1"/>
          <w:color w:val="auto"/>
        </w:rPr>
        <w:t xml:space="preserve">: </w:t>
      </w:r>
      <w:r>
        <w:rPr>
          <w:rFonts w:ascii="Arial" w:cs="Arial" w:eastAsia="Arial" w:hAnsi="Arial"/>
          <w:sz w:val="22"/>
          <w:szCs w:val="22"/>
          <w:color w:val="auto"/>
        </w:rPr>
        <w:t>The Chief Executive Officer, the President, each Vice President, the Corporate</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and the Treasurer shall, unless otherwise determined by the Board of Directors, hold office until the first meeting of the Board following the next annual meeting of stockholders and until their successors have been elected or appointed and qualified. Each additional officer appointed or elected by the Board of Directors shall hold office for such term as shall be determined from time to time by the Board of Directors and until his or her successor has been elected or appointed and qualified. Any officer, however, may be removed or have his or her authority suspended by the Board of Directors at any time, with or without cause.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2" w:name="page93"/>
    <w:bookmarkEnd w:id="92"/>
    <w:p>
      <w:pPr>
        <w:spacing w:after="0"/>
        <w:rPr>
          <w:sz w:val="20"/>
          <w:szCs w:val="20"/>
          <w:color w:val="auto"/>
        </w:rPr>
      </w:pPr>
      <w:r>
        <w:rPr>
          <w:rFonts w:ascii="Arial" w:cs="Arial" w:eastAsia="Arial" w:hAnsi="Arial"/>
          <w:sz w:val="21"/>
          <w:szCs w:val="21"/>
          <w:color w:val="auto"/>
        </w:rPr>
        <w:t>If the office of any officer becomes vacant for any reason, the Board of Directors shall have the power to fill such vacancy.</w:t>
      </w:r>
    </w:p>
    <w:p>
      <w:pPr>
        <w:spacing w:after="0" w:line="212" w:lineRule="exact"/>
        <w:rPr>
          <w:sz w:val="20"/>
          <w:szCs w:val="20"/>
          <w:color w:val="auto"/>
        </w:rPr>
      </w:pPr>
    </w:p>
    <w:p>
      <w:pPr>
        <w:ind w:right="20" w:firstLine="1755"/>
        <w:spacing w:after="0" w:line="276" w:lineRule="auto"/>
        <w:rPr>
          <w:sz w:val="20"/>
          <w:szCs w:val="20"/>
          <w:color w:val="auto"/>
        </w:rPr>
      </w:pPr>
      <w:r>
        <w:rPr>
          <w:rFonts w:ascii="Arial" w:cs="Arial" w:eastAsia="Arial" w:hAnsi="Arial"/>
          <w:sz w:val="19"/>
          <w:szCs w:val="19"/>
          <w:b w:val="1"/>
          <w:bCs w:val="1"/>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The Chief Executive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may from time to time designate one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of the Corporation as Chief Executive Officer. The Chief Executive Officer shall, under the control of the Board of Directors and the Executive Committee, have the general management of the Corporation's business affairs and property and shall exercise general supervision over all activities of the Corporation and the other officers. The Chief Executive Officer shall have the power to appoint or hire, to remove, and to determine the compensation of, all employees of the Corporation who are not officers, and to delegate the foregoing powers from time to time in whole or in part. Unless such authority is otherwise prescribed by the Board of Directors or the Executive Committee for the Chairman of the Board or a Vice Chairman of the Board, the Chief Executive Officer shall preside at all meetings of the stockholders and of the Board of Directors.</w:t>
      </w:r>
    </w:p>
    <w:p>
      <w:pPr>
        <w:spacing w:after="0" w:line="157" w:lineRule="exact"/>
        <w:rPr>
          <w:sz w:val="20"/>
          <w:szCs w:val="20"/>
          <w:color w:val="auto"/>
        </w:rPr>
      </w:pPr>
    </w:p>
    <w:p>
      <w:pPr>
        <w:ind w:right="140" w:firstLine="1755"/>
        <w:spacing w:after="0"/>
        <w:rPr>
          <w:sz w:val="20"/>
          <w:szCs w:val="20"/>
          <w:color w:val="auto"/>
        </w:rPr>
      </w:pPr>
      <w:r>
        <w:rPr>
          <w:rFonts w:ascii="Arial" w:cs="Arial" w:eastAsia="Arial" w:hAnsi="Arial"/>
          <w:sz w:val="22"/>
          <w:szCs w:val="22"/>
          <w:color w:val="auto"/>
        </w:rPr>
        <w:t>In the absence or incapacity of the Chief Executive Officer the powers and duties of that office shall be vested in such other officer as may from time to time be designated by the Board of Directors or the Executive Committee, or, in the absence of any such designation, by the Chief Executive Officer.</w:t>
      </w:r>
    </w:p>
    <w:p>
      <w:pPr>
        <w:spacing w:after="0" w:line="180" w:lineRule="exact"/>
        <w:rPr>
          <w:sz w:val="20"/>
          <w:szCs w:val="20"/>
          <w:color w:val="auto"/>
        </w:rPr>
      </w:pPr>
    </w:p>
    <w:p>
      <w:pPr>
        <w:ind w:right="400" w:firstLine="1755"/>
        <w:spacing w:after="0" w:line="256" w:lineRule="auto"/>
        <w:rPr>
          <w:sz w:val="20"/>
          <w:szCs w:val="20"/>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The President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Board of Directors has not designated another officer as Chief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the President shall be the Chief Executive Officer of the Corporation.</w:t>
      </w:r>
    </w:p>
    <w:p>
      <w:pPr>
        <w:spacing w:after="0" w:line="163" w:lineRule="exact"/>
        <w:rPr>
          <w:sz w:val="20"/>
          <w:szCs w:val="20"/>
          <w:color w:val="auto"/>
        </w:rPr>
      </w:pPr>
    </w:p>
    <w:p>
      <w:pPr>
        <w:ind w:firstLine="1755"/>
        <w:spacing w:after="0" w:line="237" w:lineRule="auto"/>
        <w:rPr>
          <w:sz w:val="20"/>
          <w:szCs w:val="20"/>
          <w:color w:val="auto"/>
        </w:rPr>
      </w:pPr>
      <w:r>
        <w:rPr>
          <w:rFonts w:ascii="Arial" w:cs="Arial" w:eastAsia="Arial" w:hAnsi="Arial"/>
          <w:sz w:val="22"/>
          <w:szCs w:val="22"/>
          <w:b w:val="1"/>
          <w:bCs w:val="1"/>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The Corporate Secretary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Corporate Secretary shall issue notices of all meetings of</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and directors where notices of such meetings are required by law or these Bylaws. He or she shall attend all meetings of stockholders and of the Board of Directors and keep the minutes thereof. He or she shall affix the corporate seal to and sign such instruments as require the seal and his or her signature and shall perform such other duties as usually pertain to his or her office or as are properly required of him or her by the Board of Directors.</w:t>
      </w:r>
    </w:p>
    <w:p>
      <w:pPr>
        <w:spacing w:after="0" w:line="183" w:lineRule="exact"/>
        <w:rPr>
          <w:sz w:val="20"/>
          <w:szCs w:val="20"/>
          <w:color w:val="auto"/>
        </w:rPr>
      </w:pPr>
    </w:p>
    <w:p>
      <w:pPr>
        <w:ind w:right="300" w:firstLine="1755"/>
        <w:spacing w:after="0" w:line="301" w:lineRule="auto"/>
        <w:rPr>
          <w:sz w:val="20"/>
          <w:szCs w:val="20"/>
          <w:color w:val="auto"/>
        </w:rPr>
      </w:pPr>
      <w:r>
        <w:rPr>
          <w:rFonts w:ascii="Arial" w:cs="Arial" w:eastAsia="Arial" w:hAnsi="Arial"/>
          <w:sz w:val="19"/>
          <w:szCs w:val="19"/>
          <w:b w:val="1"/>
          <w:bCs w:val="1"/>
          <w:u w:val="single" w:color="auto"/>
          <w:color w:val="auto"/>
        </w:rPr>
        <w:t>Section 6</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Officers Holding Two or More Offices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two or more offices may be held by the same</w:t>
      </w:r>
      <w:r>
        <w:rPr>
          <w:rFonts w:ascii="Arial" w:cs="Arial" w:eastAsia="Arial" w:hAnsi="Arial"/>
          <w:sz w:val="19"/>
          <w:szCs w:val="19"/>
          <w:b w:val="1"/>
          <w:bCs w:val="1"/>
          <w:color w:val="auto"/>
        </w:rPr>
        <w:t xml:space="preserve"> </w:t>
      </w:r>
      <w:r>
        <w:rPr>
          <w:rFonts w:ascii="Arial" w:cs="Arial" w:eastAsia="Arial" w:hAnsi="Arial"/>
          <w:sz w:val="19"/>
          <w:szCs w:val="19"/>
          <w:color w:val="auto"/>
        </w:rPr>
        <w:t>person, except the office of President and Corporate Secretary, but no officer shall execute or verify any instrument in more than one capacity if such instrument be required by law or otherwise to be executed or verified by two or more officers.</w:t>
      </w:r>
    </w:p>
    <w:p>
      <w:pPr>
        <w:spacing w:after="0" w:line="123" w:lineRule="exact"/>
        <w:rPr>
          <w:sz w:val="20"/>
          <w:szCs w:val="20"/>
          <w:color w:val="auto"/>
        </w:rPr>
      </w:pPr>
    </w:p>
    <w:p>
      <w:pPr>
        <w:ind w:right="120" w:firstLine="1755"/>
        <w:spacing w:after="0" w:line="239" w:lineRule="auto"/>
        <w:rPr>
          <w:sz w:val="20"/>
          <w:szCs w:val="20"/>
          <w:color w:val="auto"/>
        </w:rPr>
      </w:pPr>
      <w:r>
        <w:rPr>
          <w:rFonts w:ascii="Arial" w:cs="Arial" w:eastAsia="Arial" w:hAnsi="Arial"/>
          <w:sz w:val="22"/>
          <w:szCs w:val="22"/>
          <w:b w:val="1"/>
          <w:bCs w:val="1"/>
          <w:u w:val="single" w:color="auto"/>
          <w:color w:val="auto"/>
        </w:rPr>
        <w:t>Section 7</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Duties of Officers May be Delegated</w:t>
      </w:r>
      <w:r>
        <w:rPr>
          <w:rFonts w:ascii="Arial" w:cs="Arial" w:eastAsia="Arial" w:hAnsi="Arial"/>
          <w:sz w:val="22"/>
          <w:szCs w:val="22"/>
          <w:b w:val="1"/>
          <w:bCs w:val="1"/>
          <w:color w:val="auto"/>
        </w:rPr>
        <w:t xml:space="preserve">: </w:t>
      </w:r>
      <w:r>
        <w:rPr>
          <w:rFonts w:ascii="Arial" w:cs="Arial" w:eastAsia="Arial" w:hAnsi="Arial"/>
          <w:sz w:val="22"/>
          <w:szCs w:val="22"/>
          <w:color w:val="auto"/>
        </w:rPr>
        <w:t>In case of the absence or disability of any officer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or in case of a vacancy in any office or for any other reason that the Board of Directors may deem sufficient, the Board of Directors, except as otherwise provided by law, may temporarily delegate the powers or duties of any officer to any other officer or to any director.</w:t>
      </w:r>
    </w:p>
    <w:p>
      <w:pPr>
        <w:spacing w:after="0" w:line="181" w:lineRule="exact"/>
        <w:rPr>
          <w:sz w:val="20"/>
          <w:szCs w:val="20"/>
          <w:color w:val="auto"/>
        </w:rPr>
      </w:pPr>
    </w:p>
    <w:p>
      <w:pPr>
        <w:ind w:right="200" w:firstLine="1755"/>
        <w:spacing w:after="0" w:line="243" w:lineRule="auto"/>
        <w:rPr>
          <w:sz w:val="20"/>
          <w:szCs w:val="20"/>
          <w:color w:val="auto"/>
        </w:rPr>
      </w:pPr>
      <w:r>
        <w:rPr>
          <w:rFonts w:ascii="Arial" w:cs="Arial" w:eastAsia="Arial" w:hAnsi="Arial"/>
          <w:sz w:val="22"/>
          <w:szCs w:val="22"/>
          <w:b w:val="1"/>
          <w:bCs w:val="1"/>
          <w:u w:val="single" w:color="auto"/>
          <w:color w:val="auto"/>
        </w:rPr>
        <w:t>Section 8</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Nomination, Compensation and Governance Committee shall,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consultation with the Board of Directors, determine the compensation and benefits of the Chief Executive Officer and other executive officers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3" w:name="page94"/>
    <w:bookmarkEnd w:id="93"/>
    <w:p>
      <w:pPr>
        <w:ind w:right="80"/>
        <w:spacing w:after="0"/>
        <w:rPr>
          <w:sz w:val="20"/>
          <w:szCs w:val="20"/>
          <w:color w:val="auto"/>
        </w:rPr>
      </w:pPr>
      <w:r>
        <w:rPr>
          <w:rFonts w:ascii="Arial" w:cs="Arial" w:eastAsia="Arial" w:hAnsi="Arial"/>
          <w:sz w:val="22"/>
          <w:szCs w:val="22"/>
          <w:color w:val="auto"/>
        </w:rPr>
        <w:t>Corporation. In the event and to the extent that the Nomination, Compensation and Governance Committee shall not hereafter exercise its discretionary power in respect of all other officers, the compensation to be paid to all other officers shall be determined by the Chief Executive Officer.</w:t>
      </w:r>
    </w:p>
    <w:p>
      <w:pPr>
        <w:spacing w:after="0" w:line="180" w:lineRule="exact"/>
        <w:rPr>
          <w:sz w:val="20"/>
          <w:szCs w:val="20"/>
          <w:color w:val="auto"/>
        </w:rPr>
      </w:pPr>
    </w:p>
    <w:p>
      <w:pPr>
        <w:ind w:right="140" w:firstLine="1755"/>
        <w:spacing w:after="0" w:line="249" w:lineRule="auto"/>
        <w:rPr>
          <w:sz w:val="20"/>
          <w:szCs w:val="20"/>
          <w:color w:val="auto"/>
        </w:rPr>
      </w:pPr>
      <w:r>
        <w:rPr>
          <w:rFonts w:ascii="Arial" w:cs="Arial" w:eastAsia="Arial" w:hAnsi="Arial"/>
          <w:sz w:val="21"/>
          <w:szCs w:val="21"/>
          <w:b w:val="1"/>
          <w:bCs w:val="1"/>
          <w:u w:val="single" w:color="auto"/>
          <w:color w:val="auto"/>
        </w:rPr>
        <w:t>Section 9</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Power of Officers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officer of the Corporation shall have general power and authority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all aspects of the business and operations of the Corporation as necessary or appropriate, including to sign on behalf of the Corporation and affix its seal, or cause the same to be affixed to, all instruments, documents or papers necessary for the conduct of the business of the Corporation. The powers and authority conferred herein may at any time be modified, changed, extended or revoked, and may be conferred in whole or in part on other employees or agents of the Corporation by the Board of Directors or the Executive Committee.</w:t>
      </w:r>
    </w:p>
    <w:p>
      <w:pPr>
        <w:spacing w:after="0" w:line="171" w:lineRule="exact"/>
        <w:rPr>
          <w:sz w:val="20"/>
          <w:szCs w:val="20"/>
          <w:color w:val="auto"/>
        </w:rPr>
      </w:pPr>
    </w:p>
    <w:p>
      <w:pPr>
        <w:ind w:right="140" w:firstLine="1755"/>
        <w:spacing w:after="0" w:line="335" w:lineRule="auto"/>
        <w:rPr>
          <w:sz w:val="20"/>
          <w:szCs w:val="20"/>
          <w:color w:val="auto"/>
        </w:rPr>
      </w:pPr>
      <w:r>
        <w:rPr>
          <w:rFonts w:ascii="Arial" w:cs="Arial" w:eastAsia="Arial" w:hAnsi="Arial"/>
          <w:sz w:val="19"/>
          <w:szCs w:val="19"/>
          <w:b w:val="1"/>
          <w:bCs w:val="1"/>
          <w:u w:val="single" w:color="auto"/>
          <w:color w:val="auto"/>
        </w:rPr>
        <w:t>Section 10</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Security</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may require any officer, agent or employee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to give security for the faithful performance of his or her duties, in such amount as may be satisfactory to the Board.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Indemnification of Directors and Officers</w:t>
      </w:r>
    </w:p>
    <w:p>
      <w:pPr>
        <w:spacing w:after="0" w:line="182" w:lineRule="exact"/>
        <w:rPr>
          <w:sz w:val="20"/>
          <w:szCs w:val="20"/>
          <w:color w:val="auto"/>
        </w:rPr>
      </w:pPr>
    </w:p>
    <w:p>
      <w:pPr>
        <w:ind w:firstLine="1755"/>
        <w:spacing w:after="0" w:line="278"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Right of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director and officer of the Corporation, whether or not then in</w:t>
      </w:r>
      <w:r>
        <w:rPr>
          <w:rFonts w:ascii="Arial" w:cs="Arial" w:eastAsia="Arial" w:hAnsi="Arial"/>
          <w:sz w:val="19"/>
          <w:szCs w:val="19"/>
          <w:b w:val="1"/>
          <w:bCs w:val="1"/>
          <w:color w:val="auto"/>
        </w:rPr>
        <w:t xml:space="preserve"> </w:t>
      </w:r>
      <w:r>
        <w:rPr>
          <w:rFonts w:ascii="Arial" w:cs="Arial" w:eastAsia="Arial" w:hAnsi="Arial"/>
          <w:sz w:val="19"/>
          <w:szCs w:val="19"/>
          <w:color w:val="auto"/>
        </w:rPr>
        <w:t>office, and any person whose testator or intestate was such a director or officer, shall be indemnified by the Corporation for the defense of, or in connection with, any threatened, pending or completed actions or proceedings and appeals therein, whether civil, criminal, governmental, administrative or investigative, in accordance with and to the fullest extent permitted by the Business Corporation Law of the State of New York or other applicable law, as such law now exists or may hereafter be amended; provided, however, that the Corporation shall provide indemnification in connection with an action or proceeding (or part thereof) initiated by such a director or officer only if such action or proceeding (or part thereof) was authorized by the Board of Directors.</w:t>
      </w:r>
    </w:p>
    <w:p>
      <w:pPr>
        <w:spacing w:after="0" w:line="146" w:lineRule="exact"/>
        <w:rPr>
          <w:sz w:val="20"/>
          <w:szCs w:val="20"/>
          <w:color w:val="auto"/>
        </w:rPr>
      </w:pPr>
    </w:p>
    <w:p>
      <w:pPr>
        <w:ind w:right="40" w:firstLine="1755"/>
        <w:spacing w:after="0" w:line="234"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Advancement of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incurred by a director or officer in connection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action or proceeding as to which indemnification may be given under Section 1 of this Article V may be paid by the Corporation in advance of the final disposition of such action or proceeding upon (a) receipt of an undertaking by or on behalf of such director or officer to repay such advancement in the event that such director or officer is ultimately found not to be entitled to indemnification as authorized by this Article V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under this Section 2, to find that the director or officer has met the applicable standard of conduct provided by law for indemnification in connection with such action or proceeding.</w:t>
      </w:r>
    </w:p>
    <w:p>
      <w:pPr>
        <w:spacing w:after="0" w:line="184" w:lineRule="exact"/>
        <w:rPr>
          <w:sz w:val="20"/>
          <w:szCs w:val="20"/>
          <w:color w:val="auto"/>
        </w:rPr>
      </w:pPr>
    </w:p>
    <w:p>
      <w:pPr>
        <w:ind w:right="620" w:firstLine="1755"/>
        <w:spacing w:after="0" w:line="256" w:lineRule="auto"/>
        <w:rPr>
          <w:sz w:val="20"/>
          <w:szCs w:val="20"/>
          <w:color w:val="auto"/>
        </w:rPr>
      </w:pPr>
      <w:r>
        <w:rPr>
          <w:rFonts w:ascii="Arial" w:cs="Arial" w:eastAsia="Arial" w:hAnsi="Arial"/>
          <w:sz w:val="22"/>
          <w:szCs w:val="22"/>
          <w:b w:val="1"/>
          <w:bCs w:val="1"/>
          <w:u w:val="single" w:color="auto"/>
          <w:color w:val="auto"/>
        </w:rPr>
        <w:t>Section 3</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Availability and 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permitted under applicable law, the rights of</w:t>
      </w:r>
      <w:r>
        <w:rPr>
          <w:rFonts w:ascii="Arial" w:cs="Arial" w:eastAsia="Arial" w:hAnsi="Arial"/>
          <w:sz w:val="22"/>
          <w:szCs w:val="22"/>
          <w:b w:val="1"/>
          <w:bCs w:val="1"/>
          <w:color w:val="auto"/>
        </w:rPr>
        <w:t xml:space="preserve"> </w:t>
      </w:r>
      <w:r>
        <w:rPr>
          <w:rFonts w:ascii="Arial" w:cs="Arial" w:eastAsia="Arial" w:hAnsi="Arial"/>
          <w:sz w:val="22"/>
          <w:szCs w:val="22"/>
          <w:color w:val="auto"/>
        </w:rPr>
        <w:t>indemnification and to the advancement of expenses provided in this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4" w:name="page95"/>
    <w:bookmarkEnd w:id="94"/>
    <w:p>
      <w:pPr>
        <w:ind w:right="160"/>
        <w:spacing w:after="0" w:line="276" w:lineRule="auto"/>
        <w:rPr>
          <w:sz w:val="20"/>
          <w:szCs w:val="20"/>
          <w:color w:val="auto"/>
        </w:rPr>
      </w:pPr>
      <w:r>
        <w:rPr>
          <w:rFonts w:ascii="Arial" w:cs="Arial" w:eastAsia="Arial" w:hAnsi="Arial"/>
          <w:sz w:val="19"/>
          <w:szCs w:val="19"/>
          <w:color w:val="auto"/>
        </w:rPr>
        <w:t>Article V (a) shall be available with respect to events occurring prior to the adoption of this Article V, (b) shall continue to exist after any recision or restrictive amendment of this Article V with respect to events occurring prior to such recision or amendment,</w:t>
      </w:r>
    </w:p>
    <w:p>
      <w:pPr>
        <w:spacing w:after="0" w:line="2" w:lineRule="exact"/>
        <w:rPr>
          <w:sz w:val="20"/>
          <w:szCs w:val="20"/>
          <w:color w:val="auto"/>
        </w:rPr>
      </w:pPr>
    </w:p>
    <w:p>
      <w:pPr>
        <w:ind w:right="160" w:firstLine="8"/>
        <w:spacing w:after="0" w:line="246" w:lineRule="auto"/>
        <w:tabs>
          <w:tab w:leader="none" w:pos="294" w:val="left"/>
        </w:tabs>
        <w:numPr>
          <w:ilvl w:val="0"/>
          <w:numId w:val="35"/>
        </w:numPr>
        <w:rPr>
          <w:rFonts w:ascii="Arial" w:cs="Arial" w:eastAsia="Arial" w:hAnsi="Arial"/>
          <w:sz w:val="21"/>
          <w:szCs w:val="21"/>
          <w:color w:val="auto"/>
        </w:rPr>
      </w:pPr>
      <w:r>
        <w:rPr>
          <w:rFonts w:ascii="Arial" w:cs="Arial" w:eastAsia="Arial" w:hAnsi="Arial"/>
          <w:sz w:val="21"/>
          <w:szCs w:val="21"/>
          <w:color w:val="auto"/>
        </w:rPr>
        <w:t>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Corporation and the director or officer for whom such rights are sought were parties to a separate written agreement.</w:t>
      </w:r>
    </w:p>
    <w:p>
      <w:pPr>
        <w:spacing w:after="0" w:line="174" w:lineRule="exact"/>
        <w:rPr>
          <w:sz w:val="20"/>
          <w:szCs w:val="20"/>
          <w:color w:val="auto"/>
        </w:rPr>
      </w:pPr>
    </w:p>
    <w:p>
      <w:pPr>
        <w:ind w:firstLine="1755"/>
        <w:spacing w:after="0" w:line="276" w:lineRule="auto"/>
        <w:rPr>
          <w:sz w:val="20"/>
          <w:szCs w:val="20"/>
          <w:color w:val="auto"/>
        </w:rPr>
      </w:pPr>
      <w:r>
        <w:rPr>
          <w:rFonts w:ascii="Arial" w:cs="Arial" w:eastAsia="Arial" w:hAnsi="Arial"/>
          <w:sz w:val="19"/>
          <w:szCs w:val="19"/>
          <w:b w:val="1"/>
          <w:bCs w:val="1"/>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rights of indemnification and to the advancement of expenses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V shall not be deemed exclusive of any other rights to which any such director, officer or other person may now or hereafter be otherwise entitled whether contained in the certificate of incorporation, these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this Article V shall not be deemed exclusive of any rights, pursuant to statute or otherwise, of any such director, officer or other person in any such action or proceeding to have assessed or allowed in his or her favor, against the Corporation or otherwise, his or her costs and expenses incurred therein or in connection therewith or any part thereof.</w:t>
      </w:r>
    </w:p>
    <w:p>
      <w:pPr>
        <w:spacing w:after="0" w:line="151" w:lineRule="exact"/>
        <w:rPr>
          <w:sz w:val="20"/>
          <w:szCs w:val="20"/>
          <w:color w:val="auto"/>
        </w:rPr>
      </w:pPr>
    </w:p>
    <w:p>
      <w:pPr>
        <w:ind w:right="300" w:firstLine="1755"/>
        <w:spacing w:after="0" w:line="243" w:lineRule="auto"/>
        <w:rPr>
          <w:sz w:val="20"/>
          <w:szCs w:val="20"/>
          <w:color w:val="auto"/>
        </w:rPr>
      </w:pPr>
      <w:r>
        <w:rPr>
          <w:rFonts w:ascii="Arial" w:cs="Arial" w:eastAsia="Arial" w:hAnsi="Arial"/>
          <w:sz w:val="22"/>
          <w:szCs w:val="22"/>
          <w:b w:val="1"/>
          <w:bCs w:val="1"/>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this Article V or any part hereof shall be held unenforceable in any respect by a</w:t>
      </w:r>
      <w:r>
        <w:rPr>
          <w:rFonts w:ascii="Arial" w:cs="Arial" w:eastAsia="Arial" w:hAnsi="Arial"/>
          <w:sz w:val="22"/>
          <w:szCs w:val="22"/>
          <w:b w:val="1"/>
          <w:bCs w:val="1"/>
          <w:color w:val="auto"/>
        </w:rPr>
        <w:t xml:space="preserve"> </w:t>
      </w:r>
      <w:r>
        <w:rPr>
          <w:rFonts w:ascii="Arial" w:cs="Arial" w:eastAsia="Arial" w:hAnsi="Arial"/>
          <w:sz w:val="22"/>
          <w:szCs w:val="22"/>
          <w:color w:val="auto"/>
        </w:rPr>
        <w:t>court of competent jurisdiction, it shall be deemed modified to the minimum extent necessary to make it enforceable, and the remainder of this Article V shall remain fully enforceable.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ARTICLE VI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Shares</w:t>
      </w:r>
    </w:p>
    <w:p>
      <w:pPr>
        <w:spacing w:after="0" w:line="182" w:lineRule="exact"/>
        <w:rPr>
          <w:sz w:val="20"/>
          <w:szCs w:val="20"/>
          <w:color w:val="auto"/>
        </w:rPr>
      </w:pPr>
    </w:p>
    <w:p>
      <w:pPr>
        <w:ind w:right="20" w:firstLine="1755"/>
        <w:spacing w:after="0" w:line="272"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Certificate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may authorize the issuance of shares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either in certificated or uncertificated form, which uncertificated shares may be evidenced by a book-entry system maintained by the Corporation’s transfer agent or registrar, or a combination of both. Shares issued in certificated form shall be represented by certificates which shall be numbered and shall be entered in the records of the Corporation as they are issued. Each share certificate shall when issued state upon the face thereof that the Corporation is formed under the laws of the State of New York, the name of the person or persons to whom issued, and the number and class of shares and the designation of the series, if any, which such certificate represents and shall be signed by the Chief Executive Officer or President and by the Corporate Secretary and shall be sealed with the seal of the Corporation or a facsimile thereof. The signatures of the officers upon a certificate may be a facsimile if the certificate is countersigned by a transfer agent or registered by a registrar other than the Corporation itself or its employee. In case any officer who has signed or whose facsimile signature has been placed upon a certificate shall have ceased to be such officer before such certificate is issued, it may be issued by the Corporation with the same effect as if he or she were such officer at the date of issue. No certificate shall be valid until countersigned by a transfer agent if the Corporation has a transfer agent, or until registered by a registrar if the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5" w:name="page96"/>
    <w:bookmarkEnd w:id="95"/>
    <w:p>
      <w:pPr>
        <w:ind w:right="160"/>
        <w:spacing w:after="0" w:line="251" w:lineRule="auto"/>
        <w:rPr>
          <w:sz w:val="20"/>
          <w:szCs w:val="20"/>
          <w:color w:val="auto"/>
        </w:rPr>
      </w:pPr>
      <w:r>
        <w:rPr>
          <w:rFonts w:ascii="Arial" w:cs="Arial" w:eastAsia="Arial" w:hAnsi="Arial"/>
          <w:sz w:val="22"/>
          <w:szCs w:val="22"/>
          <w:color w:val="auto"/>
        </w:rPr>
        <w:t>Corporation has a registrar. If shares are issued in uncertificated form, each stockholder shall be entitled upon written request to a stock certificate or certificates in the form prescribed above.</w:t>
      </w:r>
    </w:p>
    <w:p>
      <w:pPr>
        <w:spacing w:after="0" w:line="167" w:lineRule="exact"/>
        <w:rPr>
          <w:sz w:val="20"/>
          <w:szCs w:val="20"/>
          <w:color w:val="auto"/>
        </w:rPr>
      </w:pPr>
    </w:p>
    <w:p>
      <w:pPr>
        <w:ind w:right="80" w:firstLine="1755"/>
        <w:spacing w:after="0" w:line="276" w:lineRule="auto"/>
        <w:rPr>
          <w:sz w:val="20"/>
          <w:szCs w:val="20"/>
          <w:color w:val="auto"/>
        </w:rPr>
      </w:pPr>
      <w:r>
        <w:rPr>
          <w:rFonts w:ascii="Arial" w:cs="Arial" w:eastAsia="Arial" w:hAnsi="Arial"/>
          <w:sz w:val="19"/>
          <w:szCs w:val="19"/>
          <w:b w:val="1"/>
          <w:bCs w:val="1"/>
          <w:u w:val="single" w:color="auto"/>
          <w:color w:val="auto"/>
        </w:rPr>
        <w:t>Section 2</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Transfer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the Corporation shall be transferable on the books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by the holder thereof, in person or by duly authorized attorney, upon the surrender of the certificate representing such shares properly endorsed, or other evidence of ownership if no certificate shall have been issued, and payment of all taxes thereon. Except as otherwise provided by law, the Corporation shall be entitled to treat the holder of record of any share as the owner thereof and shall not be bound to recognize any equitable or other claim to or interest in such share on the part of any other person whether or not it shall have express or other notice thereof. The Board of Directors, to the extent permitted by law, shall have power and authority to make all rules and regulations as it may deem expedient concerning the issue, transfer and registration of share certificates and may appoint one or more transfer agents and registrars of the shares of the Corporation.</w:t>
      </w:r>
    </w:p>
    <w:p>
      <w:pPr>
        <w:spacing w:after="0" w:line="151" w:lineRule="exact"/>
        <w:rPr>
          <w:sz w:val="20"/>
          <w:szCs w:val="20"/>
          <w:color w:val="auto"/>
        </w:rPr>
      </w:pPr>
    </w:p>
    <w:p>
      <w:pPr>
        <w:ind w:right="100" w:firstLine="1755"/>
        <w:spacing w:after="0" w:line="274" w:lineRule="auto"/>
        <w:rPr>
          <w:sz w:val="20"/>
          <w:szCs w:val="20"/>
          <w:color w:val="auto"/>
        </w:rPr>
      </w:pPr>
      <w:r>
        <w:rPr>
          <w:rFonts w:ascii="Arial" w:cs="Arial" w:eastAsia="Arial" w:hAnsi="Arial"/>
          <w:sz w:val="19"/>
          <w:szCs w:val="19"/>
          <w:b w:val="1"/>
          <w:bCs w:val="1"/>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Fixing of Record Time</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may fix, in advance, a day and hour not more</w:t>
      </w:r>
      <w:r>
        <w:rPr>
          <w:rFonts w:ascii="Arial" w:cs="Arial" w:eastAsia="Arial" w:hAnsi="Arial"/>
          <w:sz w:val="19"/>
          <w:szCs w:val="19"/>
          <w:b w:val="1"/>
          <w:bCs w:val="1"/>
          <w:color w:val="auto"/>
        </w:rPr>
        <w:t xml:space="preserve"> </w:t>
      </w:r>
      <w:r>
        <w:rPr>
          <w:rFonts w:ascii="Arial" w:cs="Arial" w:eastAsia="Arial" w:hAnsi="Arial"/>
          <w:sz w:val="19"/>
          <w:szCs w:val="19"/>
          <w:color w:val="auto"/>
        </w:rPr>
        <w:t>than 60 days nor less than 10 days before the date on which any meeting of the stockholders is to be held, as the time as of which stockholders entitled to notice of and to vote at such meeting and at all adjournments thereof shall be determined; and, in the event such record date and time are fixed by the Board of Directors, no one other than the holders of record on such date and time of shares entitled to notice of and to vote at such meeting shall be entitled to notice of or to vote at such meeting or any adjournment thereof. If a record date and time shall not be fixed by the Board of Directors for the determination of stockholders entitled to notice of and to vote at any meeting of the stockholders, stockholders of record at the close of business on the day next preceding the day on which notice of such meeting is given, and no others, shall be entitled to notice of and to vote at such meeting or any adjournment thereof; provided, however, that if no notice of such meeting is given, stockholders of record at the close of business on the day next preceding the day on which such meeting is held, and no others, shall be entitled to vote at such meeting or any adjournment thereof.</w:t>
      </w:r>
    </w:p>
    <w:p>
      <w:pPr>
        <w:spacing w:after="0" w:line="200" w:lineRule="exact"/>
        <w:rPr>
          <w:sz w:val="20"/>
          <w:szCs w:val="20"/>
          <w:color w:val="auto"/>
        </w:rPr>
      </w:pPr>
    </w:p>
    <w:p>
      <w:pPr>
        <w:spacing w:after="0" w:line="202" w:lineRule="exact"/>
        <w:rPr>
          <w:sz w:val="20"/>
          <w:szCs w:val="20"/>
          <w:color w:val="auto"/>
        </w:rPr>
      </w:pPr>
    </w:p>
    <w:p>
      <w:pPr>
        <w:ind w:firstLine="1755"/>
        <w:spacing w:after="0" w:line="247" w:lineRule="auto"/>
        <w:rPr>
          <w:sz w:val="20"/>
          <w:szCs w:val="20"/>
          <w:color w:val="auto"/>
        </w:rPr>
      </w:pPr>
      <w:r>
        <w:rPr>
          <w:rFonts w:ascii="Arial" w:cs="Arial" w:eastAsia="Arial" w:hAnsi="Arial"/>
          <w:sz w:val="21"/>
          <w:szCs w:val="21"/>
          <w:color w:val="auto"/>
        </w:rPr>
        <w:t>The Board of Directors may fix, in advance, a day and hour, not more than 60 days nor less than 10 days before the date fixed for the payment of a dividend of any kind or the allotment of any rights, as the record time for the determination of stockholders entitled to receive such dividend or rights, and in such case only stockholders of record at the date and time so fixed shall be entitled to receive such dividend or rights; provided, however, that if no record date and time for the determination of stockholders entitled to receive such dividend or rights are fixed, stockholders of record at the close of business on the day on which the resolution of the Board of Directors authorizing the payment of such dividend or the allotment of such rights is adopted shall be entitled to receive such dividend or rights.</w:t>
      </w:r>
    </w:p>
    <w:p>
      <w:pPr>
        <w:spacing w:after="0" w:line="172" w:lineRule="exact"/>
        <w:rPr>
          <w:sz w:val="20"/>
          <w:szCs w:val="20"/>
          <w:color w:val="auto"/>
        </w:rPr>
      </w:pPr>
    </w:p>
    <w:p>
      <w:pPr>
        <w:ind w:right="80" w:firstLine="1755"/>
        <w:spacing w:after="0" w:line="301" w:lineRule="auto"/>
        <w:rPr>
          <w:sz w:val="20"/>
          <w:szCs w:val="20"/>
          <w:color w:val="auto"/>
        </w:rPr>
      </w:pPr>
      <w:r>
        <w:rPr>
          <w:rFonts w:ascii="Arial" w:cs="Arial" w:eastAsia="Arial" w:hAnsi="Arial"/>
          <w:sz w:val="19"/>
          <w:szCs w:val="19"/>
          <w:b w:val="1"/>
          <w:bCs w:val="1"/>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Record of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shall keep at its office in the State of New York, or at</w:t>
      </w:r>
      <w:r>
        <w:rPr>
          <w:rFonts w:ascii="Arial" w:cs="Arial" w:eastAsia="Arial" w:hAnsi="Arial"/>
          <w:sz w:val="19"/>
          <w:szCs w:val="19"/>
          <w:b w:val="1"/>
          <w:bCs w:val="1"/>
          <w:color w:val="auto"/>
        </w:rPr>
        <w:t xml:space="preserve"> </w:t>
      </w:r>
      <w:r>
        <w:rPr>
          <w:rFonts w:ascii="Arial" w:cs="Arial" w:eastAsia="Arial" w:hAnsi="Arial"/>
          <w:sz w:val="19"/>
          <w:szCs w:val="19"/>
          <w:color w:val="auto"/>
        </w:rPr>
        <w:t>the office of its transfer agent or registrar in this State, a record containing the names and addresses of all stockholders, the number and class of shares held by each and the dates when they respectively became the owners of record thereof.</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6" w:name="page97"/>
    <w:bookmarkEnd w:id="96"/>
    <w:p>
      <w:pPr>
        <w:ind w:right="20" w:firstLine="1755"/>
        <w:spacing w:after="0" w:line="280" w:lineRule="auto"/>
        <w:rPr>
          <w:sz w:val="20"/>
          <w:szCs w:val="20"/>
          <w:color w:val="auto"/>
        </w:rPr>
      </w:pPr>
      <w:r>
        <w:rPr>
          <w:rFonts w:ascii="Arial" w:cs="Arial" w:eastAsia="Arial" w:hAnsi="Arial"/>
          <w:sz w:val="19"/>
          <w:szCs w:val="19"/>
          <w:b w:val="1"/>
          <w:bCs w:val="1"/>
          <w:u w:val="single" w:color="auto"/>
          <w:color w:val="auto"/>
        </w:rPr>
        <w:t>Section 5</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Lost Share Certificates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may in its discretion cause a new certificate for</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be issued by the Corporation in place of any certificate theretofore issued by it, alleged to have been lost or destroyed, and the Board may require the owner of the lost or destroyed certificate, or his or her legal representative, to give the Corporation a bond sufficient to indemnify the Corporation against any claim that may be made against it on account of the alleged loss or destruction of any such certificate or the issuance of any such new certificate; but the Board of Directors may in its discretion refuse to issue such new certificate save upon the order of the court having jurisdiction in such matters.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Finances</w:t>
      </w:r>
    </w:p>
    <w:p>
      <w:pPr>
        <w:spacing w:after="0" w:line="182" w:lineRule="exact"/>
        <w:rPr>
          <w:sz w:val="20"/>
          <w:szCs w:val="20"/>
          <w:color w:val="auto"/>
        </w:rPr>
      </w:pPr>
    </w:p>
    <w:p>
      <w:pPr>
        <w:ind w:right="20" w:firstLine="1755"/>
        <w:spacing w:after="0" w:line="249" w:lineRule="auto"/>
        <w:rPr>
          <w:sz w:val="20"/>
          <w:szCs w:val="20"/>
          <w:color w:val="auto"/>
        </w:rPr>
      </w:pPr>
      <w:r>
        <w:rPr>
          <w:rFonts w:ascii="Arial" w:cs="Arial" w:eastAsia="Arial" w:hAnsi="Arial"/>
          <w:sz w:val="21"/>
          <w:szCs w:val="21"/>
          <w:b w:val="1"/>
          <w:bCs w:val="1"/>
          <w:u w:val="single" w:color="auto"/>
          <w:color w:val="auto"/>
        </w:rPr>
        <w:t>Section 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Corporate Funds</w:t>
      </w:r>
      <w:r>
        <w:rPr>
          <w:rFonts w:ascii="Arial" w:cs="Arial" w:eastAsia="Arial" w:hAnsi="Arial"/>
          <w:sz w:val="21"/>
          <w:szCs w:val="21"/>
          <w:b w:val="1"/>
          <w:bCs w:val="1"/>
          <w:color w:val="auto"/>
        </w:rPr>
        <w:t xml:space="preserve"> : </w:t>
      </w:r>
      <w:r>
        <w:rPr>
          <w:rFonts w:ascii="Arial" w:cs="Arial" w:eastAsia="Arial" w:hAnsi="Arial"/>
          <w:sz w:val="21"/>
          <w:szCs w:val="21"/>
          <w:color w:val="auto"/>
        </w:rPr>
        <w:t>The funds of the Corporation shall be deposited in its name with such banks,</w:t>
      </w:r>
      <w:r>
        <w:rPr>
          <w:rFonts w:ascii="Arial" w:cs="Arial" w:eastAsia="Arial" w:hAnsi="Arial"/>
          <w:sz w:val="21"/>
          <w:szCs w:val="21"/>
          <w:b w:val="1"/>
          <w:bCs w:val="1"/>
          <w:color w:val="auto"/>
        </w:rPr>
        <w:t xml:space="preserve"> </w:t>
      </w:r>
      <w:r>
        <w:rPr>
          <w:rFonts w:ascii="Arial" w:cs="Arial" w:eastAsia="Arial" w:hAnsi="Arial"/>
          <w:sz w:val="21"/>
          <w:szCs w:val="21"/>
          <w:color w:val="auto"/>
        </w:rPr>
        <w:t>trust companies or other depositories as the Board of Directors may from time to time designate. All checks, notes, drafts and other negotiable instruments of the Corporation shall be signed by such officer or officers, employee or employees, agent or agents as the Board of Directors may from time to time designate. No officers, employees or agents of the Corporation, alone or with others, shall have power to make any checks, notes, drafts or other negotiable instruments in the name of the Corporation or to bind the Corporation thereby, except as provided in this Section.</w:t>
      </w:r>
    </w:p>
    <w:p>
      <w:pPr>
        <w:spacing w:after="0" w:line="171" w:lineRule="exact"/>
        <w:rPr>
          <w:sz w:val="20"/>
          <w:szCs w:val="20"/>
          <w:color w:val="auto"/>
        </w:rPr>
      </w:pPr>
    </w:p>
    <w:p>
      <w:pPr>
        <w:ind w:right="780" w:firstLine="1755"/>
        <w:spacing w:after="0" w:line="256"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Fiscal Year</w:t>
      </w:r>
      <w:r>
        <w:rPr>
          <w:rFonts w:ascii="Arial" w:cs="Arial" w:eastAsia="Arial" w:hAnsi="Arial"/>
          <w:sz w:val="22"/>
          <w:szCs w:val="22"/>
          <w:b w:val="1"/>
          <w:bCs w:val="1"/>
          <w:color w:val="auto"/>
        </w:rPr>
        <w:t xml:space="preserve">: </w:t>
      </w:r>
      <w:r>
        <w:rPr>
          <w:rFonts w:ascii="Arial" w:cs="Arial" w:eastAsia="Arial" w:hAnsi="Arial"/>
          <w:sz w:val="22"/>
          <w:szCs w:val="22"/>
          <w:color w:val="auto"/>
        </w:rPr>
        <w:t>The fiscal year of the Corporation shall be the calendar year unless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by the Board of Directors.</w:t>
      </w:r>
    </w:p>
    <w:p>
      <w:pPr>
        <w:spacing w:after="0" w:line="163"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22"/>
          <w:szCs w:val="22"/>
          <w:b w:val="1"/>
          <w:bCs w:val="1"/>
          <w:u w:val="single" w:color="auto"/>
          <w:color w:val="auto"/>
        </w:rPr>
        <w:t>Corporate Seal</w:t>
      </w:r>
    </w:p>
    <w:p>
      <w:pPr>
        <w:spacing w:after="0" w:line="182" w:lineRule="exact"/>
        <w:rPr>
          <w:sz w:val="20"/>
          <w:szCs w:val="20"/>
          <w:color w:val="auto"/>
        </w:rPr>
      </w:pPr>
    </w:p>
    <w:p>
      <w:pPr>
        <w:ind w:right="200" w:firstLine="1755"/>
        <w:spacing w:after="0" w:line="335"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Form of Seal</w:t>
      </w:r>
      <w:r>
        <w:rPr>
          <w:rFonts w:ascii="Arial" w:cs="Arial" w:eastAsia="Arial" w:hAnsi="Arial"/>
          <w:sz w:val="19"/>
          <w:szCs w:val="19"/>
          <w:b w:val="1"/>
          <w:bCs w:val="1"/>
          <w:color w:val="auto"/>
        </w:rPr>
        <w:t xml:space="preserve">: </w:t>
      </w:r>
      <w:r>
        <w:rPr>
          <w:rFonts w:ascii="Arial" w:cs="Arial" w:eastAsia="Arial" w:hAnsi="Arial"/>
          <w:sz w:val="19"/>
          <w:szCs w:val="19"/>
          <w:color w:val="auto"/>
        </w:rPr>
        <w:t>The seal of the Corporation shall be in such form as may be determined from time</w:t>
      </w:r>
      <w:r>
        <w:rPr>
          <w:rFonts w:ascii="Arial" w:cs="Arial" w:eastAsia="Arial" w:hAnsi="Arial"/>
          <w:sz w:val="19"/>
          <w:szCs w:val="19"/>
          <w:b w:val="1"/>
          <w:bCs w:val="1"/>
          <w:color w:val="auto"/>
        </w:rPr>
        <w:t xml:space="preserve"> </w:t>
      </w:r>
      <w:r>
        <w:rPr>
          <w:rFonts w:ascii="Arial" w:cs="Arial" w:eastAsia="Arial" w:hAnsi="Arial"/>
          <w:sz w:val="19"/>
          <w:szCs w:val="19"/>
          <w:color w:val="auto"/>
        </w:rPr>
        <w:t>to time by the Board of Directors. The seal on any corporate obligation for the payment of money may be facsimile.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Emergency Bylaw Provisions</w:t>
      </w:r>
    </w:p>
    <w:p>
      <w:pPr>
        <w:spacing w:after="0" w:line="182" w:lineRule="exact"/>
        <w:rPr>
          <w:sz w:val="20"/>
          <w:szCs w:val="20"/>
          <w:color w:val="auto"/>
        </w:rPr>
      </w:pPr>
    </w:p>
    <w:p>
      <w:pPr>
        <w:ind w:right="120" w:firstLine="1755"/>
        <w:spacing w:after="0" w:line="243" w:lineRule="auto"/>
        <w:rPr>
          <w:sz w:val="20"/>
          <w:szCs w:val="20"/>
          <w:color w:val="auto"/>
        </w:rPr>
      </w:pPr>
      <w:r>
        <w:rPr>
          <w:rFonts w:ascii="Arial" w:cs="Arial" w:eastAsia="Arial" w:hAnsi="Arial"/>
          <w:sz w:val="22"/>
          <w:szCs w:val="22"/>
          <w:b w:val="1"/>
          <w:bCs w:val="1"/>
          <w:u w:val="single" w:color="auto"/>
          <w:color w:val="auto"/>
        </w:rPr>
        <w:t>Section 1</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Taking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this Article IX may be declared effective by the New York State</w:t>
      </w:r>
      <w:r>
        <w:rPr>
          <w:rFonts w:ascii="Arial" w:cs="Arial" w:eastAsia="Arial" w:hAnsi="Arial"/>
          <w:sz w:val="22"/>
          <w:szCs w:val="22"/>
          <w:b w:val="1"/>
          <w:bCs w:val="1"/>
          <w:color w:val="auto"/>
        </w:rPr>
        <w:t xml:space="preserve"> </w:t>
      </w:r>
      <w:r>
        <w:rPr>
          <w:rFonts w:ascii="Arial" w:cs="Arial" w:eastAsia="Arial" w:hAnsi="Arial"/>
          <w:sz w:val="22"/>
          <w:szCs w:val="22"/>
          <w:color w:val="auto"/>
        </w:rPr>
        <w:t>Defense Council as constituted under the New York State Defense Emergency Act, as amended, in the event of attack and shall cease to be effective when the Defense Council declares the end of the period of attack.</w:t>
      </w:r>
    </w:p>
    <w:p>
      <w:pPr>
        <w:spacing w:after="0" w:line="177" w:lineRule="exact"/>
        <w:rPr>
          <w:sz w:val="20"/>
          <w:szCs w:val="20"/>
          <w:color w:val="auto"/>
        </w:rPr>
      </w:pPr>
    </w:p>
    <w:p>
      <w:pPr>
        <w:ind w:firstLine="1755"/>
        <w:spacing w:after="0" w:line="236" w:lineRule="auto"/>
        <w:rPr>
          <w:sz w:val="20"/>
          <w:szCs w:val="20"/>
          <w:color w:val="auto"/>
        </w:rPr>
      </w:pPr>
      <w:r>
        <w:rPr>
          <w:rFonts w:ascii="Arial" w:cs="Arial" w:eastAsia="Arial" w:hAnsi="Arial"/>
          <w:sz w:val="22"/>
          <w:szCs w:val="22"/>
          <w:b w:val="1"/>
          <w:bCs w:val="1"/>
          <w:u w:val="single" w:color="auto"/>
          <w:color w:val="auto"/>
        </w:rPr>
        <w:t>Section 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Quorum and Filling of Vacancies</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effectiveness of this Article IX and until the Defense</w:t>
      </w:r>
      <w:r>
        <w:rPr>
          <w:rFonts w:ascii="Arial" w:cs="Arial" w:eastAsia="Arial" w:hAnsi="Arial"/>
          <w:sz w:val="22"/>
          <w:szCs w:val="22"/>
          <w:b w:val="1"/>
          <w:bCs w:val="1"/>
          <w:color w:val="auto"/>
        </w:rPr>
        <w:t xml:space="preserve"> </w:t>
      </w:r>
      <w:r>
        <w:rPr>
          <w:rFonts w:ascii="Arial" w:cs="Arial" w:eastAsia="Arial" w:hAnsi="Arial"/>
          <w:sz w:val="22"/>
          <w:szCs w:val="22"/>
          <w:color w:val="auto"/>
        </w:rPr>
        <w:t>Council declares the end of the period of attack, the affairs of the Corporation shall be managed by such directors theretofore elected pursuant to Article II of these Bylaws as are available to act, and a majority of such directors available to act shall constitute a quorum. In the event, however, that there are less than three such directors available to act, the director or directors available to act shall appoint a sufficient number of emergency directors to make a Board of three directors. Each emergency director shall serve until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7" w:name="page98"/>
    <w:bookmarkEnd w:id="97"/>
    <w:p>
      <w:pPr>
        <w:spacing w:after="0" w:line="245" w:lineRule="auto"/>
        <w:rPr>
          <w:sz w:val="20"/>
          <w:szCs w:val="20"/>
          <w:color w:val="auto"/>
        </w:rPr>
      </w:pPr>
      <w:r>
        <w:rPr>
          <w:rFonts w:ascii="Arial" w:cs="Arial" w:eastAsia="Arial" w:hAnsi="Arial"/>
          <w:sz w:val="21"/>
          <w:szCs w:val="21"/>
          <w:color w:val="auto"/>
        </w:rPr>
        <w:t>vacancy he or she was appointed to fill can again be filled by the previously elected director, except, however, that the period of his or her service shall end at such time as his or her appointment is terminated pursuant to Section 3 of this Article IX, or at such time as the New York State Defense Council declares the end of the period of attack and his or her successor shall be elected and qualified pursuant to Article II of these Bylaws. If, in the event of attack, there are no directors available to act, then the three highest paid officers of the Corporation available to act shall constitute the emergency Board of Directors until one or more of the previously elected directors are again available to act, except, however, that the period of their service as emergency directors shall end at such time as their service is terminated pursuant to Section 3 of this Article IX, or at such time as the New York State Defense Council declares the end of the period of attack and their successors shall be elected and qualified pursuant to Article II of these Bylaws.</w:t>
      </w:r>
    </w:p>
    <w:p>
      <w:pPr>
        <w:spacing w:after="0" w:line="179" w:lineRule="exact"/>
        <w:rPr>
          <w:sz w:val="20"/>
          <w:szCs w:val="20"/>
          <w:color w:val="auto"/>
        </w:rPr>
      </w:pPr>
    </w:p>
    <w:p>
      <w:pPr>
        <w:ind w:right="100" w:firstLine="1755"/>
        <w:spacing w:after="0" w:line="301" w:lineRule="auto"/>
        <w:rPr>
          <w:sz w:val="20"/>
          <w:szCs w:val="20"/>
          <w:color w:val="auto"/>
        </w:rPr>
      </w:pPr>
      <w:r>
        <w:rPr>
          <w:rFonts w:ascii="Arial" w:cs="Arial" w:eastAsia="Arial" w:hAnsi="Arial"/>
          <w:sz w:val="19"/>
          <w:szCs w:val="19"/>
          <w:b w:val="1"/>
          <w:bCs w:val="1"/>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Termination of Period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The stockholders of the Corporation or the previously elected</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or directors who are available to act may, pursuant to the provisions of Article II of these Bylaws, terminate the appointment or the period of service of any emergency director at any time and fill any vacancy created thereby.</w:t>
      </w:r>
    </w:p>
    <w:p>
      <w:pPr>
        <w:spacing w:after="0" w:line="123"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ARTICLE X</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22"/>
          <w:szCs w:val="22"/>
          <w:b w:val="1"/>
          <w:bCs w:val="1"/>
          <w:u w:val="single" w:color="auto"/>
          <w:color w:val="auto"/>
        </w:rPr>
        <w:t>Amendments</w:t>
      </w:r>
    </w:p>
    <w:p>
      <w:pPr>
        <w:spacing w:after="0" w:line="182" w:lineRule="exact"/>
        <w:rPr>
          <w:sz w:val="20"/>
          <w:szCs w:val="20"/>
          <w:color w:val="auto"/>
        </w:rPr>
      </w:pPr>
    </w:p>
    <w:p>
      <w:pPr>
        <w:ind w:right="60" w:firstLine="1755"/>
        <w:spacing w:after="0" w:line="276" w:lineRule="auto"/>
        <w:rPr>
          <w:sz w:val="20"/>
          <w:szCs w:val="20"/>
          <w:color w:val="auto"/>
        </w:rPr>
      </w:pPr>
      <w:r>
        <w:rPr>
          <w:rFonts w:ascii="Arial" w:cs="Arial" w:eastAsia="Arial" w:hAnsi="Arial"/>
          <w:sz w:val="19"/>
          <w:szCs w:val="19"/>
          <w:b w:val="1"/>
          <w:bCs w:val="1"/>
          <w:u w:val="single" w:color="auto"/>
          <w:color w:val="auto"/>
        </w:rPr>
        <w:t>Section 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Procedure for Amending Bylaws</w:t>
      </w:r>
      <w:r>
        <w:rPr>
          <w:rFonts w:ascii="Arial" w:cs="Arial" w:eastAsia="Arial" w:hAnsi="Arial"/>
          <w:sz w:val="19"/>
          <w:szCs w:val="19"/>
          <w:b w:val="1"/>
          <w:bCs w:val="1"/>
          <w:color w:val="auto"/>
        </w:rPr>
        <w:t xml:space="preserve"> : </w:t>
      </w:r>
      <w:r>
        <w:rPr>
          <w:rFonts w:ascii="Arial" w:cs="Arial" w:eastAsia="Arial" w:hAnsi="Arial"/>
          <w:sz w:val="19"/>
          <w:szCs w:val="19"/>
          <w:color w:val="auto"/>
        </w:rPr>
        <w:t>The Bylaws of the Corporation may be adopted, amended or</w:t>
      </w:r>
      <w:r>
        <w:rPr>
          <w:rFonts w:ascii="Arial" w:cs="Arial" w:eastAsia="Arial" w:hAnsi="Arial"/>
          <w:sz w:val="19"/>
          <w:szCs w:val="19"/>
          <w:b w:val="1"/>
          <w:bCs w:val="1"/>
          <w:color w:val="auto"/>
        </w:rPr>
        <w:t xml:space="preserve"> </w:t>
      </w:r>
      <w:r>
        <w:rPr>
          <w:rFonts w:ascii="Arial" w:cs="Arial" w:eastAsia="Arial" w:hAnsi="Arial"/>
          <w:sz w:val="19"/>
          <w:szCs w:val="19"/>
          <w:color w:val="auto"/>
        </w:rPr>
        <w:t>repealed at any meeting of stockholders notice of which shall have referred to the proposed action, by the vote of the holders of a majority of the shares of the Corporation at the time entitled to vote in the election of any directors, or at any meeting of the Board of Directors notice of which shall have referred to the proposed action, by the vote of a majority of the entire Board of Directors; provided, however, that no amendment of the Bylaws pertaining to the election of directors or the procedures for the calling and conduct of a meeting of stockholders shall affect the election of directors or the procedures for the calling or conduct in respect of any meeting of stockholders unless adequate notice thereof is given to the stockholders in a manner reasonably calculated to provide stockholders with sufficient time to respond thereto prior to such meeting.</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XI</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Election Under Section 912 of the</w:t>
      </w:r>
    </w:p>
    <w:p>
      <w:pPr>
        <w:jc w:val="center"/>
        <w:ind w:right="-59"/>
        <w:spacing w:after="0"/>
        <w:rPr>
          <w:sz w:val="20"/>
          <w:szCs w:val="20"/>
          <w:color w:val="auto"/>
        </w:rPr>
      </w:pPr>
      <w:r>
        <w:rPr>
          <w:rFonts w:ascii="Arial" w:cs="Arial" w:eastAsia="Arial" w:hAnsi="Arial"/>
          <w:sz w:val="22"/>
          <w:szCs w:val="22"/>
          <w:b w:val="1"/>
          <w:bCs w:val="1"/>
          <w:u w:val="single" w:color="auto"/>
          <w:color w:val="auto"/>
        </w:rPr>
        <w:t>New York Business Corporation Law</w:t>
      </w:r>
    </w:p>
    <w:p>
      <w:pPr>
        <w:spacing w:after="0" w:line="182" w:lineRule="exact"/>
        <w:rPr>
          <w:sz w:val="20"/>
          <w:szCs w:val="20"/>
          <w:color w:val="auto"/>
        </w:rPr>
      </w:pPr>
    </w:p>
    <w:p>
      <w:pPr>
        <w:ind w:right="120" w:firstLine="1755"/>
        <w:spacing w:after="0" w:line="239" w:lineRule="auto"/>
        <w:rPr>
          <w:sz w:val="20"/>
          <w:szCs w:val="20"/>
          <w:color w:val="auto"/>
        </w:rPr>
      </w:pPr>
      <w:r>
        <w:rPr>
          <w:rFonts w:ascii="Arial" w:cs="Arial" w:eastAsia="Arial" w:hAnsi="Arial"/>
          <w:sz w:val="22"/>
          <w:szCs w:val="22"/>
          <w:b w:val="1"/>
          <w:bCs w:val="1"/>
          <w:u w:val="single" w:color="auto"/>
          <w:color w:val="auto"/>
        </w:rPr>
        <w:t>Section 1</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Election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has expressly elected not to be governed by the provisions of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912 of the Business Corporation Law of New York. Until this bylaw is amended or repealed in the manner provided by law, none of the business combination provisions of Section 912 of the Business Corporation Law of New York shall apply to the Corporation.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334" w:right="299"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Robert G. Wilmers, certify that:</w:t>
      </w:r>
    </w:p>
    <w:p>
      <w:pPr>
        <w:spacing w:after="0" w:line="83"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sz w:val="20"/>
          <w:szCs w:val="20"/>
          <w:color w:val="auto"/>
        </w:rPr>
      </w:pPr>
    </w:p>
    <w:p>
      <w:pPr>
        <w:jc w:val="both"/>
        <w:ind w:left="440" w:hanging="432"/>
        <w:spacing w:after="0" w:line="204" w:lineRule="auto"/>
        <w:tabs>
          <w:tab w:leader="none" w:pos="4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440" w:hanging="432"/>
        <w:spacing w:after="0" w:line="194" w:lineRule="auto"/>
        <w:tabs>
          <w:tab w:leader="none" w:pos="4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sz w:val="20"/>
          <w:szCs w:val="20"/>
          <w:color w:val="auto"/>
        </w:rPr>
      </w:pPr>
    </w:p>
    <w:p>
      <w:pPr>
        <w:ind w:left="440" w:hanging="432"/>
        <w:spacing w:after="0" w:line="234" w:lineRule="auto"/>
        <w:tabs>
          <w:tab w:leader="none" w:pos="4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Date: May 5, 2017</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5641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Arial" w:cs="Arial" w:eastAsia="Arial" w:hAnsi="Arial"/>
          <w:sz w:val="21"/>
          <w:szCs w:val="21"/>
          <w:color w:val="auto"/>
        </w:rPr>
        <w:t>Robert G. Wilmers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420"/>
          </w:cols>
          <w:pgMar w:left="240" w:top="8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3"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sz w:val="20"/>
          <w:szCs w:val="20"/>
          <w:color w:val="auto"/>
        </w:rPr>
      </w:pPr>
    </w:p>
    <w:p>
      <w:pPr>
        <w:jc w:val="both"/>
        <w:ind w:left="440" w:hanging="432"/>
        <w:spacing w:after="0" w:line="204" w:lineRule="auto"/>
        <w:tabs>
          <w:tab w:leader="none" w:pos="4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440" w:hanging="432"/>
        <w:spacing w:after="0" w:line="194" w:lineRule="auto"/>
        <w:tabs>
          <w:tab w:leader="none" w:pos="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sz w:val="20"/>
          <w:szCs w:val="20"/>
          <w:color w:val="auto"/>
        </w:rPr>
      </w:pPr>
    </w:p>
    <w:p>
      <w:pPr>
        <w:ind w:left="440" w:hanging="432"/>
        <w:spacing w:after="0" w:line="234" w:lineRule="auto"/>
        <w:tabs>
          <w:tab w:leader="none" w:pos="4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Date: May 5, 2017</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9525</wp:posOffset>
            </wp:positionV>
            <wp:extent cx="25984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420"/>
          </w:cols>
          <w:pgMar w:left="240" w:top="86" w:right="239" w:bottom="1440" w:gutter="0" w:footer="0" w:header="0"/>
        </w:sectPr>
      </w:pPr>
    </w:p>
    <w:bookmarkStart w:id="100" w:name="page101"/>
    <w:bookmarkEnd w:id="100"/>
    <w:p>
      <w:pPr>
        <w:ind w:left="1018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Robert G. Wilmers, Chairman of the Board and Chief Executive Officer of M&amp;T Bank Corporation, certify, pursuant to Section 906 of the Sarbanes-Oxley Act of 2002, 18 U.S.C. Section 1350, that:</w:t>
      </w:r>
    </w:p>
    <w:p>
      <w:pPr>
        <w:spacing w:after="0" w:line="169" w:lineRule="exact"/>
        <w:rPr>
          <w:sz w:val="20"/>
          <w:szCs w:val="20"/>
          <w:color w:val="auto"/>
        </w:rPr>
      </w:pPr>
    </w:p>
    <w:p>
      <w:pPr>
        <w:jc w:val="both"/>
        <w:ind w:left="1900" w:right="1900" w:hanging="947"/>
        <w:spacing w:after="0" w:line="243" w:lineRule="auto"/>
        <w:tabs>
          <w:tab w:leader="none" w:pos="19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Quarterly Report on Form 10-Q of M&amp;T Bank Corporation for the quarterly period ended March 31, 2017 (the "Report") fully complies with the requirements of Section 13(a) or 15(d) of the Securities Exchange Act of 1934 (15 U.S.C. 78m or 78o(d)); and</w:t>
      </w:r>
    </w:p>
    <w:p>
      <w:pPr>
        <w:spacing w:after="0" w:line="165" w:lineRule="exact"/>
        <w:rPr>
          <w:rFonts w:ascii="Arial" w:cs="Arial" w:eastAsia="Arial" w:hAnsi="Arial"/>
          <w:sz w:val="20"/>
          <w:szCs w:val="20"/>
          <w:color w:val="auto"/>
        </w:rPr>
      </w:pPr>
    </w:p>
    <w:p>
      <w:pPr>
        <w:ind w:left="1900" w:right="1900" w:hanging="947"/>
        <w:spacing w:after="0" w:line="238" w:lineRule="auto"/>
        <w:tabs>
          <w:tab w:leader="none" w:pos="19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8522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1"/>
          <w:szCs w:val="21"/>
          <w:color w:val="auto"/>
        </w:rPr>
        <w:t>Robert G. Wilmers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May 5,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101" w:name="page102"/>
    <w:bookmarkEnd w:id="101"/>
    <w:p>
      <w:pPr>
        <w:ind w:left="1018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9" w:lineRule="exact"/>
        <w:rPr>
          <w:sz w:val="20"/>
          <w:szCs w:val="20"/>
          <w:color w:val="auto"/>
        </w:rPr>
      </w:pPr>
    </w:p>
    <w:p>
      <w:pPr>
        <w:jc w:val="both"/>
        <w:ind w:left="1900" w:right="1900" w:hanging="947"/>
        <w:spacing w:after="0" w:line="243" w:lineRule="auto"/>
        <w:tabs>
          <w:tab w:leader="none" w:pos="19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Quarterly Report on Form 10-Q of M&amp;T Bank Corporation for the quarterly period ended March 31, 2017 (the "Report") fully complies with the requirements of Section 13(a) or 15(d) of the Securities Exchange Act of 1934 (15 U.S.C. 78m or 78o(d)); and</w:t>
      </w:r>
    </w:p>
    <w:p>
      <w:pPr>
        <w:spacing w:after="0" w:line="165" w:lineRule="exact"/>
        <w:rPr>
          <w:rFonts w:ascii="Arial" w:cs="Arial" w:eastAsia="Arial" w:hAnsi="Arial"/>
          <w:sz w:val="20"/>
          <w:szCs w:val="20"/>
          <w:color w:val="auto"/>
        </w:rPr>
      </w:pPr>
    </w:p>
    <w:p>
      <w:pPr>
        <w:ind w:left="1900" w:right="1900" w:hanging="947"/>
        <w:spacing w:after="0" w:line="238" w:lineRule="auto"/>
        <w:tabs>
          <w:tab w:leader="none" w:pos="19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8522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1"/>
          <w:szCs w:val="21"/>
          <w:color w:val="auto"/>
        </w:rPr>
        <w:t>Darren J. King</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May 5,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lvl w:ilvl="1">
      <w:lvlJc w:val="left"/>
      <w:lvlText w:val="-"/>
      <w:numFmt w:val="bullet"/>
      <w:start w:val="1"/>
    </w:lvl>
  </w:abstractNum>
  <w:abstractNum w:abstractNumId="3">
    <w:nsid w:val="8EDBDAB"/>
    <w:multiLevelType w:val="hybridMultilevel"/>
    <w:lvl w:ilvl="0">
      <w:lvlJc w:val="left"/>
      <w:lvlText w:val="(%1)"/>
      <w:numFmt w:val="lowerLetter"/>
      <w:start w:val="1"/>
    </w:lvl>
    <w:lvl w:ilvl="1">
      <w:lvlJc w:val="left"/>
      <w:lvlText w:val="-"/>
      <w:numFmt w:val="bullet"/>
      <w:start w:val="1"/>
    </w:lvl>
  </w:abstractNum>
  <w:abstractNum w:abstractNumId="4">
    <w:nsid w:val="79838CB2"/>
    <w:multiLevelType w:val="hybridMultilevel"/>
    <w:lvl w:ilvl="0">
      <w:lvlJc w:val="left"/>
      <w:lvlText w:val="(%1)"/>
      <w:numFmt w:val="lowerLetter"/>
      <w:start w:val="1"/>
    </w:lvl>
    <w:lvl w:ilvl="1">
      <w:lvlJc w:val="left"/>
      <w:lvlText w:val="-"/>
      <w:numFmt w:val="bullet"/>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Letter"/>
      <w:start w:val="1"/>
    </w:lvl>
    <w:lvl w:ilvl="1">
      <w:lvlJc w:val="left"/>
      <w:lvlText w:val="-"/>
      <w:numFmt w:val="bullet"/>
      <w:start w:val="1"/>
    </w:lvl>
  </w:abstractNum>
  <w:abstractNum w:abstractNumId="13">
    <w:nsid w:val="3A95F874"/>
    <w:multiLevelType w:val="hybridMultilevel"/>
    <w:lvl w:ilvl="0">
      <w:lvlJc w:val="left"/>
      <w:lvlText w:val="(%1)"/>
      <w:numFmt w:val="lowerLetter"/>
      <w:start w:val="1"/>
    </w:lvl>
    <w:lvl w:ilvl="1">
      <w:lvlJc w:val="left"/>
      <w:lvlText w:val="-"/>
      <w:numFmt w:val="bullet"/>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decimal"/>
      <w:start w:val="12"/>
    </w:lvl>
  </w:abstractNum>
  <w:abstractNum w:abstractNumId="16">
    <w:nsid w:val="7C3DBD3D"/>
    <w:multiLevelType w:val="hybridMultilevel"/>
    <w:lvl w:ilvl="0">
      <w:lvlJc w:val="left"/>
      <w:lvlText w:val="%1."/>
      <w:numFmt w:val="decimal"/>
      <w:start w:val="12"/>
    </w:lvl>
  </w:abstractNum>
  <w:abstractNum w:abstractNumId="17">
    <w:nsid w:val="737B8DDC"/>
    <w:multiLevelType w:val="hybridMultilevel"/>
    <w:lvl w:ilvl="0">
      <w:lvlJc w:val="left"/>
      <w:lvlText w:val="(%1)"/>
      <w:numFmt w:val="lowerLetter"/>
      <w:start w:val="1"/>
    </w:lvl>
    <w:lvl w:ilvl="1">
      <w:lvlJc w:val="left"/>
      <w:lvlText w:val="-"/>
      <w:numFmt w:val="bullet"/>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Letter"/>
      <w:start w:val="1"/>
    </w:lvl>
    <w:lvl w:ilvl="1">
      <w:lvlJc w:val="left"/>
      <w:lvlText w:val="(%2)"/>
      <w:numFmt w:val="lowerLetter"/>
      <w:start w:val="3"/>
    </w:lvl>
  </w:abstractNum>
  <w:abstractNum w:abstractNumId="21">
    <w:nsid w:val="3006C83E"/>
    <w:multiLevelType w:val="hybridMultilevel"/>
    <w:lvl w:ilvl="0">
      <w:lvlJc w:val="left"/>
      <w:lvlText w:val="(%1)"/>
      <w:numFmt w:val="lowerRoman"/>
      <w:start w:val="5"/>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1"/>
    </w:lvl>
    <w:lvl w:ilvl="1">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3"/>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1)"/>
      <w:numFmt w:val="lowerLetter"/>
      <w:start w:val="3"/>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2019-12-29T07:56:15Z</dcterms:created>
  <dcterms:modified xsi:type="dcterms:W3CDTF">2019-12-29T07:56:15Z</dcterms:modified>
</cp:coreProperties>
</file>